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spacing w:before="0" w:after="0" w:line="240"/>
        <w:ind w:firstLine="0"/>
        <w:jc w:val="center"/>
        <w:outlineLvl w:val="9"/>
      </w:pPr>
      <w:r>
        <w:rPr>
          <w:rFonts w:ascii="方正小标宋_GBK" w:eastAsia="方正小标宋_GBK" w:hAnsi="方正小标宋_GBK" w:cs="方正小标宋_GBK"/>
          <w:sz w:val="52"/>
        </w:rPr>
        <w:t xml:space="preserve"> </w:t>
      </w:r>
    </w:p>
    <w:p>
      <w:pPr>
        <w:spacing w:before="0" w:after="0" w:line="240"/>
        <w:ind w:firstLine="0"/>
        <w:jc w:val="center"/>
        <w:outlineLvl w:val="9"/>
      </w:pPr>
      <w:r>
        <w:rPr>
          <w:rFonts w:ascii="方正小标宋_GBK" w:eastAsia="方正小标宋_GBK" w:hAnsi="方正小标宋_GBK" w:cs="方正小标宋_GBK"/>
          <w:sz w:val="52"/>
        </w:rPr>
        <w:t xml:space="preserve"> </w:t>
      </w:r>
    </w:p>
    <w:p>
      <w:pPr>
        <w:spacing w:before="0" w:after="0" w:line="240"/>
        <w:ind w:firstLine="0"/>
        <w:jc w:val="center"/>
        <w:outlineLvl w:val="9"/>
      </w:pPr>
      <w:r>
        <w:rPr>
          <w:rFonts w:ascii="方正小标宋_GBK" w:eastAsia="方正小标宋_GBK" w:hAnsi="方正小标宋_GBK" w:cs="方正小标宋_GBK"/>
          <w:sz w:val="52"/>
        </w:rPr>
        <w:t xml:space="preserve"> </w:t>
      </w:r>
    </w:p>
    <w:p>
      <w:pPr>
        <w:spacing w:before="0" w:after="0" w:line="240"/>
        <w:ind w:firstLine="0"/>
        <w:jc w:val="center"/>
        <w:outlineLvl w:val="9"/>
      </w:pPr>
      <w:r>
        <w:rPr>
          <w:rFonts w:ascii="方正小标宋_GBK" w:eastAsia="方正小标宋_GBK" w:hAnsi="方正小标宋_GBK" w:cs="方正小标宋_GBK"/>
          <w:sz w:val="72"/>
        </w:rPr>
        <w:t xml:space="preserve">天津市滨海新区人民政府办公室</w:t>
      </w:r>
    </w:p>
    <w:p>
      <w:pPr>
        <w:spacing w:before="0" w:after="0" w:line="240"/>
        <w:ind w:firstLine="0"/>
        <w:jc w:val="center"/>
        <w:outlineLvl w:val="9"/>
      </w:pPr>
      <w:r>
        <w:rPr>
          <w:rFonts w:ascii="方正小标宋_GBK" w:eastAsia="方正小标宋_GBK" w:hAnsi="方正小标宋_GBK" w:cs="方正小标宋_GBK"/>
          <w:sz w:val="72"/>
        </w:rPr>
        <w:t xml:space="preserve">2026年部门预算绩效文本</w:t>
      </w:r>
    </w:p>
    <w:p>
      <w:pPr>
        <w:spacing w:before="0" w:after="0" w:line="240"/>
        <w:ind w:firstLine="0"/>
        <w:jc w:val="center"/>
        <w:outlineLvl w:val="9"/>
      </w:pP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方正楷体_GBK" w:eastAsia="方正楷体_GBK" w:hAnsi="方正楷体_GBK" w:cs="方正楷体_GBK"/>
          <w:b/>
          <w:sz w:val="32"/>
        </w:rPr>
        <w:t xml:space="preserve">天津市滨海新区人民政府办公室编制</w:t>
      </w:r>
    </w:p>
    <w:p>
      <w:pPr>
        <w:spacing w:before="0" w:after="0" w:line="240"/>
        <w:ind w:firstLine="0"/>
        <w:jc w:val="center"/>
        <w:outlineLvl w:val="9"/>
        <w:sectPr>
          <w:type w:val="nextPage"/>
          <w:pgSz w:w="11900" w:h="16840" w:orient="portrait"/>
          <w:pgMar w:top="1984" w:right="1304" w:bottom="1134" w:left="1304" w:header="720" w:footer="720" w:gutter="0"/>
          <w:titlePg/>
        </w:sectPr>
      </w:pPr>
      <w:r>
        <w:rPr>
          <w:rFonts w:ascii="方正楷体_GBK" w:eastAsia="方正楷体_GBK" w:hAnsi="方正楷体_GBK" w:cs="方正楷体_GBK"/>
          <w:b/>
          <w:sz w:val="32"/>
        </w:rPr>
        <w:t xml:space="preserve">审核</w:t>
      </w:r>
    </w:p>
    <w:p>
      <w:pPr>
        <w:spacing w:before="0" w:after="0" w:line="240"/>
        <w:ind w:firstLine="0"/>
        <w:jc w:val="center"/>
        <w:outlineLvl w:val="9"/>
        <w:sectPr>
          <w:type w:val="nextPage"/>
          <w:pgSz w:w="11900" w:h="16840" w:orient="portrait"/>
          <w:pgMar w:top="1984" w:right="1304" w:bottom="1134" w:left="1304" w:header="720" w:footer="720" w:gutter="0"/>
          <w:titlePg/>
        </w:sectPr>
      </w:pPr>
    </w:p>
    <w:p>
      <w:pPr>
        <w:spacing w:before="0" w:after="0" w:line="240"/>
        <w:ind w:firstLine="0"/>
        <w:jc w:val="center"/>
        <w:outlineLvl w:val="9"/>
      </w:pPr>
      <w:r>
        <w:rPr>
          <w:rFonts w:ascii="方正小标宋_GBK" w:eastAsia="方正小标宋_GBK" w:hAnsi="方正小标宋_GBK" w:cs="方正小标宋_GBK"/>
          <w:sz w:val="36"/>
        </w:rPr>
        <w:t xml:space="preserve"> </w:t>
      </w:r>
    </w:p>
    <w:p>
      <w:pPr>
        <w:spacing w:before="0" w:after="0" w:line="240"/>
        <w:ind w:firstLine="0"/>
        <w:jc w:val="center"/>
        <w:outlineLvl w:val="0"/>
      </w:pPr>
      <w:r>
        <w:rPr>
          <w:rFonts w:ascii="方正小标宋_GBK" w:eastAsia="方正小标宋_GBK" w:hAnsi="方正小标宋_GBK" w:cs="方正小标宋_GBK"/>
          <w:sz w:val="36"/>
        </w:rPr>
        <w:t xml:space="preserve">目    录</w:t>
      </w:r>
    </w:p>
    <w:p>
      <w:pPr>
        <w:spacing w:before="0" w:after="0" w:line="240"/>
        <w:ind w:firstLine="0"/>
        <w:jc w:val="center"/>
        <w:outlineLvl w:val="9"/>
      </w:pPr>
      <w:r>
        <w:rPr>
          <w:rFonts w:ascii="方正小标宋_GBK" w:eastAsia="方正小标宋_GBK" w:hAnsi="方正小标宋_GBK" w:cs="方正小标宋_GBK"/>
          <w:sz w:val="30"/>
        </w:rPr>
        <w:t xml:space="preserve"> </w:t>
      </w:r>
    </w:p>
    <w:p>
      <w:pPr>
        <w:spacing w:before="0" w:after="0" w:line="240"/>
        <w:ind w:firstLine="0"/>
        <w:jc w:val="center"/>
        <w:outlineLvl w:val="9"/>
      </w:pPr>
      <w:r>
        <w:rPr>
          <w:rFonts w:ascii="方正小标宋_GBK" w:eastAsia="方正小标宋_GBK" w:hAnsi="方正小标宋_GBK" w:cs="方正小标宋_GBK"/>
          <w:sz w:val="30"/>
        </w:rPr>
        <w:t xml:space="preserve">第一部分 部门整体绩效目标</w:t>
      </w:r>
    </w:p>
    <w:p>
      <w:pPr>
        <w:pStyle w:val="TOC1"/>
        <w:tabs>
          <w:tab w:val="right" w:leader="dot" w:pos="9282"/>
        </w:tabs>
      </w:pPr>
      <w:r>
        <w:fldChar w:fldCharType="begin"/>
      </w:r>
      <w:r>
        <w:instrText xml:space="preserve">TOC \o "2-2" \h \z \u</w:instrText>
      </w:r>
      <w:r>
        <w:fldChar w:fldCharType="separate"/>
      </w:r>
      <w:hyperlink w:anchor="_Toc_2_2_0000000001" w:history="1">
        <w:r>
          <w:rPr/>
          <w:t xml:space="preserve">一、总体绩效目标</w:t>
        </w:r>
        <w:r>
          <w:tab/>
        </w:r>
        <w:r>
          <w:fldChar w:fldCharType="begin"/>
        </w:r>
        <w:r>
          <w:instrText xml:space="preserve">PAGEREF _Toc_2_2_0000000001 \h</w:instrText>
        </w:r>
        <w:r>
          <w:fldChar w:fldCharType="separate"/>
        </w:r>
        <w:r>
          <w:t xml:space="preserve">2</w:t>
        </w:r>
        <w:r>
          <w:fldChar w:fldCharType="end"/>
        </w:r>
      </w:hyperlink>
    </w:p>
    <w:p>
      <w:pPr>
        <w:pStyle w:val="TOC1"/>
        <w:tabs>
          <w:tab w:val="right" w:leader="dot" w:pos="9282"/>
        </w:tabs>
      </w:pPr>
      <w:hyperlink w:anchor="_Toc_2_2_0000000002" w:history="1">
        <w:r>
          <w:rPr/>
          <w:t xml:space="preserve">二、分项绩效目标</w:t>
        </w:r>
        <w:r>
          <w:tab/>
        </w:r>
        <w:r>
          <w:fldChar w:fldCharType="begin"/>
        </w:r>
        <w:r>
          <w:instrText xml:space="preserve">PAGEREF _Toc_2_2_0000000002 \h</w:instrText>
        </w:r>
        <w:r>
          <w:fldChar w:fldCharType="separate"/>
        </w:r>
        <w:r>
          <w:t xml:space="preserve">2</w:t>
        </w:r>
        <w:r>
          <w:fldChar w:fldCharType="end"/>
        </w:r>
      </w:hyperlink>
    </w:p>
    <w:p>
      <w:pPr>
        <w:pStyle w:val="TOC1"/>
        <w:tabs>
          <w:tab w:val="right" w:leader="dot" w:pos="9282"/>
        </w:tabs>
      </w:pPr>
      <w:hyperlink w:anchor="_Toc_2_2_0000000003" w:history="1">
        <w:r>
          <w:rPr/>
          <w:t xml:space="preserve">三、工作保障措施</w:t>
        </w:r>
        <w:r>
          <w:tab/>
        </w:r>
        <w:r>
          <w:fldChar w:fldCharType="begin"/>
        </w:r>
        <w:r>
          <w:instrText xml:space="preserve">PAGEREF _Toc_2_2_0000000003 \h</w:instrText>
        </w:r>
        <w:r>
          <w:fldChar w:fldCharType="separate"/>
        </w:r>
        <w:r>
          <w:t xml:space="preserve">2</w:t>
        </w:r>
        <w:r>
          <w:fldChar w:fldCharType="end"/>
        </w:r>
      </w:hyperlink>
    </w:p>
    <w:p>
      <w:pPr/>
      <w:r>
        <w:fldChar w:fldCharType="end"/>
      </w:r>
    </w:p>
    <w:p>
      <w:pPr>
        <w:spacing w:before="0" w:after="0" w:line="240"/>
        <w:ind w:firstLine="0"/>
        <w:jc w:val="center"/>
        <w:outlineLvl w:val="9"/>
      </w:pPr>
      <w:r>
        <w:rPr>
          <w:rFonts w:ascii="方正小标宋_GBK" w:eastAsia="方正小标宋_GBK" w:hAnsi="方正小标宋_GBK" w:cs="方正小标宋_GBK"/>
          <w:sz w:val="30"/>
        </w:rPr>
        <w:t xml:space="preserve">第二部分 预算项目绩效目标</w:t>
      </w:r>
    </w:p>
    <w:p>
      <w:pPr>
        <w:pStyle w:val="TOC1"/>
        <w:tabs>
          <w:tab w:val="right" w:leader="dot" w:pos="9282"/>
        </w:tabs>
      </w:pPr>
      <w:r>
        <w:fldChar w:fldCharType="begin"/>
      </w:r>
      <w:r>
        <w:instrText xml:space="preserve">TOC \o "4-4" \h \z \u</w:instrText>
      </w:r>
      <w:r>
        <w:fldChar w:fldCharType="separate"/>
      </w:r>
      <w:hyperlink w:anchor="_Toc_4_4_0000000004" w:history="1">
        <w:r>
          <w:rPr/>
          <w:t xml:space="preserve">1.2026年*政府办机关运行经费*绩效目标表</w:t>
        </w:r>
        <w:r>
          <w:tab/>
        </w:r>
        <w:r>
          <w:fldChar w:fldCharType="begin"/>
        </w:r>
        <w:r>
          <w:instrText xml:space="preserve">PAGEREF _Toc_4_4_0000000004 \h</w:instrText>
        </w:r>
        <w:r>
          <w:fldChar w:fldCharType="separate"/>
        </w:r>
        <w:r>
          <w:t xml:space="preserve">4</w:t>
        </w:r>
        <w:r>
          <w:fldChar w:fldCharType="end"/>
        </w:r>
      </w:hyperlink>
    </w:p>
    <w:p>
      <w:pPr>
        <w:pStyle w:val="TOC1"/>
        <w:tabs>
          <w:tab w:val="right" w:leader="dot" w:pos="9282"/>
        </w:tabs>
      </w:pPr>
      <w:hyperlink w:anchor="_Toc_4_4_0000000005" w:history="1">
        <w:r>
          <w:rPr/>
          <w:t xml:space="preserve">2.2026年政府办工作经费绩效目标表</w:t>
        </w:r>
        <w:r>
          <w:tab/>
        </w:r>
        <w:r>
          <w:fldChar w:fldCharType="begin"/>
        </w:r>
        <w:r>
          <w:instrText xml:space="preserve">PAGEREF _Toc_4_4_0000000005 \h</w:instrText>
        </w:r>
        <w:r>
          <w:fldChar w:fldCharType="separate"/>
        </w:r>
        <w:r>
          <w:t xml:space="preserve">5</w:t>
        </w:r>
        <w:r>
          <w:fldChar w:fldCharType="end"/>
        </w:r>
      </w:hyperlink>
    </w:p>
    <w:p>
      <w:pPr>
        <w:pStyle w:val="TOC1"/>
        <w:tabs>
          <w:tab w:val="right" w:leader="dot" w:pos="9282"/>
        </w:tabs>
      </w:pPr>
      <w:hyperlink w:anchor="_Toc_4_4_0000000006" w:history="1">
        <w:r>
          <w:rPr/>
          <w:t xml:space="preserve">3.2026年政府办机关运行经费绩效目标表</w:t>
        </w:r>
        <w:r>
          <w:tab/>
        </w:r>
        <w:r>
          <w:fldChar w:fldCharType="begin"/>
        </w:r>
        <w:r>
          <w:instrText xml:space="preserve">PAGEREF _Toc_4_4_0000000006 \h</w:instrText>
        </w:r>
        <w:r>
          <w:fldChar w:fldCharType="separate"/>
        </w:r>
        <w:r>
          <w:t xml:space="preserve">6</w:t>
        </w:r>
        <w:r>
          <w:fldChar w:fldCharType="end"/>
        </w:r>
      </w:hyperlink>
    </w:p>
    <w:p>
      <w:pPr>
        <w:pStyle w:val="TOC1"/>
        <w:tabs>
          <w:tab w:val="right" w:leader="dot" w:pos="9282"/>
        </w:tabs>
      </w:pPr>
      <w:hyperlink w:anchor="_Toc_4_4_0000000007" w:history="1">
        <w:r>
          <w:rPr/>
          <w:t xml:space="preserve">4.2026年编制外长聘人员经费项目（机关事业单位辅助人员）绩效目标表</w:t>
        </w:r>
        <w:r>
          <w:tab/>
        </w:r>
        <w:r>
          <w:fldChar w:fldCharType="begin"/>
        </w:r>
        <w:r>
          <w:instrText xml:space="preserve">PAGEREF _Toc_4_4_0000000007 \h</w:instrText>
        </w:r>
        <w:r>
          <w:fldChar w:fldCharType="separate"/>
        </w:r>
        <w:r>
          <w:t xml:space="preserve">7</w:t>
        </w:r>
        <w:r>
          <w:fldChar w:fldCharType="end"/>
        </w:r>
      </w:hyperlink>
    </w:p>
    <w:p>
      <w:pPr>
        <w:pStyle w:val="TOC1"/>
        <w:tabs>
          <w:tab w:val="right" w:leader="dot" w:pos="9282"/>
        </w:tabs>
      </w:pPr>
      <w:hyperlink w:anchor="_Toc_4_4_0000000008" w:history="1">
        <w:r>
          <w:rPr/>
          <w:t xml:space="preserve">5.2026年编制外长聘人员经费项目（机关事业单位辅助人员）绩效目标表</w:t>
        </w:r>
        <w:r>
          <w:tab/>
        </w:r>
        <w:r>
          <w:fldChar w:fldCharType="begin"/>
        </w:r>
        <w:r>
          <w:instrText xml:space="preserve">PAGEREF _Toc_4_4_0000000008 \h</w:instrText>
        </w:r>
        <w:r>
          <w:fldChar w:fldCharType="separate"/>
        </w:r>
        <w:r>
          <w:t xml:space="preserve">8</w:t>
        </w:r>
        <w:r>
          <w:fldChar w:fldCharType="end"/>
        </w:r>
      </w:hyperlink>
    </w:p>
    <w:p>
      <w:pPr>
        <w:pStyle w:val="TOC1"/>
        <w:tabs>
          <w:tab w:val="right" w:leader="dot" w:pos="9282"/>
        </w:tabs>
      </w:pPr>
      <w:hyperlink w:anchor="_Toc_4_4_0000000009" w:history="1">
        <w:r>
          <w:rPr/>
          <w:t xml:space="preserve">6.上海合作组织可持续发展投资促进活动高质量发展专项资金绩效目标表</w:t>
        </w:r>
        <w:r>
          <w:tab/>
        </w:r>
        <w:r>
          <w:fldChar w:fldCharType="begin"/>
        </w:r>
        <w:r>
          <w:instrText xml:space="preserve">PAGEREF _Toc_4_4_0000000009 \h</w:instrText>
        </w:r>
        <w:r>
          <w:fldChar w:fldCharType="separate"/>
        </w:r>
        <w:r>
          <w:t xml:space="preserve">9</w:t>
        </w:r>
        <w:r>
          <w:fldChar w:fldCharType="end"/>
        </w:r>
      </w:hyperlink>
    </w:p>
    <w:p>
      <w:pPr>
        <w:pStyle w:val="TOC1"/>
        <w:tabs>
          <w:tab w:val="right" w:leader="dot" w:pos="9282"/>
        </w:tabs>
      </w:pPr>
      <w:hyperlink w:anchor="_Toc_4_4_0000000010" w:history="1">
        <w:r>
          <w:rPr/>
          <w:t xml:space="preserve">7.2026年机关服务中心市内办公点专项经费绩效目标表</w:t>
        </w:r>
        <w:r>
          <w:tab/>
        </w:r>
        <w:r>
          <w:fldChar w:fldCharType="begin"/>
        </w:r>
        <w:r>
          <w:instrText xml:space="preserve">PAGEREF _Toc_4_4_0000000010 \h</w:instrText>
        </w:r>
        <w:r>
          <w:fldChar w:fldCharType="separate"/>
        </w:r>
        <w:r>
          <w:t xml:space="preserve">10</w:t>
        </w:r>
        <w:r>
          <w:fldChar w:fldCharType="end"/>
        </w:r>
      </w:hyperlink>
    </w:p>
    <w:p>
      <w:pPr>
        <w:pStyle w:val="TOC1"/>
        <w:tabs>
          <w:tab w:val="right" w:leader="dot" w:pos="9282"/>
        </w:tabs>
      </w:pPr>
      <w:hyperlink w:anchor="_Toc_4_4_0000000011" w:history="1">
        <w:r>
          <w:rPr/>
          <w:t xml:space="preserve">8.2026年编制外长聘人员经费项目（机关事业单位辅助人员）绩效目标表</w:t>
        </w:r>
        <w:r>
          <w:tab/>
        </w:r>
        <w:r>
          <w:fldChar w:fldCharType="begin"/>
        </w:r>
        <w:r>
          <w:instrText xml:space="preserve">PAGEREF _Toc_4_4_0000000011 \h</w:instrText>
        </w:r>
        <w:r>
          <w:fldChar w:fldCharType="separate"/>
        </w:r>
        <w:r>
          <w:t xml:space="preserve">11</w:t>
        </w:r>
        <w:r>
          <w:fldChar w:fldCharType="end"/>
        </w:r>
      </w:hyperlink>
    </w:p>
    <w:p>
      <w:pPr>
        <w:sectPr>
          <w:footerReference w:type="even" r:id="rId21"/>
          <w:footerReference w:type="default" r:id="rId22"/>
          <w:type w:val="nextPage"/>
          <w:pgSz w:w="11900" w:h="16840" w:orient="portrait"/>
          <w:pgMar w:top="1984" w:right="1304" w:bottom="1134" w:left="1304" w:header="720" w:footer="720" w:gutter="0"/>
          <w:pgNumType w:start="1"/>
        </w:sectPr>
      </w:pPr>
      <w:r>
        <w:fldChar w:fldCharType="end"/>
      </w:r>
    </w:p>
    <w:p>
      <w:pPr>
        <w:spacing w:before="0" w:after="0" w:line="240"/>
        <w:ind w:firstLine="0"/>
        <w:jc w:val="center"/>
        <w:outlineLvl w:val="9"/>
      </w:pPr>
      <w:r>
        <w:rPr>
          <w:rFonts w:ascii="方正小标宋_GBK" w:eastAsia="方正小标宋_GBK" w:hAnsi="方正小标宋_GBK" w:cs="方正小标宋_GBK"/>
          <w:sz w:val="44"/>
        </w:rPr>
        <w:t xml:space="preserve"> </w:t>
      </w:r>
    </w:p>
    <w:p>
      <w:pPr>
        <w:spacing w:before="0" w:after="0" w:line="240"/>
        <w:ind w:firstLine="0"/>
        <w:jc w:val="center"/>
        <w:outlineLvl w:val="9"/>
      </w:pPr>
      <w:r>
        <w:rPr>
          <w:rFonts w:ascii="方正小标宋_GBK" w:eastAsia="方正小标宋_GBK" w:hAnsi="方正小标宋_GBK" w:cs="方正小标宋_GBK"/>
          <w:sz w:val="44"/>
        </w:rPr>
        <w:t xml:space="preserve">第一部分</w:t>
      </w:r>
    </w:p>
    <w:p>
      <w:pPr>
        <w:spacing w:before="0" w:after="0" w:line="240"/>
        <w:ind w:firstLine="0"/>
        <w:jc w:val="center"/>
        <w:outlineLvl w:val="0"/>
      </w:pPr>
      <w:r>
        <w:rPr>
          <w:rFonts w:ascii="方正小标宋_GBK" w:eastAsia="方正小标宋_GBK" w:hAnsi="方正小标宋_GBK" w:cs="方正小标宋_GBK"/>
          <w:sz w:val="44"/>
        </w:rPr>
        <w:t xml:space="preserve">部门整体绩效目标</w:t>
      </w:r>
    </w:p>
    <w:p>
      <w:pPr>
        <w:spacing w:before="0" w:after="0" w:line="240"/>
        <w:ind w:firstLine="0"/>
        <w:jc w:val="center"/>
        <w:outlineLvl w:val="9"/>
      </w:pPr>
      <w:r>
        <w:rPr>
          <w:rFonts w:ascii="方正小标宋_GBK" w:eastAsia="方正小标宋_GBK" w:hAnsi="方正小标宋_GBK" w:cs="方正小标宋_GBK"/>
          <w:sz w:val="44"/>
        </w:rPr>
        <w:t xml:space="preserve"> </w:t>
      </w:r>
    </w:p>
    <w:p>
      <w:pPr>
        <w:spacing w:before="10" w:after="10"/>
        <w:ind w:firstLine="560"/>
        <w:jc w:val="left"/>
        <w:outlineLvl w:val="1"/>
      </w:pPr>
      <w:bookmarkStart w:id="0" w:name="_Toc_2_2_0000000001"/>
      <w:r>
        <w:rPr>
          <w:rFonts w:ascii="方正黑体_GBK" w:eastAsia="方正黑体_GBK" w:hAnsi="方正黑体_GBK" w:cs="方正黑体_GBK"/>
          <w:sz w:val="28"/>
        </w:rPr>
        <w:t xml:space="preserve">一、总体绩效目标</w:t>
      </w:r>
      <w:bookmarkEnd w:id="0"/>
    </w:p>
    <w:p>
      <w:pPr>
        <w:pStyle w:val="插入文本样式-插入总体目标文件"/>
      </w:pPr>
    </w:p>
    <w:p>
      <w:pPr>
        <w:spacing w:before="10" w:after="10"/>
        <w:ind w:firstLine="560"/>
        <w:jc w:val="left"/>
        <w:outlineLvl w:val="1"/>
      </w:pPr>
      <w:bookmarkStart w:id="1" w:name="_Toc_2_2_0000000002"/>
      <w:r>
        <w:rPr>
          <w:rFonts w:ascii="方正黑体_GBK" w:eastAsia="方正黑体_GBK" w:hAnsi="方正黑体_GBK" w:cs="方正黑体_GBK"/>
          <w:sz w:val="28"/>
        </w:rPr>
        <w:t xml:space="preserve">二、分项绩效目标</w:t>
      </w:r>
      <w:bookmarkEnd w:id="1"/>
    </w:p>
    <w:p>
      <w:pPr>
        <w:pStyle w:val="插入文本样式-插入职责分类绩效目标文件"/>
      </w:pPr>
    </w:p>
    <w:p>
      <w:pPr>
        <w:spacing w:before="10" w:after="10"/>
        <w:ind w:firstLine="560"/>
        <w:jc w:val="left"/>
        <w:outlineLvl w:val="1"/>
      </w:pPr>
      <w:bookmarkStart w:id="2" w:name="_Toc_2_2_0000000003"/>
      <w:r>
        <w:rPr>
          <w:rFonts w:ascii="方正黑体_GBK" w:eastAsia="方正黑体_GBK" w:hAnsi="方正黑体_GBK" w:cs="方正黑体_GBK"/>
          <w:sz w:val="28"/>
        </w:rPr>
        <w:t xml:space="preserve">三、工作保障措施</w:t>
      </w:r>
      <w:bookmarkEnd w:id="2"/>
    </w:p>
    <w:p>
      <w:pPr>
        <w:pStyle w:val="插入文本样式-插入实现年度发展规划目标的保障措施文件"/>
      </w:pPr>
    </w:p>
    <w:p>
      <w:pPr>
        <w:spacing w:before="0" w:after="0" w:line="240"/>
        <w:ind w:firstLine="0"/>
        <w:jc w:val="center"/>
        <w:outlineLvl w:val="9"/>
        <w:sectPr>
          <w:type w:val="nextPage"/>
          <w:pgSz w:w="11900" w:h="16840" w:orient="portrait"/>
          <w:pgMar w:top="1984" w:right="1304" w:bottom="1134" w:left="1304" w:header="720" w:footer="720" w:gutter="0"/>
        </w:sectPr>
      </w:pPr>
      <w:r>
        <w:rPr>
          <w:rFonts w:ascii="方正书宋_GBK" w:eastAsia="方正书宋_GBK" w:hAnsi="方正书宋_GBK" w:cs="方正书宋_GBK"/>
          <w:sz w:val="21"/>
        </w:rPr>
        <w:t xml:space="preserve"> </w:t>
      </w:r>
    </w:p>
    <w:p>
      <w:pPr>
        <w:spacing w:before="0" w:after="0" w:line="240"/>
        <w:ind w:firstLine="0"/>
        <w:jc w:val="center"/>
        <w:outlineLvl w:val="9"/>
      </w:pPr>
      <w:r>
        <w:rPr>
          <w:rFonts w:ascii="方正小标宋_GBK" w:eastAsia="方正小标宋_GBK" w:hAnsi="方正小标宋_GBK" w:cs="方正小标宋_GBK"/>
          <w:sz w:val="52"/>
        </w:rPr>
        <w:t xml:space="preserve"> </w:t>
      </w:r>
    </w:p>
    <w:p>
      <w:pPr>
        <w:spacing w:before="0" w:after="0" w:line="240"/>
        <w:ind w:firstLine="0"/>
        <w:jc w:val="center"/>
        <w:outlineLvl w:val="9"/>
      </w:pPr>
      <w:r>
        <w:rPr>
          <w:rFonts w:ascii="方正小标宋_GBK" w:eastAsia="方正小标宋_GBK" w:hAnsi="方正小标宋_GBK" w:cs="方正小标宋_GBK"/>
          <w:sz w:val="52"/>
        </w:rPr>
        <w:t xml:space="preserve"> </w:t>
      </w:r>
    </w:p>
    <w:p>
      <w:pPr>
        <w:spacing w:before="0" w:after="0" w:line="240"/>
        <w:ind w:firstLine="0"/>
        <w:jc w:val="center"/>
        <w:outlineLvl w:val="9"/>
      </w:pPr>
      <w:r>
        <w:rPr>
          <w:rFonts w:ascii="方正小标宋_GBK" w:eastAsia="方正小标宋_GBK" w:hAnsi="方正小标宋_GBK" w:cs="方正小标宋_GBK"/>
          <w:sz w:val="52"/>
        </w:rPr>
        <w:t xml:space="preserve"> </w:t>
      </w:r>
    </w:p>
    <w:p>
      <w:pPr>
        <w:spacing w:before="0" w:after="0" w:line="240"/>
        <w:ind w:firstLine="0"/>
        <w:jc w:val="center"/>
        <w:outlineLvl w:val="9"/>
      </w:pPr>
      <w:r>
        <w:rPr>
          <w:rFonts w:ascii="方正小标宋_GBK" w:eastAsia="方正小标宋_GBK" w:hAnsi="方正小标宋_GBK" w:cs="方正小标宋_GBK"/>
          <w:sz w:val="44"/>
        </w:rPr>
        <w:t xml:space="preserve">第二部分</w:t>
      </w:r>
    </w:p>
    <w:p>
      <w:pPr>
        <w:spacing w:before="0" w:after="0" w:line="240"/>
        <w:ind w:firstLine="0"/>
        <w:jc w:val="center"/>
        <w:outlineLvl w:val="9"/>
      </w:pPr>
      <w:r>
        <w:rPr>
          <w:rFonts w:ascii="方正小标宋_GBK" w:eastAsia="方正小标宋_GBK" w:hAnsi="方正小标宋_GBK" w:cs="方正小标宋_GBK"/>
          <w:sz w:val="44"/>
        </w:rPr>
        <w:t xml:space="preserve"> </w:t>
      </w:r>
    </w:p>
    <w:p>
      <w:pPr>
        <w:spacing w:before="0" w:after="0" w:line="240"/>
        <w:ind w:firstLine="0"/>
        <w:jc w:val="center"/>
        <w:outlineLvl w:val="0"/>
      </w:pPr>
      <w:r>
        <w:rPr>
          <w:rFonts w:ascii="方正小标宋_GBK" w:eastAsia="方正小标宋_GBK" w:hAnsi="方正小标宋_GBK" w:cs="方正小标宋_GBK"/>
          <w:sz w:val="44"/>
        </w:rPr>
        <w:t xml:space="preserve">预算项目绩效目标</w:t>
      </w:r>
    </w:p>
    <w:p>
      <w:pPr>
        <w:spacing w:before="0" w:after="0" w:line="240"/>
        <w:ind w:firstLine="0"/>
        <w:jc w:val="center"/>
        <w:outlineLvl w:val="9"/>
        <w:sectPr>
          <w:type w:val="nextPage"/>
          <w:pgSz w:w="11900" w:h="16840" w:orient="portrait"/>
          <w:pgMar w:top="1984" w:right="1304" w:bottom="1134" w:left="1304" w:header="720" w:footer="720" w:gutter="0"/>
        </w:sectPr>
      </w:pPr>
      <w:r>
        <w:rPr>
          <w:rFonts w:ascii="方正书宋_GBK" w:eastAsia="方正书宋_GBK" w:hAnsi="方正书宋_GBK" w:cs="方正书宋_GBK"/>
          <w:sz w:val="21"/>
        </w:rPr>
        <w:t xml:space="preserve"> </w:t>
      </w: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3" w:name="_Toc_4_4_0000000004"/>
      <w:r>
        <w:rPr>
          <w:rFonts w:ascii="方正仿宋_GBK" w:eastAsia="方正仿宋_GBK" w:hAnsi="方正仿宋_GBK" w:cs="方正仿宋_GBK"/>
          <w:sz w:val="28"/>
        </w:rPr>
        <w:t xml:space="preserve">1.2026年*政府办机关运行经费*绩效目标表</w:t>
      </w:r>
      <w:bookmarkEnd w:id="3"/>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301101天津市滨海新区人民政府办公室</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2026年*政府办机关运行经费*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500000000.00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500000000.00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租赁符合条件的楼宇,为各集中办公区工作人员提供必要的办公条件。通过采购优质的运维企业，为各集中办公区提供设备、设施、绿化等维护服务，确保各项设施正常运转。通过采购优质的物业公司为集中办公区提供保洁、安保、餐饮、设备设施维护等服务，为集中办公区工作人员创造良好的办公环境。</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租赁符合条件的楼宇,为各集中办公区工作人员提供必要的办公条件。通过采购优质的运维企业，为各集中办公区提供设备、设施、绿化等维护服务，确保各项设施正常运转。通过采购优质的物业公司为集中办公区提供保洁、安保、餐饮、设备设施维护等服务，为集中办公区工作人员创造良好的办公环境。</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保障集中办公区运营内容项数</w:t>
            </w:r>
          </w:p>
        </w:tc>
        <w:tc>
          <w:tcPr>
            <w:tcW w:w="3430" w:type="dxa"/>
            <w:hMerge w:val="restart"/>
            <w:vAlign w:val="center"/>
          </w:tcPr>
          <w:p>
            <w:pPr>
              <w:pStyle w:val="单元格样式2"/>
            </w:pPr>
            <w:r>
              <w:t xml:space="preserve">通过考量保障集中办公区运营内容项数，反映集中办公区运营保障工作开展的完成情况。</w:t>
            </w:r>
          </w:p>
        </w:tc>
        <w:tc>
          <w:tcPr>
            <w:tcW w:w="0" w:type="auto"/>
            <w:hMerge/>
            <w:vAlign w:val="center"/>
          </w:tcPr>
          <w:p>
            <w:pPr/>
          </w:p>
        </w:tc>
        <w:tc>
          <w:tcPr>
            <w:tcW w:w="2551" w:type="dxa"/>
            <w:hMerge w:val="restart"/>
            <w:vAlign w:val="center"/>
          </w:tcPr>
          <w:p>
            <w:pPr>
              <w:pStyle w:val="单元格样式2"/>
            </w:pPr>
            <w:r>
              <w:t xml:space="preserve">≥15项</w:t>
            </w:r>
          </w:p>
        </w:tc>
        <w:tc>
          <w:tcPr>
            <w:tcW w:w="0" w:type="auto"/>
            <w:hMerge/>
          </w:tcPr>
          <w:p>
            <w:pPr>
              <w:pStyle w:val="单元格样式2"/>
            </w:pPr>
            <w:r>
              <w:t xml:space="preserve">按照集中办公区后勤保障相关计划和安排</w:t>
            </w: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租用集中办公区面积</w:t>
            </w:r>
          </w:p>
        </w:tc>
        <w:tc>
          <w:tcPr>
            <w:tcW w:w="3430" w:type="dxa"/>
            <w:hMerge w:val="restart"/>
            <w:vAlign w:val="center"/>
          </w:tcPr>
          <w:p>
            <w:pPr>
              <w:pStyle w:val="单元格样式2"/>
            </w:pPr>
            <w:r>
              <w:t xml:space="preserve">通过考量租用集中办公区的面积数量，反映保障集中办公区工作的完成情况。</w:t>
            </w:r>
          </w:p>
        </w:tc>
        <w:tc>
          <w:tcPr>
            <w:tcW w:w="0" w:type="auto"/>
            <w:hMerge/>
            <w:vAlign w:val="center"/>
          </w:tcPr>
          <w:p>
            <w:pPr/>
          </w:p>
        </w:tc>
        <w:tc>
          <w:tcPr>
            <w:tcW w:w="2551" w:type="dxa"/>
            <w:hMerge w:val="restart"/>
            <w:vAlign w:val="center"/>
          </w:tcPr>
          <w:p>
            <w:pPr>
              <w:pStyle w:val="单元格样式2"/>
            </w:pPr>
            <w:r>
              <w:t xml:space="preserve">≥45万平方米</w:t>
            </w:r>
          </w:p>
        </w:tc>
        <w:tc>
          <w:tcPr>
            <w:tcW w:w="0" w:type="auto"/>
            <w:hMerge/>
          </w:tcPr>
          <w:p>
            <w:pPr>
              <w:pStyle w:val="单元格样式2"/>
            </w:pPr>
            <w:r>
              <w:t xml:space="preserve">按照集中办公区后勤保障相关计划和安排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保障集中办公区运营内容覆盖率</w:t>
            </w:r>
          </w:p>
        </w:tc>
        <w:tc>
          <w:tcPr>
            <w:tcW w:w="3430" w:type="dxa"/>
            <w:hMerge w:val="restart"/>
            <w:vAlign w:val="center"/>
          </w:tcPr>
          <w:p>
            <w:pPr>
              <w:pStyle w:val="单元格样式2"/>
            </w:pPr>
            <w:r>
              <w:t xml:space="preserve">通过实际保障的集中办公区运营内容数量与集中办公区运营内容总数比对，反映保障集中办公区运营内容的覆盖情况。计算公式：保障集中办公区运营内容覆盖率=实际保障的集中办公区运营内容数量÷集中办公区运营内容总数×100%。</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r>
              <w:t xml:space="preserve">按照集中办公区后勤保障相关计划和安排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保障集中办公区面积的覆盖率</w:t>
            </w:r>
          </w:p>
        </w:tc>
        <w:tc>
          <w:tcPr>
            <w:tcW w:w="3430" w:type="dxa"/>
            <w:hMerge w:val="restart"/>
            <w:vAlign w:val="center"/>
          </w:tcPr>
          <w:p>
            <w:pPr>
              <w:pStyle w:val="单元格样式2"/>
            </w:pPr>
            <w:r>
              <w:t xml:space="preserve">通过实际保障的集中办公区面积与集中办公区总面积比对，反映保障集中办公区运营面积的覆盖情况。计算公式：保障集中办公区面积的覆盖率=实际保障的集中办公区面积÷集中办公区总面积×100%。</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r>
              <w:t xml:space="preserve">按照集中办公区后勤保障相关计划和安排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保障集中办公区正常运转时间</w:t>
            </w:r>
          </w:p>
        </w:tc>
        <w:tc>
          <w:tcPr>
            <w:tcW w:w="3430" w:type="dxa"/>
            <w:hMerge w:val="restart"/>
            <w:vAlign w:val="center"/>
          </w:tcPr>
          <w:p>
            <w:pPr>
              <w:pStyle w:val="单元格样式2"/>
            </w:pPr>
            <w:r>
              <w:t xml:space="preserve">保障集中办公区正常运转时间。</w:t>
            </w:r>
          </w:p>
        </w:tc>
        <w:tc>
          <w:tcPr>
            <w:tcW w:w="0" w:type="auto"/>
            <w:hMerge/>
            <w:vAlign w:val="center"/>
          </w:tcPr>
          <w:p>
            <w:pPr/>
          </w:p>
        </w:tc>
        <w:tc>
          <w:tcPr>
            <w:tcW w:w="2551" w:type="dxa"/>
            <w:hMerge w:val="restart"/>
            <w:vAlign w:val="center"/>
          </w:tcPr>
          <w:p>
            <w:pPr>
              <w:pStyle w:val="单元格样式2"/>
            </w:pPr>
            <w:r>
              <w:t xml:space="preserve">2026年1月到2026年12月</w:t>
            </w:r>
          </w:p>
        </w:tc>
        <w:tc>
          <w:tcPr>
            <w:tcW w:w="0" w:type="auto"/>
            <w:hMerge/>
          </w:tcPr>
          <w:p>
            <w:pPr>
              <w:pStyle w:val="单元格样式2"/>
            </w:pPr>
            <w:r>
              <w:t xml:space="preserve">按照集中办公区后勤保障相关计划和安排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集中办公区每平米日租金标准</w:t>
            </w:r>
          </w:p>
        </w:tc>
        <w:tc>
          <w:tcPr>
            <w:tcW w:w="3430" w:type="dxa"/>
            <w:hMerge w:val="restart"/>
            <w:vAlign w:val="center"/>
          </w:tcPr>
          <w:p>
            <w:pPr>
              <w:pStyle w:val="单元格样式2"/>
            </w:pPr>
            <w:r>
              <w:t xml:space="preserve">通过考核集中办公区每平米日租金标准，反映集中办公区房租费用的成本控制情况。</w:t>
            </w:r>
          </w:p>
        </w:tc>
        <w:tc>
          <w:tcPr>
            <w:tcW w:w="0" w:type="auto"/>
            <w:hMerge/>
            <w:vAlign w:val="center"/>
          </w:tcPr>
          <w:p>
            <w:pPr/>
          </w:p>
        </w:tc>
        <w:tc>
          <w:tcPr>
            <w:tcW w:w="2551" w:type="dxa"/>
            <w:hMerge w:val="restart"/>
            <w:vAlign w:val="center"/>
          </w:tcPr>
          <w:p>
            <w:pPr>
              <w:pStyle w:val="单元格样式2"/>
            </w:pPr>
            <w:r>
              <w:t xml:space="preserve">≤2.99元/米.日</w:t>
            </w:r>
          </w:p>
        </w:tc>
        <w:tc>
          <w:tcPr>
            <w:tcW w:w="0" w:type="auto"/>
            <w:hMerge/>
          </w:tcPr>
          <w:p>
            <w:pPr>
              <w:pStyle w:val="单元格样式2"/>
            </w:pPr>
            <w:r>
              <w:t xml:space="preserve">按照集中办公区后勤保障相关计划和安排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集中办公区每平米年物业费标准</w:t>
            </w:r>
          </w:p>
        </w:tc>
        <w:tc>
          <w:tcPr>
            <w:tcW w:w="3430" w:type="dxa"/>
            <w:hMerge w:val="restart"/>
            <w:vAlign w:val="center"/>
          </w:tcPr>
          <w:p>
            <w:pPr>
              <w:pStyle w:val="单元格样式2"/>
            </w:pPr>
            <w:r>
              <w:t xml:space="preserve">通过考核集中办公区每平米年物业费标准，反映集中办公区物业费用的成本控制情况。</w:t>
            </w:r>
          </w:p>
        </w:tc>
        <w:tc>
          <w:tcPr>
            <w:tcW w:w="0" w:type="auto"/>
            <w:hMerge/>
            <w:vAlign w:val="center"/>
          </w:tcPr>
          <w:p>
            <w:pPr/>
          </w:p>
        </w:tc>
        <w:tc>
          <w:tcPr>
            <w:tcW w:w="2551" w:type="dxa"/>
            <w:hMerge w:val="restart"/>
            <w:vAlign w:val="center"/>
          </w:tcPr>
          <w:p>
            <w:pPr>
              <w:pStyle w:val="单元格样式2"/>
            </w:pPr>
            <w:r>
              <w:t xml:space="preserve">≤99元/米.年</w:t>
            </w:r>
          </w:p>
        </w:tc>
        <w:tc>
          <w:tcPr>
            <w:tcW w:w="0" w:type="auto"/>
            <w:hMerge/>
          </w:tcPr>
          <w:p>
            <w:pPr>
              <w:pStyle w:val="单元格样式2"/>
            </w:pPr>
            <w:r>
              <w:t xml:space="preserve">按照集中办公区后勤保障相关计划和安排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集中办公区能源费用</w:t>
            </w:r>
          </w:p>
        </w:tc>
        <w:tc>
          <w:tcPr>
            <w:tcW w:w="3430" w:type="dxa"/>
            <w:hMerge w:val="restart"/>
            <w:vAlign w:val="center"/>
          </w:tcPr>
          <w:p>
            <w:pPr>
              <w:pStyle w:val="单元格样式2"/>
            </w:pPr>
            <w:r>
              <w:t xml:space="preserve">通过实际支出金额与计划支出金额比对，反映集中办公区能源费用的成本控制情况。</w:t>
            </w:r>
          </w:p>
        </w:tc>
        <w:tc>
          <w:tcPr>
            <w:tcW w:w="0" w:type="auto"/>
            <w:hMerge/>
            <w:vAlign w:val="center"/>
          </w:tcPr>
          <w:p>
            <w:pPr/>
          </w:p>
        </w:tc>
        <w:tc>
          <w:tcPr>
            <w:tcW w:w="2551" w:type="dxa"/>
            <w:hMerge w:val="restart"/>
            <w:vAlign w:val="center"/>
          </w:tcPr>
          <w:p>
            <w:pPr>
              <w:pStyle w:val="单元格样式2"/>
            </w:pPr>
            <w:r>
              <w:t xml:space="preserve">&lt;4000万元</w:t>
            </w:r>
          </w:p>
        </w:tc>
        <w:tc>
          <w:tcPr>
            <w:tcW w:w="0" w:type="auto"/>
            <w:hMerge/>
          </w:tcPr>
          <w:p>
            <w:pPr>
              <w:pStyle w:val="单元格样式2"/>
            </w:pPr>
            <w:r>
              <w:t xml:space="preserve">按照集中办公区后勤保障相关计划和安排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集中办公区弱电及电脑外设系统运行维护费用</w:t>
            </w:r>
          </w:p>
        </w:tc>
        <w:tc>
          <w:tcPr>
            <w:tcW w:w="3430" w:type="dxa"/>
            <w:hMerge w:val="restart"/>
            <w:vAlign w:val="center"/>
          </w:tcPr>
          <w:p>
            <w:pPr>
              <w:pStyle w:val="单元格样式2"/>
            </w:pPr>
            <w:r>
              <w:t xml:space="preserve">通过实际支出金额与计划支出金额比对，反映集中办公区弱电及电脑外设系统运行费用的成本控制情况。</w:t>
            </w:r>
          </w:p>
        </w:tc>
        <w:tc>
          <w:tcPr>
            <w:tcW w:w="0" w:type="auto"/>
            <w:hMerge/>
            <w:vAlign w:val="center"/>
          </w:tcPr>
          <w:p>
            <w:pPr/>
          </w:p>
        </w:tc>
        <w:tc>
          <w:tcPr>
            <w:tcW w:w="2551" w:type="dxa"/>
            <w:hMerge w:val="restart"/>
            <w:vAlign w:val="center"/>
          </w:tcPr>
          <w:p>
            <w:pPr>
              <w:pStyle w:val="单元格样式2"/>
            </w:pPr>
            <w:r>
              <w:t xml:space="preserve">&lt;1055万元</w:t>
            </w:r>
          </w:p>
        </w:tc>
        <w:tc>
          <w:tcPr>
            <w:tcW w:w="0" w:type="auto"/>
            <w:hMerge/>
          </w:tcPr>
          <w:p>
            <w:pPr>
              <w:pStyle w:val="单元格样式2"/>
            </w:pPr>
            <w:r>
              <w:t xml:space="preserve">按照集中办公区后勤保障相关计划和安排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集中办公区绿化等其他运行维护费用</w:t>
            </w:r>
          </w:p>
        </w:tc>
        <w:tc>
          <w:tcPr>
            <w:tcW w:w="3430" w:type="dxa"/>
            <w:hMerge w:val="restart"/>
            <w:vAlign w:val="center"/>
          </w:tcPr>
          <w:p>
            <w:pPr>
              <w:pStyle w:val="单元格样式2"/>
            </w:pPr>
            <w:r>
              <w:t xml:space="preserve">通过实际支出金额与计划支出金额比对，反映集中办公区绿化等其他运行维护费用的成本控制情况。</w:t>
            </w:r>
          </w:p>
        </w:tc>
        <w:tc>
          <w:tcPr>
            <w:tcW w:w="0" w:type="auto"/>
            <w:hMerge/>
            <w:vAlign w:val="center"/>
          </w:tcPr>
          <w:p>
            <w:pPr/>
          </w:p>
        </w:tc>
        <w:tc>
          <w:tcPr>
            <w:tcW w:w="2551" w:type="dxa"/>
            <w:hMerge w:val="restart"/>
            <w:vAlign w:val="center"/>
          </w:tcPr>
          <w:p>
            <w:pPr>
              <w:pStyle w:val="单元格样式2"/>
            </w:pPr>
            <w:r>
              <w:t xml:space="preserve">&lt;250万元</w:t>
            </w:r>
          </w:p>
        </w:tc>
        <w:tc>
          <w:tcPr>
            <w:tcW w:w="0" w:type="auto"/>
            <w:hMerge/>
          </w:tcPr>
          <w:p>
            <w:pPr>
              <w:pStyle w:val="单元格样式2"/>
            </w:pPr>
            <w:r>
              <w:t xml:space="preserve">按照集中办公区后勤保障相关计划和安排</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保障集中办公区正常运转率</w:t>
            </w:r>
          </w:p>
        </w:tc>
        <w:tc>
          <w:tcPr>
            <w:tcW w:w="3430" w:type="dxa"/>
            <w:hMerge w:val="restart"/>
            <w:vAlign w:val="center"/>
          </w:tcPr>
          <w:p>
            <w:pPr>
              <w:pStyle w:val="单元格样式2"/>
            </w:pPr>
            <w:r>
              <w:t xml:space="preserve">通过实际保障的集中办公区正常运转数量与集中办公区总数比对，反映保障集中办公区的正常运转情况。计算公式：保障集中办公区正常运转率=实际保障的集中办公区正常运转数量÷集中办公区总数×100%</w:t>
            </w:r>
          </w:p>
        </w:tc>
        <w:tc>
          <w:tcPr>
            <w:tcW w:w="0" w:type="auto"/>
            <w:hMerge/>
            <w:vAlign w:val="center"/>
          </w:tcPr>
          <w:p>
            <w:pPr/>
          </w:p>
        </w:tc>
        <w:tc>
          <w:tcPr>
            <w:tcW w:w="2551" w:type="dxa"/>
            <w:hMerge w:val="restart"/>
            <w:vAlign w:val="center"/>
          </w:tcPr>
          <w:p>
            <w:pPr>
              <w:pStyle w:val="单元格样式2"/>
            </w:pPr>
            <w:r>
              <w:t xml:space="preserve">≥98%</w:t>
            </w:r>
          </w:p>
        </w:tc>
        <w:tc>
          <w:tcPr>
            <w:tcW w:w="0" w:type="auto"/>
            <w:hMerge/>
          </w:tcPr>
          <w:p>
            <w:pPr>
              <w:pStyle w:val="单元格样式2"/>
            </w:pPr>
            <w:r>
              <w:t xml:space="preserve">按照集中办公区后勤保障相关计划和安排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集中办公区工作人员满意度</w:t>
            </w:r>
          </w:p>
        </w:tc>
        <w:tc>
          <w:tcPr>
            <w:tcW w:w="3430" w:type="dxa"/>
            <w:hMerge w:val="restart"/>
            <w:vAlign w:val="center"/>
          </w:tcPr>
          <w:p>
            <w:pPr>
              <w:pStyle w:val="单元格样式2"/>
            </w:pPr>
            <w:r>
              <w:t xml:space="preserve">通过调查问卷中满意人数与调查总人数的比率，反映被调查对象对本项目的满意程度。计算公式：各类问题满意人数÷调查总人数×100%。</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r>
              <w:t xml:space="preserve">按照集中办公区后勤保障相关计划和安排</w:t>
            </w: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4" w:name="_Toc_4_4_0000000005"/>
      <w:r>
        <w:rPr>
          <w:rFonts w:ascii="方正仿宋_GBK" w:eastAsia="方正仿宋_GBK" w:hAnsi="方正仿宋_GBK" w:cs="方正仿宋_GBK"/>
          <w:sz w:val="28"/>
        </w:rPr>
        <w:t xml:space="preserve">2.2026年政府办工作经费绩效目标表</w:t>
      </w:r>
      <w:bookmarkEnd w:id="4"/>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301101天津市滨海新区人民政府办公室</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2026年政府办工作经费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4690000.00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4690000.00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安排好区政府接待活动，提升滨海新区的知名度和影响力。通过做好平台公务用车管理，保障公务用车日常运行所需费用，提升公务活动效率。通过采购相关专业机构参与机关文印制证中心运营，提升政府科学决策、依法执政水平及政府工作效能。</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安排好区政府接待活动，提升滨海新区的知名度和影响力。通过做好平台公务用车管理，保障公务用车日常运行所需费用，提升公务活动效率。通过采购相关专业机构参与机关文印制证中心运营，提升政府科学决策、依法执政水平及政府工作效能。</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接待团组数量</w:t>
            </w:r>
          </w:p>
        </w:tc>
        <w:tc>
          <w:tcPr>
            <w:tcW w:w="3430" w:type="dxa"/>
            <w:hMerge w:val="restart"/>
            <w:vAlign w:val="center"/>
          </w:tcPr>
          <w:p>
            <w:pPr>
              <w:pStyle w:val="单元格样式2"/>
            </w:pPr>
            <w:r>
              <w:t xml:space="preserve">通过考量接待团组数量，反映接待活动专项工作开展的完成情况。</w:t>
            </w:r>
          </w:p>
        </w:tc>
        <w:tc>
          <w:tcPr>
            <w:tcW w:w="0" w:type="auto"/>
            <w:hMerge/>
            <w:vAlign w:val="center"/>
          </w:tcPr>
          <w:p>
            <w:pPr/>
          </w:p>
        </w:tc>
        <w:tc>
          <w:tcPr>
            <w:tcW w:w="2551" w:type="dxa"/>
            <w:hMerge w:val="restart"/>
            <w:vAlign w:val="center"/>
          </w:tcPr>
          <w:p>
            <w:pPr>
              <w:pStyle w:val="单元格样式2"/>
            </w:pPr>
            <w:r>
              <w:t xml:space="preserve">≥50组</w:t>
            </w:r>
          </w:p>
        </w:tc>
        <w:tc>
          <w:tcPr>
            <w:tcW w:w="0" w:type="auto"/>
            <w:hMerge/>
          </w:tcPr>
          <w:p>
            <w:pPr>
              <w:pStyle w:val="单元格样式2"/>
            </w:pPr>
            <w:r>
              <w:t xml:space="preserve">按照每年常规接待团组数量确定</w:t>
            </w: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公务用车数量</w:t>
            </w:r>
          </w:p>
        </w:tc>
        <w:tc>
          <w:tcPr>
            <w:tcW w:w="3430" w:type="dxa"/>
            <w:hMerge w:val="restart"/>
            <w:vAlign w:val="center"/>
          </w:tcPr>
          <w:p>
            <w:pPr>
              <w:pStyle w:val="单元格样式2"/>
            </w:pPr>
            <w:r>
              <w:t xml:space="preserve">通过考量公务用车数量，反映公务用车运行专项工作完成情况。</w:t>
            </w:r>
          </w:p>
        </w:tc>
        <w:tc>
          <w:tcPr>
            <w:tcW w:w="0" w:type="auto"/>
            <w:hMerge/>
            <w:vAlign w:val="center"/>
          </w:tcPr>
          <w:p>
            <w:pPr/>
          </w:p>
        </w:tc>
        <w:tc>
          <w:tcPr>
            <w:tcW w:w="2551" w:type="dxa"/>
            <w:hMerge w:val="restart"/>
            <w:vAlign w:val="center"/>
          </w:tcPr>
          <w:p>
            <w:pPr>
              <w:pStyle w:val="单元格样式2"/>
            </w:pPr>
            <w:r>
              <w:t xml:space="preserve">≥141辆</w:t>
            </w:r>
          </w:p>
        </w:tc>
        <w:tc>
          <w:tcPr>
            <w:tcW w:w="0" w:type="auto"/>
            <w:hMerge/>
          </w:tcPr>
          <w:p>
            <w:pPr>
              <w:pStyle w:val="单元格样式2"/>
            </w:pPr>
            <w:r>
              <w:t xml:space="preserve">公务用车平台实际管理车辆数量确定</w:t>
            </w: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文印中心印刷量</w:t>
            </w:r>
          </w:p>
        </w:tc>
        <w:tc>
          <w:tcPr>
            <w:tcW w:w="3430" w:type="dxa"/>
            <w:hMerge w:val="restart"/>
            <w:vAlign w:val="center"/>
          </w:tcPr>
          <w:p>
            <w:pPr>
              <w:pStyle w:val="单元格样式2"/>
            </w:pPr>
            <w:r>
              <w:t xml:space="preserve">通过考量文印中心印刷数量，反映机关文印中心工作开展情况。</w:t>
            </w:r>
          </w:p>
        </w:tc>
        <w:tc>
          <w:tcPr>
            <w:tcW w:w="0" w:type="auto"/>
            <w:hMerge/>
            <w:vAlign w:val="center"/>
          </w:tcPr>
          <w:p>
            <w:pPr/>
          </w:p>
        </w:tc>
        <w:tc>
          <w:tcPr>
            <w:tcW w:w="2551" w:type="dxa"/>
            <w:hMerge w:val="restart"/>
            <w:vAlign w:val="center"/>
          </w:tcPr>
          <w:p>
            <w:pPr>
              <w:pStyle w:val="单元格样式2"/>
            </w:pPr>
            <w:r>
              <w:t xml:space="preserve">≥20万张</w:t>
            </w:r>
          </w:p>
        </w:tc>
        <w:tc>
          <w:tcPr>
            <w:tcW w:w="0" w:type="auto"/>
            <w:hMerge/>
          </w:tcPr>
          <w:p>
            <w:pPr>
              <w:pStyle w:val="单元格样式2"/>
            </w:pPr>
            <w:r>
              <w:t xml:space="preserve">按照文印中心年度工作量确定</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接待对象需求保障率</w:t>
            </w:r>
          </w:p>
        </w:tc>
        <w:tc>
          <w:tcPr>
            <w:tcW w:w="3430" w:type="dxa"/>
            <w:hMerge w:val="restart"/>
            <w:vAlign w:val="center"/>
          </w:tcPr>
          <w:p>
            <w:pPr>
              <w:pStyle w:val="单元格样式2"/>
            </w:pPr>
            <w:r>
              <w:t xml:space="preserve">通过实际达到标准的接待对象需求与接待对象需求总数比对，反映接待对象需求达标情况。计算公式：接待对象需求完成率=实际达到标准的接待对象需求数量÷接待对象需求总数×100%</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r>
              <w:t xml:space="preserve">按照接待标准执行</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公务用车正常运转率</w:t>
            </w:r>
          </w:p>
        </w:tc>
        <w:tc>
          <w:tcPr>
            <w:tcW w:w="3430" w:type="dxa"/>
            <w:hMerge w:val="restart"/>
            <w:vAlign w:val="center"/>
          </w:tcPr>
          <w:p>
            <w:pPr>
              <w:pStyle w:val="单元格样式2"/>
            </w:pPr>
            <w:r>
              <w:t xml:space="preserve">通过实际正常运转的公务用车数量与公务用车总数比对，反映公务用车正常运转情况。计算公式：公务用车正常运转率=实际正常运转的公务用车数量÷公务用车总数×100%</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r>
              <w:t xml:space="preserve">公务用车平台管理工作相关安排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文印制证中心正常运转率</w:t>
            </w:r>
          </w:p>
        </w:tc>
        <w:tc>
          <w:tcPr>
            <w:tcW w:w="3430" w:type="dxa"/>
            <w:hMerge w:val="restart"/>
            <w:vAlign w:val="center"/>
          </w:tcPr>
          <w:p>
            <w:pPr>
              <w:pStyle w:val="单元格样式2"/>
            </w:pPr>
            <w:r>
              <w:t xml:space="preserve">通过实际按时完成数量与需要完成总数比对，反映工作正常运转情况。计算公式：按时完成率=按时完成数量÷需要完成总数×100%</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r>
              <w:t xml:space="preserve">按照文印中心年度工作量确定</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政府办工作经费保障时间</w:t>
            </w:r>
          </w:p>
        </w:tc>
        <w:tc>
          <w:tcPr>
            <w:tcW w:w="3430" w:type="dxa"/>
            <w:hMerge w:val="restart"/>
            <w:vAlign w:val="center"/>
          </w:tcPr>
          <w:p>
            <w:pPr>
              <w:pStyle w:val="单元格样式2"/>
            </w:pPr>
            <w:r>
              <w:t xml:space="preserve">政府办工作经费保障时间</w:t>
            </w:r>
          </w:p>
        </w:tc>
        <w:tc>
          <w:tcPr>
            <w:tcW w:w="0" w:type="auto"/>
            <w:hMerge/>
            <w:vAlign w:val="center"/>
          </w:tcPr>
          <w:p>
            <w:pPr/>
          </w:p>
        </w:tc>
        <w:tc>
          <w:tcPr>
            <w:tcW w:w="2551" w:type="dxa"/>
            <w:hMerge w:val="restart"/>
            <w:vAlign w:val="center"/>
          </w:tcPr>
          <w:p>
            <w:pPr>
              <w:pStyle w:val="单元格样式2"/>
            </w:pPr>
            <w:r>
              <w:t xml:space="preserve">2026年1月到2026年12月</w:t>
            </w:r>
          </w:p>
        </w:tc>
        <w:tc>
          <w:tcPr>
            <w:tcW w:w="0" w:type="auto"/>
            <w:hMerge/>
          </w:tcPr>
          <w:p>
            <w:pPr>
              <w:pStyle w:val="单元格样式2"/>
            </w:pPr>
            <w:r>
              <w:t xml:space="preserve">按照合同约定执行</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国内公务接待餐费标准</w:t>
            </w:r>
          </w:p>
        </w:tc>
        <w:tc>
          <w:tcPr>
            <w:tcW w:w="3430" w:type="dxa"/>
            <w:hMerge w:val="restart"/>
            <w:vAlign w:val="center"/>
          </w:tcPr>
          <w:p>
            <w:pPr>
              <w:pStyle w:val="单元格样式2"/>
            </w:pPr>
            <w:r>
              <w:t xml:space="preserve">通过实际接待餐标准与规定用餐标准比对，反映接待用餐标准的符合情况。</w:t>
            </w:r>
          </w:p>
        </w:tc>
        <w:tc>
          <w:tcPr>
            <w:tcW w:w="0" w:type="auto"/>
            <w:hMerge/>
            <w:vAlign w:val="center"/>
          </w:tcPr>
          <w:p>
            <w:pPr/>
          </w:p>
        </w:tc>
        <w:tc>
          <w:tcPr>
            <w:tcW w:w="2551" w:type="dxa"/>
            <w:hMerge w:val="restart"/>
            <w:vAlign w:val="center"/>
          </w:tcPr>
          <w:p>
            <w:pPr>
              <w:pStyle w:val="单元格样式2"/>
            </w:pPr>
            <w:r>
              <w:t xml:space="preserve">≤120元/人.餐</w:t>
            </w:r>
          </w:p>
        </w:tc>
        <w:tc>
          <w:tcPr>
            <w:tcW w:w="0" w:type="auto"/>
            <w:hMerge/>
          </w:tcPr>
          <w:p>
            <w:pPr>
              <w:pStyle w:val="单元格样式2"/>
            </w:pPr>
            <w:r>
              <w:t xml:space="preserve">按照接待标准执行</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公务用车平台车辆运行成本</w:t>
            </w:r>
          </w:p>
        </w:tc>
        <w:tc>
          <w:tcPr>
            <w:tcW w:w="3430" w:type="dxa"/>
            <w:hMerge w:val="restart"/>
            <w:vAlign w:val="center"/>
          </w:tcPr>
          <w:p>
            <w:pPr>
              <w:pStyle w:val="单元格样式2"/>
            </w:pPr>
            <w:r>
              <w:t xml:space="preserve">通过实际支出金额与计划支出金额比对，反映公务用车运行成本控制情况。</w:t>
            </w:r>
          </w:p>
        </w:tc>
        <w:tc>
          <w:tcPr>
            <w:tcW w:w="0" w:type="auto"/>
            <w:hMerge/>
            <w:vAlign w:val="center"/>
          </w:tcPr>
          <w:p>
            <w:pPr/>
          </w:p>
        </w:tc>
        <w:tc>
          <w:tcPr>
            <w:tcW w:w="2551" w:type="dxa"/>
            <w:hMerge w:val="restart"/>
            <w:vAlign w:val="center"/>
          </w:tcPr>
          <w:p>
            <w:pPr>
              <w:pStyle w:val="单元格样式2"/>
            </w:pPr>
            <w:r>
              <w:t xml:space="preserve">≤258.15万元</w:t>
            </w:r>
          </w:p>
        </w:tc>
        <w:tc>
          <w:tcPr>
            <w:tcW w:w="0" w:type="auto"/>
            <w:hMerge/>
          </w:tcPr>
          <w:p>
            <w:pPr>
              <w:pStyle w:val="单元格样式2"/>
            </w:pPr>
            <w:r>
              <w:t xml:space="preserve">公务用车平台管理工作相关安排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公务用车定位系统运行费用</w:t>
            </w:r>
          </w:p>
        </w:tc>
        <w:tc>
          <w:tcPr>
            <w:tcW w:w="3430" w:type="dxa"/>
            <w:hMerge w:val="restart"/>
            <w:vAlign w:val="center"/>
          </w:tcPr>
          <w:p>
            <w:pPr>
              <w:pStyle w:val="单元格样式2"/>
            </w:pPr>
            <w:r>
              <w:t xml:space="preserve">通过实际支出金额与计划支出金额比对，反映公务用车定位系统运行成本控制情况。</w:t>
            </w:r>
          </w:p>
        </w:tc>
        <w:tc>
          <w:tcPr>
            <w:tcW w:w="0" w:type="auto"/>
            <w:hMerge/>
            <w:vAlign w:val="center"/>
          </w:tcPr>
          <w:p>
            <w:pPr/>
          </w:p>
        </w:tc>
        <w:tc>
          <w:tcPr>
            <w:tcW w:w="2551" w:type="dxa"/>
            <w:hMerge w:val="restart"/>
            <w:vAlign w:val="center"/>
          </w:tcPr>
          <w:p>
            <w:pPr>
              <w:pStyle w:val="单元格样式2"/>
            </w:pPr>
            <w:r>
              <w:t xml:space="preserve">≤6.62万元</w:t>
            </w:r>
          </w:p>
        </w:tc>
        <w:tc>
          <w:tcPr>
            <w:tcW w:w="0" w:type="auto"/>
            <w:hMerge/>
          </w:tcPr>
          <w:p>
            <w:pPr>
              <w:pStyle w:val="单元格样式2"/>
            </w:pPr>
            <w:r>
              <w:t xml:space="preserve">按照合同约定执行</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机关文印制证中心运行成本</w:t>
            </w:r>
          </w:p>
        </w:tc>
        <w:tc>
          <w:tcPr>
            <w:tcW w:w="3430" w:type="dxa"/>
            <w:hMerge w:val="restart"/>
            <w:vAlign w:val="center"/>
          </w:tcPr>
          <w:p>
            <w:pPr>
              <w:pStyle w:val="单元格样式2"/>
            </w:pPr>
            <w:r>
              <w:t xml:space="preserve">通过实际支出金额与计划支出金额比对，反映公务用车养护费用的成本控制情况。</w:t>
            </w:r>
          </w:p>
        </w:tc>
        <w:tc>
          <w:tcPr>
            <w:tcW w:w="0" w:type="auto"/>
            <w:hMerge/>
            <w:vAlign w:val="center"/>
          </w:tcPr>
          <w:p>
            <w:pPr/>
          </w:p>
        </w:tc>
        <w:tc>
          <w:tcPr>
            <w:tcW w:w="2551" w:type="dxa"/>
            <w:hMerge w:val="restart"/>
            <w:vAlign w:val="center"/>
          </w:tcPr>
          <w:p>
            <w:pPr>
              <w:pStyle w:val="单元格样式2"/>
            </w:pPr>
            <w:r>
              <w:t xml:space="preserve">≤143.18万元</w:t>
            </w:r>
          </w:p>
        </w:tc>
        <w:tc>
          <w:tcPr>
            <w:tcW w:w="0" w:type="auto"/>
            <w:hMerge/>
          </w:tcPr>
          <w:p>
            <w:pPr>
              <w:pStyle w:val="单元格样式2"/>
            </w:pPr>
            <w:r>
              <w:t xml:space="preserve">按照机关文印相关规定</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提高政府服务工作能力</w:t>
            </w:r>
          </w:p>
        </w:tc>
        <w:tc>
          <w:tcPr>
            <w:tcW w:w="3430" w:type="dxa"/>
            <w:hMerge w:val="restart"/>
            <w:vAlign w:val="center"/>
          </w:tcPr>
          <w:p>
            <w:pPr>
              <w:pStyle w:val="单元格样式2"/>
            </w:pPr>
            <w:r>
              <w:t xml:space="preserve">提高政府服务工作能力</w:t>
            </w:r>
          </w:p>
        </w:tc>
        <w:tc>
          <w:tcPr>
            <w:tcW w:w="0" w:type="auto"/>
            <w:hMerge/>
            <w:vAlign w:val="center"/>
          </w:tcPr>
          <w:p>
            <w:pPr/>
          </w:p>
        </w:tc>
        <w:tc>
          <w:tcPr>
            <w:tcW w:w="2551" w:type="dxa"/>
            <w:hMerge w:val="restart"/>
            <w:vAlign w:val="center"/>
          </w:tcPr>
          <w:p>
            <w:pPr>
              <w:pStyle w:val="单元格样式2"/>
            </w:pPr>
            <w:r>
              <w:t xml:space="preserve">有效提升</w:t>
            </w:r>
          </w:p>
        </w:tc>
        <w:tc>
          <w:tcPr>
            <w:tcW w:w="0" w:type="auto"/>
            <w:hMerge/>
          </w:tcPr>
          <w:p>
            <w:pPr>
              <w:pStyle w:val="单元格样式2"/>
            </w:pPr>
            <w:r>
              <w:t xml:space="preserve">按照政府服务的标准执行</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接受政府服务的人员满意度</w:t>
            </w:r>
          </w:p>
        </w:tc>
        <w:tc>
          <w:tcPr>
            <w:tcW w:w="3430" w:type="dxa"/>
            <w:hMerge w:val="restart"/>
            <w:vAlign w:val="center"/>
          </w:tcPr>
          <w:p>
            <w:pPr>
              <w:pStyle w:val="单元格样式2"/>
            </w:pPr>
            <w:r>
              <w:t xml:space="preserve">满意人数与总人数的比率，反映对本项目的满意程度。</w:t>
            </w:r>
          </w:p>
          <w:p>
            <w:pPr>
              <w:pStyle w:val="单元格样式2"/>
            </w:pPr>
            <w:r>
              <w:t xml:space="preserve">计算公式：各类问题满意人数÷总人数×100%</w:t>
            </w:r>
          </w:p>
        </w:tc>
        <w:tc>
          <w:tcPr>
            <w:tcW w:w="0" w:type="auto"/>
            <w:hMerge/>
            <w:vAlign w:val="center"/>
          </w:tcPr>
          <w:p>
            <w:pPr/>
          </w:p>
        </w:tc>
        <w:tc>
          <w:tcPr>
            <w:tcW w:w="2551" w:type="dxa"/>
            <w:hMerge w:val="restart"/>
            <w:vAlign w:val="center"/>
          </w:tcPr>
          <w:p>
            <w:pPr>
              <w:pStyle w:val="单元格样式2"/>
            </w:pPr>
            <w:r>
              <w:t xml:space="preserve">≥98%</w:t>
            </w:r>
          </w:p>
        </w:tc>
        <w:tc>
          <w:tcPr>
            <w:tcW w:w="0" w:type="auto"/>
            <w:hMerge/>
          </w:tcPr>
          <w:p>
            <w:pPr>
              <w:pStyle w:val="单元格样式2"/>
            </w:pPr>
            <w:r>
              <w:t xml:space="preserve">按照政府服务的标准执行</w:t>
            </w: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5" w:name="_Toc_4_4_0000000006"/>
      <w:r>
        <w:rPr>
          <w:rFonts w:ascii="方正仿宋_GBK" w:eastAsia="方正仿宋_GBK" w:hAnsi="方正仿宋_GBK" w:cs="方正仿宋_GBK"/>
          <w:sz w:val="28"/>
        </w:rPr>
        <w:t xml:space="preserve">3.2026年政府办机关运行经费绩效目标表</w:t>
      </w:r>
      <w:bookmarkEnd w:id="5"/>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301101天津市滨海新区人民政府办公室</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2026年政府办机关运行经费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120000000.00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120000000.00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租赁符合条件的楼宇，为各集中办公区工作人员提供必要的办公条件。通过采购优质的运维企业，为各集中办公区提供设备、设施、绿化等维护服务，确保各项设施正常运转。通过采购优质的物业公司为集中办公区提供保洁、安保、餐饮、设备设施维护等服务，为集中办公区工作人员创造良好的办公环境。</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租赁符合条件的楼宇，为各集中办公区工作人员提供必要的办公条件。通过采购优质的运维企业，为各集中办公区提供设备、设施、绿化等维护服务，确保各项设施正常运转。通过采购优质的物业公司为集中办公区提供保洁、安保、餐饮、设备设施维护等服务，为集中办公区工作人员创造良好的办公环境。</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保障集中办公区运营内容项数</w:t>
            </w:r>
          </w:p>
        </w:tc>
        <w:tc>
          <w:tcPr>
            <w:tcW w:w="3430" w:type="dxa"/>
            <w:hMerge w:val="restart"/>
            <w:vAlign w:val="center"/>
          </w:tcPr>
          <w:p>
            <w:pPr>
              <w:pStyle w:val="单元格样式2"/>
            </w:pPr>
            <w:r>
              <w:t xml:space="preserve">通过考量保障集中办公区运营内容项数，反映集中办公区运营保障工作开展的完成情况。</w:t>
            </w:r>
          </w:p>
        </w:tc>
        <w:tc>
          <w:tcPr>
            <w:tcW w:w="0" w:type="auto"/>
            <w:hMerge/>
            <w:vAlign w:val="center"/>
          </w:tcPr>
          <w:p>
            <w:pPr/>
          </w:p>
        </w:tc>
        <w:tc>
          <w:tcPr>
            <w:tcW w:w="2551" w:type="dxa"/>
            <w:hMerge w:val="restart"/>
            <w:vAlign w:val="center"/>
          </w:tcPr>
          <w:p>
            <w:pPr>
              <w:pStyle w:val="单元格样式2"/>
            </w:pPr>
            <w:r>
              <w:t xml:space="preserve">≥15项</w:t>
            </w:r>
          </w:p>
        </w:tc>
        <w:tc>
          <w:tcPr>
            <w:tcW w:w="0" w:type="auto"/>
            <w:hMerge/>
          </w:tcPr>
          <w:p>
            <w:pPr>
              <w:pStyle w:val="单元格样式2"/>
            </w:pPr>
            <w:r>
              <w:t xml:space="preserve">按照集中办公区后勤保障相关计划和安排</w:t>
            </w: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保障集中办公区面积</w:t>
            </w:r>
          </w:p>
        </w:tc>
        <w:tc>
          <w:tcPr>
            <w:tcW w:w="3430" w:type="dxa"/>
            <w:hMerge w:val="restart"/>
            <w:vAlign w:val="center"/>
          </w:tcPr>
          <w:p>
            <w:pPr>
              <w:pStyle w:val="单元格样式2"/>
            </w:pPr>
            <w:r>
              <w:t xml:space="preserve">通过考量保障集中办公区的面积数量，反映保障集中办公区工作的完成情况。</w:t>
            </w:r>
          </w:p>
        </w:tc>
        <w:tc>
          <w:tcPr>
            <w:tcW w:w="0" w:type="auto"/>
            <w:hMerge/>
            <w:vAlign w:val="center"/>
          </w:tcPr>
          <w:p>
            <w:pPr/>
          </w:p>
        </w:tc>
        <w:tc>
          <w:tcPr>
            <w:tcW w:w="2551" w:type="dxa"/>
            <w:hMerge w:val="restart"/>
            <w:vAlign w:val="center"/>
          </w:tcPr>
          <w:p>
            <w:pPr>
              <w:pStyle w:val="单元格样式2"/>
            </w:pPr>
            <w:r>
              <w:t xml:space="preserve">≥45万平方米</w:t>
            </w:r>
          </w:p>
        </w:tc>
        <w:tc>
          <w:tcPr>
            <w:tcW w:w="0" w:type="auto"/>
            <w:hMerge/>
          </w:tcPr>
          <w:p>
            <w:pPr>
              <w:pStyle w:val="单元格样式2"/>
            </w:pPr>
            <w:r>
              <w:t xml:space="preserve">按照集中办公区后勤保障相关计划和安排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保障集中办公区运营内容覆盖率</w:t>
            </w:r>
          </w:p>
        </w:tc>
        <w:tc>
          <w:tcPr>
            <w:tcW w:w="3430" w:type="dxa"/>
            <w:hMerge w:val="restart"/>
            <w:vAlign w:val="center"/>
          </w:tcPr>
          <w:p>
            <w:pPr>
              <w:pStyle w:val="单元格样式2"/>
            </w:pPr>
            <w:r>
              <w:t xml:space="preserve">通过实际保障的集中办公区运营内容数量与集中办公区运营内容总数比对，反映保障集中办公区运营内容的覆盖情况。计算公式：保障集中办公区运营内容覆盖率=实际保障的集中办公区运营内容数量÷集中办公区运营内容总数×100%</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r>
              <w:t xml:space="preserve">按照集中办公区后勤保障相关计划和安排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保障集中办公区面积的覆盖率</w:t>
            </w:r>
          </w:p>
        </w:tc>
        <w:tc>
          <w:tcPr>
            <w:tcW w:w="3430" w:type="dxa"/>
            <w:hMerge w:val="restart"/>
            <w:vAlign w:val="center"/>
          </w:tcPr>
          <w:p>
            <w:pPr>
              <w:pStyle w:val="单元格样式2"/>
            </w:pPr>
            <w:r>
              <w:t xml:space="preserve">通过实际保障的集中办公区面积与集中办公区总面积比对，反映保障集中办公区运营面积的覆盖情况。计算公式：保障集中办公区面积的覆盖率=实际保障的集中办公区面积÷集中办公区总面积×100%</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r>
              <w:t xml:space="preserve">按照集中办公区后勤保障相关计划和安排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保障集中办公区正常运转时间</w:t>
            </w:r>
          </w:p>
        </w:tc>
        <w:tc>
          <w:tcPr>
            <w:tcW w:w="3430" w:type="dxa"/>
            <w:hMerge w:val="restart"/>
            <w:vAlign w:val="center"/>
          </w:tcPr>
          <w:p>
            <w:pPr>
              <w:pStyle w:val="单元格样式2"/>
            </w:pPr>
            <w:r>
              <w:t xml:space="preserve">保障集中办公区正常运转时间。</w:t>
            </w:r>
          </w:p>
        </w:tc>
        <w:tc>
          <w:tcPr>
            <w:tcW w:w="0" w:type="auto"/>
            <w:hMerge/>
            <w:vAlign w:val="center"/>
          </w:tcPr>
          <w:p>
            <w:pPr/>
          </w:p>
        </w:tc>
        <w:tc>
          <w:tcPr>
            <w:tcW w:w="2551" w:type="dxa"/>
            <w:hMerge w:val="restart"/>
            <w:vAlign w:val="center"/>
          </w:tcPr>
          <w:p>
            <w:pPr>
              <w:pStyle w:val="单元格样式2"/>
            </w:pPr>
            <w:r>
              <w:t xml:space="preserve">2026年1月到2026年12月</w:t>
            </w:r>
          </w:p>
        </w:tc>
        <w:tc>
          <w:tcPr>
            <w:tcW w:w="0" w:type="auto"/>
            <w:hMerge/>
          </w:tcPr>
          <w:p>
            <w:pPr>
              <w:pStyle w:val="单元格样式2"/>
            </w:pPr>
            <w:r>
              <w:t xml:space="preserve">按照集中办公区后勤保障相关计划和安排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集中办公区每平米日租金标准</w:t>
            </w:r>
          </w:p>
        </w:tc>
        <w:tc>
          <w:tcPr>
            <w:tcW w:w="3430" w:type="dxa"/>
            <w:hMerge w:val="restart"/>
            <w:vAlign w:val="center"/>
          </w:tcPr>
          <w:p>
            <w:pPr>
              <w:pStyle w:val="单元格样式2"/>
            </w:pPr>
            <w:r>
              <w:t xml:space="preserve">通过考核集中办公区每平米日租金标准，反映集中办公区房租费用的成本控制情况。</w:t>
            </w:r>
          </w:p>
        </w:tc>
        <w:tc>
          <w:tcPr>
            <w:tcW w:w="0" w:type="auto"/>
            <w:hMerge/>
            <w:vAlign w:val="center"/>
          </w:tcPr>
          <w:p>
            <w:pPr/>
          </w:p>
        </w:tc>
        <w:tc>
          <w:tcPr>
            <w:tcW w:w="2551" w:type="dxa"/>
            <w:hMerge w:val="restart"/>
            <w:vAlign w:val="center"/>
          </w:tcPr>
          <w:p>
            <w:pPr>
              <w:pStyle w:val="单元格样式2"/>
            </w:pPr>
            <w:r>
              <w:t xml:space="preserve">≤2.99元/米.日</w:t>
            </w:r>
          </w:p>
        </w:tc>
        <w:tc>
          <w:tcPr>
            <w:tcW w:w="0" w:type="auto"/>
            <w:hMerge/>
          </w:tcPr>
          <w:p>
            <w:pPr>
              <w:pStyle w:val="单元格样式2"/>
            </w:pPr>
            <w:r>
              <w:t xml:space="preserve">按照集中办公区后勤保障相关计划和安排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集中办公区每平米年物业费标准</w:t>
            </w:r>
          </w:p>
        </w:tc>
        <w:tc>
          <w:tcPr>
            <w:tcW w:w="3430" w:type="dxa"/>
            <w:hMerge w:val="restart"/>
            <w:vAlign w:val="center"/>
          </w:tcPr>
          <w:p>
            <w:pPr>
              <w:pStyle w:val="单元格样式2"/>
            </w:pPr>
            <w:r>
              <w:t xml:space="preserve">通过考核集中办公区每平米年物业费标准，反映集中办公区物业费用的成本控制情况。</w:t>
            </w:r>
          </w:p>
        </w:tc>
        <w:tc>
          <w:tcPr>
            <w:tcW w:w="0" w:type="auto"/>
            <w:hMerge/>
            <w:vAlign w:val="center"/>
          </w:tcPr>
          <w:p>
            <w:pPr/>
          </w:p>
        </w:tc>
        <w:tc>
          <w:tcPr>
            <w:tcW w:w="2551" w:type="dxa"/>
            <w:hMerge w:val="restart"/>
            <w:vAlign w:val="center"/>
          </w:tcPr>
          <w:p>
            <w:pPr>
              <w:pStyle w:val="单元格样式2"/>
            </w:pPr>
            <w:r>
              <w:t xml:space="preserve">≤99元/米.年</w:t>
            </w:r>
          </w:p>
        </w:tc>
        <w:tc>
          <w:tcPr>
            <w:tcW w:w="0" w:type="auto"/>
            <w:hMerge/>
          </w:tcPr>
          <w:p>
            <w:pPr>
              <w:pStyle w:val="单元格样式2"/>
            </w:pPr>
            <w:r>
              <w:t xml:space="preserve">按照集中办公区后勤保障相关计划和安排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集中办公区能源费用</w:t>
            </w:r>
          </w:p>
        </w:tc>
        <w:tc>
          <w:tcPr>
            <w:tcW w:w="3430" w:type="dxa"/>
            <w:hMerge w:val="restart"/>
            <w:vAlign w:val="center"/>
          </w:tcPr>
          <w:p>
            <w:pPr>
              <w:pStyle w:val="单元格样式2"/>
            </w:pPr>
            <w:r>
              <w:t xml:space="preserve">通过实际支出金额与计划支出金额比对，反映集中办公区能源费用的成本控制情况。</w:t>
            </w:r>
          </w:p>
        </w:tc>
        <w:tc>
          <w:tcPr>
            <w:tcW w:w="0" w:type="auto"/>
            <w:hMerge/>
            <w:vAlign w:val="center"/>
          </w:tcPr>
          <w:p>
            <w:pPr/>
          </w:p>
        </w:tc>
        <w:tc>
          <w:tcPr>
            <w:tcW w:w="2551" w:type="dxa"/>
            <w:hMerge w:val="restart"/>
            <w:vAlign w:val="center"/>
          </w:tcPr>
          <w:p>
            <w:pPr>
              <w:pStyle w:val="单元格样式2"/>
            </w:pPr>
            <w:r>
              <w:t xml:space="preserve">&lt;4000万元</w:t>
            </w:r>
          </w:p>
        </w:tc>
        <w:tc>
          <w:tcPr>
            <w:tcW w:w="0" w:type="auto"/>
            <w:hMerge/>
          </w:tcPr>
          <w:p>
            <w:pPr>
              <w:pStyle w:val="单元格样式2"/>
            </w:pPr>
            <w:r>
              <w:t xml:space="preserve">按照集中办公区后勤保障相关计划和安排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集中办公区弱电及电脑外设系统运行维护费用</w:t>
            </w:r>
          </w:p>
        </w:tc>
        <w:tc>
          <w:tcPr>
            <w:tcW w:w="3430" w:type="dxa"/>
            <w:hMerge w:val="restart"/>
            <w:vAlign w:val="center"/>
          </w:tcPr>
          <w:p>
            <w:pPr>
              <w:pStyle w:val="单元格样式2"/>
            </w:pPr>
            <w:r>
              <w:t xml:space="preserve">通过实际支出金额与计划支出金额比对，反映集中办公区弱电及电脑外设系统运行费用的成本控制情况。</w:t>
            </w:r>
          </w:p>
        </w:tc>
        <w:tc>
          <w:tcPr>
            <w:tcW w:w="0" w:type="auto"/>
            <w:hMerge/>
            <w:vAlign w:val="center"/>
          </w:tcPr>
          <w:p>
            <w:pPr/>
          </w:p>
        </w:tc>
        <w:tc>
          <w:tcPr>
            <w:tcW w:w="2551" w:type="dxa"/>
            <w:hMerge w:val="restart"/>
            <w:vAlign w:val="center"/>
          </w:tcPr>
          <w:p>
            <w:pPr>
              <w:pStyle w:val="单元格样式2"/>
            </w:pPr>
            <w:r>
              <w:t xml:space="preserve">&lt;1055万元</w:t>
            </w:r>
          </w:p>
        </w:tc>
        <w:tc>
          <w:tcPr>
            <w:tcW w:w="0" w:type="auto"/>
            <w:hMerge/>
          </w:tcPr>
          <w:p>
            <w:pPr>
              <w:pStyle w:val="单元格样式2"/>
            </w:pPr>
            <w:r>
              <w:t xml:space="preserve">按照集中办公区后勤保障相关计划和安排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集中办公区绿化等其他运行维护费用</w:t>
            </w:r>
          </w:p>
        </w:tc>
        <w:tc>
          <w:tcPr>
            <w:tcW w:w="3430" w:type="dxa"/>
            <w:hMerge w:val="restart"/>
            <w:vAlign w:val="center"/>
          </w:tcPr>
          <w:p>
            <w:pPr>
              <w:pStyle w:val="单元格样式2"/>
            </w:pPr>
            <w:r>
              <w:t xml:space="preserve">通过实际支出金额与计划支出金额比对，反映集中办公区绿化等其他运行维护费用的成本控制情况。</w:t>
            </w:r>
          </w:p>
        </w:tc>
        <w:tc>
          <w:tcPr>
            <w:tcW w:w="0" w:type="auto"/>
            <w:hMerge/>
            <w:vAlign w:val="center"/>
          </w:tcPr>
          <w:p>
            <w:pPr/>
          </w:p>
        </w:tc>
        <w:tc>
          <w:tcPr>
            <w:tcW w:w="2551" w:type="dxa"/>
            <w:hMerge w:val="restart"/>
            <w:vAlign w:val="center"/>
          </w:tcPr>
          <w:p>
            <w:pPr>
              <w:pStyle w:val="单元格样式2"/>
            </w:pPr>
            <w:r>
              <w:t xml:space="preserve">&lt;250万元</w:t>
            </w:r>
          </w:p>
        </w:tc>
        <w:tc>
          <w:tcPr>
            <w:tcW w:w="0" w:type="auto"/>
            <w:hMerge/>
          </w:tcPr>
          <w:p>
            <w:pPr>
              <w:pStyle w:val="单元格样式2"/>
            </w:pPr>
            <w:r>
              <w:t xml:space="preserve">按照集中办公区后勤保障相关计划和安排</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保障集中办公区正常运转率</w:t>
            </w:r>
          </w:p>
        </w:tc>
        <w:tc>
          <w:tcPr>
            <w:tcW w:w="3430" w:type="dxa"/>
            <w:hMerge w:val="restart"/>
            <w:vAlign w:val="center"/>
          </w:tcPr>
          <w:p>
            <w:pPr>
              <w:pStyle w:val="单元格样式2"/>
            </w:pPr>
            <w:r>
              <w:t xml:space="preserve">通过实际保障的集中办公区正常运转数量与集中办公区总数比对，反映保障集中办公区的正常运转情况。计算公式：保障集中办公区正常运转率=实际保障的集中办公区正常运转数量÷集中办公区总数×100%</w:t>
            </w:r>
          </w:p>
        </w:tc>
        <w:tc>
          <w:tcPr>
            <w:tcW w:w="0" w:type="auto"/>
            <w:hMerge/>
            <w:vAlign w:val="center"/>
          </w:tcPr>
          <w:p>
            <w:pPr/>
          </w:p>
        </w:tc>
        <w:tc>
          <w:tcPr>
            <w:tcW w:w="2551" w:type="dxa"/>
            <w:hMerge w:val="restart"/>
            <w:vAlign w:val="center"/>
          </w:tcPr>
          <w:p>
            <w:pPr>
              <w:pStyle w:val="单元格样式2"/>
            </w:pPr>
            <w:r>
              <w:t xml:space="preserve">≥98%</w:t>
            </w:r>
          </w:p>
        </w:tc>
        <w:tc>
          <w:tcPr>
            <w:tcW w:w="0" w:type="auto"/>
            <w:hMerge/>
          </w:tcPr>
          <w:p>
            <w:pPr>
              <w:pStyle w:val="单元格样式2"/>
            </w:pPr>
            <w:r>
              <w:t xml:space="preserve">按照集中办公区后勤保障相关计划和安排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集中办公区工作人员满意度</w:t>
            </w:r>
          </w:p>
        </w:tc>
        <w:tc>
          <w:tcPr>
            <w:tcW w:w="3430" w:type="dxa"/>
            <w:hMerge w:val="restart"/>
            <w:vAlign w:val="center"/>
          </w:tcPr>
          <w:p>
            <w:pPr>
              <w:pStyle w:val="单元格样式2"/>
            </w:pPr>
            <w:r>
              <w:t xml:space="preserve">通过调查问卷中满意人数与调查总人数的比率，反映被调查对象对本项目的满意程度。计算公式：各类问题满意人数÷调查总人数×100%</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r>
              <w:t xml:space="preserve">按照集中办公区后勤保障相关计划和安排</w:t>
            </w: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6" w:name="_Toc_4_4_0000000007"/>
      <w:r>
        <w:rPr>
          <w:rFonts w:ascii="方正仿宋_GBK" w:eastAsia="方正仿宋_GBK" w:hAnsi="方正仿宋_GBK" w:cs="方正仿宋_GBK"/>
          <w:sz w:val="28"/>
        </w:rPr>
        <w:t xml:space="preserve">4.2026年编制外长聘人员经费项目（机关事业单位辅助人员）绩效目标表</w:t>
      </w:r>
      <w:bookmarkEnd w:id="6"/>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301101天津市滨海新区人民政府办公室</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2026年编制外长聘人员经费项目（机关事业单位辅助人员）</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144000.00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144000.00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通过发放多种用工派遣人员工作经费，保障派遣员工的基本合法权益，保障工作顺利推进</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1.通过发放多种用工派遣人员工作经费，保障派遣员工的基本合法权益，保障工作顺利推进。</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多种用工人员经费发放人数</w:t>
            </w:r>
          </w:p>
        </w:tc>
        <w:tc>
          <w:tcPr>
            <w:tcW w:w="3430" w:type="dxa"/>
            <w:hMerge w:val="restart"/>
            <w:vAlign w:val="center"/>
          </w:tcPr>
          <w:p>
            <w:pPr>
              <w:pStyle w:val="单元格样式2"/>
            </w:pPr>
            <w:r>
              <w:t xml:space="preserve">通过考量实际多种用工人员经费发放人数，反映多种用工人员经费发放工作开展的完成情况。</w:t>
            </w:r>
          </w:p>
        </w:tc>
        <w:tc>
          <w:tcPr>
            <w:tcW w:w="0" w:type="auto"/>
            <w:hMerge/>
            <w:vAlign w:val="center"/>
          </w:tcPr>
          <w:p>
            <w:pPr/>
          </w:p>
        </w:tc>
        <w:tc>
          <w:tcPr>
            <w:tcW w:w="2551" w:type="dxa"/>
            <w:hMerge w:val="restart"/>
            <w:vAlign w:val="center"/>
          </w:tcPr>
          <w:p>
            <w:pPr>
              <w:pStyle w:val="单元格样式2"/>
            </w:pPr>
            <w:r>
              <w:t xml:space="preserve">2人</w:t>
            </w:r>
          </w:p>
        </w:tc>
        <w:tc>
          <w:tcPr>
            <w:tcW w:w="0" w:type="auto"/>
            <w:hMerge/>
          </w:tcPr>
          <w:p>
            <w:pPr>
              <w:pStyle w:val="单元格样式2"/>
            </w:pPr>
            <w:r>
              <w:t xml:space="preserve">多种用工人员经费发放人数</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多种用工人员经费发放准确率</w:t>
            </w:r>
          </w:p>
        </w:tc>
        <w:tc>
          <w:tcPr>
            <w:tcW w:w="3430" w:type="dxa"/>
            <w:hMerge w:val="restart"/>
            <w:vAlign w:val="center"/>
          </w:tcPr>
          <w:p>
            <w:pPr>
              <w:pStyle w:val="单元格样式2"/>
            </w:pPr>
            <w:r>
              <w:t xml:space="preserve">通过多种用工人员经费发放准确的人数与多种用工人员经费发放总人数比对，反映多种用工人员经费发放的准确情况。计算公式：多种用工人员经费发放准确率=多种用工人员经费发放准确的人数/多种用工人员经费发放总人数*100%</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r>
              <w:t xml:space="preserve">多种用工人员经费发放准确率</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多种用工人员经费发放完成时间</w:t>
            </w:r>
          </w:p>
        </w:tc>
        <w:tc>
          <w:tcPr>
            <w:tcW w:w="3430" w:type="dxa"/>
            <w:hMerge w:val="restart"/>
            <w:vAlign w:val="center"/>
          </w:tcPr>
          <w:p>
            <w:pPr>
              <w:pStyle w:val="单元格样式2"/>
            </w:pPr>
            <w:r>
              <w:t xml:space="preserve">通过考量实际多种用工人员经费发放完成时间，反映多种用工人员经费发放工作开展的完成情况。</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r>
              <w:t xml:space="preserve">多种用工人员经费发放完成时间</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多种用工人员经费标准</w:t>
            </w:r>
          </w:p>
        </w:tc>
        <w:tc>
          <w:tcPr>
            <w:tcW w:w="3430" w:type="dxa"/>
            <w:hMerge w:val="restart"/>
            <w:vAlign w:val="center"/>
          </w:tcPr>
          <w:p>
            <w:pPr>
              <w:pStyle w:val="单元格样式2"/>
            </w:pPr>
            <w:r>
              <w:t xml:space="preserve">通过实际支出标准与规定支出标准比对，反映多种用工人员经费支出标准的符合情况。</w:t>
            </w:r>
          </w:p>
        </w:tc>
        <w:tc>
          <w:tcPr>
            <w:tcW w:w="0" w:type="auto"/>
            <w:hMerge/>
            <w:vAlign w:val="center"/>
          </w:tcPr>
          <w:p>
            <w:pPr/>
          </w:p>
        </w:tc>
        <w:tc>
          <w:tcPr>
            <w:tcW w:w="2551" w:type="dxa"/>
            <w:hMerge w:val="restart"/>
            <w:vAlign w:val="center"/>
          </w:tcPr>
          <w:p>
            <w:pPr>
              <w:pStyle w:val="单元格样式2"/>
            </w:pPr>
            <w:r>
              <w:t xml:space="preserve">≤7.2万元/人/年</w:t>
            </w:r>
          </w:p>
        </w:tc>
        <w:tc>
          <w:tcPr>
            <w:tcW w:w="0" w:type="auto"/>
            <w:hMerge/>
          </w:tcPr>
          <w:p>
            <w:pPr>
              <w:pStyle w:val="单元格样式2"/>
            </w:pPr>
            <w:r>
              <w:t xml:space="preserve">多种用工人员经费标准</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多种用工人员到岗率</w:t>
            </w:r>
          </w:p>
        </w:tc>
        <w:tc>
          <w:tcPr>
            <w:tcW w:w="3430" w:type="dxa"/>
            <w:hMerge w:val="restart"/>
            <w:vAlign w:val="center"/>
          </w:tcPr>
          <w:p>
            <w:pPr>
              <w:pStyle w:val="单元格样式2"/>
            </w:pPr>
            <w:r>
              <w:t xml:space="preserve">通过实际多种用工人员到岗人数与多种用工人员应到岗人数比对，反映多种用工人员的到岗情况。计算公式：多种用工人员到岗率=实际到岗人数/应到岗人数*100%</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r>
              <w:t xml:space="preserve">多种用工人员到岗率</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完善多种用工人员经费管理制度</w:t>
            </w:r>
          </w:p>
        </w:tc>
        <w:tc>
          <w:tcPr>
            <w:tcW w:w="3430" w:type="dxa"/>
            <w:hMerge w:val="restart"/>
            <w:vAlign w:val="center"/>
          </w:tcPr>
          <w:p>
            <w:pPr>
              <w:pStyle w:val="单元格样式2"/>
            </w:pPr>
            <w:r>
              <w:t xml:space="preserve">通过多种用工人员经费管理制度或办法的完善情况，反映多种用工人员经费管理工作开展的长效保障效果。</w:t>
            </w:r>
          </w:p>
        </w:tc>
        <w:tc>
          <w:tcPr>
            <w:tcW w:w="0" w:type="auto"/>
            <w:hMerge/>
            <w:vAlign w:val="center"/>
          </w:tcPr>
          <w:p>
            <w:pPr/>
          </w:p>
        </w:tc>
        <w:tc>
          <w:tcPr>
            <w:tcW w:w="2551" w:type="dxa"/>
            <w:hMerge w:val="restart"/>
            <w:vAlign w:val="center"/>
          </w:tcPr>
          <w:p>
            <w:pPr>
              <w:pStyle w:val="单元格样式2"/>
            </w:pPr>
            <w:r>
              <w:t xml:space="preserve">持续有效</w:t>
            </w:r>
          </w:p>
        </w:tc>
        <w:tc>
          <w:tcPr>
            <w:tcW w:w="0" w:type="auto"/>
            <w:hMerge/>
          </w:tcPr>
          <w:p>
            <w:pPr>
              <w:pStyle w:val="单元格样式2"/>
            </w:pPr>
            <w:r>
              <w:t xml:space="preserve">完善多种用工人员经费管理制度</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多种用工人员满意度</w:t>
            </w:r>
          </w:p>
        </w:tc>
        <w:tc>
          <w:tcPr>
            <w:tcW w:w="3430" w:type="dxa"/>
            <w:hMerge w:val="restart"/>
            <w:vAlign w:val="center"/>
          </w:tcPr>
          <w:p>
            <w:pPr>
              <w:pStyle w:val="单元格样式2"/>
            </w:pPr>
            <w:r>
              <w:t xml:space="preserve">通过调查问卷中满意人数与调查总人数的比率，反映被调查对象对本项目的满意程度。计算公式：各类问题满意人数/调查总人数*100%</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r>
              <w:t xml:space="preserve">多种用工人员满意度</w:t>
            </w: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7" w:name="_Toc_4_4_0000000008"/>
      <w:r>
        <w:rPr>
          <w:rFonts w:ascii="方正仿宋_GBK" w:eastAsia="方正仿宋_GBK" w:hAnsi="方正仿宋_GBK" w:cs="方正仿宋_GBK"/>
          <w:sz w:val="28"/>
        </w:rPr>
        <w:t xml:space="preserve">5.2026年编制外长聘人员经费项目（机关事业单位辅助人员）绩效目标表</w:t>
      </w:r>
      <w:bookmarkEnd w:id="7"/>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301101天津市滨海新区人民政府办公室</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2026年编制外长聘人员经费项目（机关事业单位辅助人员）</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7697398.04</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7697398.04</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通过发放多种用工派遣人员工作经费，保障派遣员工的基本合法权益，保障工作顺利推进</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1.通过发放多种用工派遣人员工作经费，保障派遣员工的基本合法权益，保障工作顺利推进。</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多种用工人员经费发放人数</w:t>
            </w:r>
          </w:p>
        </w:tc>
        <w:tc>
          <w:tcPr>
            <w:tcW w:w="3430" w:type="dxa"/>
            <w:hMerge w:val="restart"/>
            <w:vAlign w:val="center"/>
          </w:tcPr>
          <w:p>
            <w:pPr>
              <w:pStyle w:val="单元格样式2"/>
            </w:pPr>
            <w:r>
              <w:t xml:space="preserve">通过考量实际多种用工人员经费发放人数，反映多种用工人员经费发放工作开展的完成情况。</w:t>
            </w:r>
          </w:p>
        </w:tc>
        <w:tc>
          <w:tcPr>
            <w:tcW w:w="0" w:type="auto"/>
            <w:hMerge/>
            <w:vAlign w:val="center"/>
          </w:tcPr>
          <w:p>
            <w:pPr/>
          </w:p>
        </w:tc>
        <w:tc>
          <w:tcPr>
            <w:tcW w:w="2551" w:type="dxa"/>
            <w:hMerge w:val="restart"/>
            <w:vAlign w:val="center"/>
          </w:tcPr>
          <w:p>
            <w:pPr>
              <w:pStyle w:val="单元格样式2"/>
            </w:pPr>
            <w:r>
              <w:t xml:space="preserve">≥73人</w:t>
            </w:r>
          </w:p>
        </w:tc>
        <w:tc>
          <w:tcPr>
            <w:tcW w:w="0" w:type="auto"/>
            <w:hMerge/>
          </w:tcPr>
          <w:p>
            <w:pPr>
              <w:pStyle w:val="单元格样式2"/>
            </w:pPr>
            <w:r>
              <w:t xml:space="preserve">多种用工人员经费发放人数</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多种用工人员经费发放准确率</w:t>
            </w:r>
          </w:p>
        </w:tc>
        <w:tc>
          <w:tcPr>
            <w:tcW w:w="3430" w:type="dxa"/>
            <w:hMerge w:val="restart"/>
            <w:vAlign w:val="center"/>
          </w:tcPr>
          <w:p>
            <w:pPr>
              <w:pStyle w:val="单元格样式2"/>
            </w:pPr>
            <w:r>
              <w:t xml:space="preserve">通过多种用工人员经费发放准确的人数与多种用工人员经费发放总人数比对，反映多种用工人员经费发放的准确情况。计算公式：多种用工人员经费发放准确率=多种用工人员经费发放准确的人数/多种用工人员经费发放总人数*100%</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r>
              <w:t xml:space="preserve">多种用工人员经费发放准确率</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多种用工人员经费发放完成时间</w:t>
            </w:r>
          </w:p>
        </w:tc>
        <w:tc>
          <w:tcPr>
            <w:tcW w:w="3430" w:type="dxa"/>
            <w:hMerge w:val="restart"/>
            <w:vAlign w:val="center"/>
          </w:tcPr>
          <w:p>
            <w:pPr>
              <w:pStyle w:val="单元格样式2"/>
            </w:pPr>
            <w:r>
              <w:t xml:space="preserve">通过考量实际多种用工人员经费发放完成时间，反映多种用工人员经费发放工作开展的完成情况。</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r>
              <w:t xml:space="preserve">多种用工人员经费发放完成时间</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多种用工人员经费标准</w:t>
            </w:r>
          </w:p>
        </w:tc>
        <w:tc>
          <w:tcPr>
            <w:tcW w:w="3430" w:type="dxa"/>
            <w:hMerge w:val="restart"/>
            <w:vAlign w:val="center"/>
          </w:tcPr>
          <w:p>
            <w:pPr>
              <w:pStyle w:val="单元格样式2"/>
            </w:pPr>
            <w:r>
              <w:t xml:space="preserve">通过实际支出标准与规定支出标准比对，反映多种用工人员经费支出标准的符合情况。</w:t>
            </w:r>
          </w:p>
        </w:tc>
        <w:tc>
          <w:tcPr>
            <w:tcW w:w="0" w:type="auto"/>
            <w:hMerge/>
            <w:vAlign w:val="center"/>
          </w:tcPr>
          <w:p>
            <w:pPr/>
          </w:p>
        </w:tc>
        <w:tc>
          <w:tcPr>
            <w:tcW w:w="2551" w:type="dxa"/>
            <w:hMerge w:val="restart"/>
            <w:vAlign w:val="center"/>
          </w:tcPr>
          <w:p>
            <w:pPr>
              <w:pStyle w:val="单元格样式2"/>
            </w:pPr>
            <w:r>
              <w:t xml:space="preserve">≤10.54万元/人/年</w:t>
            </w:r>
          </w:p>
        </w:tc>
        <w:tc>
          <w:tcPr>
            <w:tcW w:w="0" w:type="auto"/>
            <w:hMerge/>
          </w:tcPr>
          <w:p>
            <w:pPr>
              <w:pStyle w:val="单元格样式2"/>
            </w:pPr>
            <w:r>
              <w:t xml:space="preserve">多种用工人员经费标准</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多种用工人员到岗率</w:t>
            </w:r>
          </w:p>
        </w:tc>
        <w:tc>
          <w:tcPr>
            <w:tcW w:w="3430" w:type="dxa"/>
            <w:hMerge w:val="restart"/>
            <w:vAlign w:val="center"/>
          </w:tcPr>
          <w:p>
            <w:pPr>
              <w:pStyle w:val="单元格样式2"/>
            </w:pPr>
            <w:r>
              <w:t xml:space="preserve">通过实际多种用工人员到岗人数与多种用工人员应到岗人数比对，反映多种用工人员的到岗情况。计算公式：多种用工人员到岗率=实际到岗人数/应到岗人数*100%</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r>
              <w:t xml:space="preserve">多种用工人员到岗率</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完善多种用工人员经费管理制度</w:t>
            </w:r>
          </w:p>
        </w:tc>
        <w:tc>
          <w:tcPr>
            <w:tcW w:w="3430" w:type="dxa"/>
            <w:hMerge w:val="restart"/>
            <w:vAlign w:val="center"/>
          </w:tcPr>
          <w:p>
            <w:pPr>
              <w:pStyle w:val="单元格样式2"/>
            </w:pPr>
            <w:r>
              <w:t xml:space="preserve">通过多种用工人员经费管理制度或办法的完善情况，反映多种用工人员经费管理工作开展的长效保障效果。</w:t>
            </w:r>
          </w:p>
        </w:tc>
        <w:tc>
          <w:tcPr>
            <w:tcW w:w="0" w:type="auto"/>
            <w:hMerge/>
            <w:vAlign w:val="center"/>
          </w:tcPr>
          <w:p>
            <w:pPr/>
          </w:p>
        </w:tc>
        <w:tc>
          <w:tcPr>
            <w:tcW w:w="2551" w:type="dxa"/>
            <w:hMerge w:val="restart"/>
            <w:vAlign w:val="center"/>
          </w:tcPr>
          <w:p>
            <w:pPr>
              <w:pStyle w:val="单元格样式2"/>
            </w:pPr>
            <w:r>
              <w:t xml:space="preserve">持续有效</w:t>
            </w:r>
          </w:p>
        </w:tc>
        <w:tc>
          <w:tcPr>
            <w:tcW w:w="0" w:type="auto"/>
            <w:hMerge/>
          </w:tcPr>
          <w:p>
            <w:pPr>
              <w:pStyle w:val="单元格样式2"/>
            </w:pPr>
            <w:r>
              <w:t xml:space="preserve">完善多种用工人员经费管理制度</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多种用工人员满意度</w:t>
            </w:r>
          </w:p>
        </w:tc>
        <w:tc>
          <w:tcPr>
            <w:tcW w:w="3430" w:type="dxa"/>
            <w:hMerge w:val="restart"/>
            <w:vAlign w:val="center"/>
          </w:tcPr>
          <w:p>
            <w:pPr>
              <w:pStyle w:val="单元格样式2"/>
            </w:pPr>
            <w:r>
              <w:t xml:space="preserve">通过调查问卷中满意人数与调查总人数的比率，反映被调查对象对本项目的满意程度。计算公式：各类问题满意人数/调查总人数*100%</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r>
              <w:t xml:space="preserve">多种用工人员满意度</w:t>
            </w: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8" w:name="_Toc_4_4_0000000009"/>
      <w:r>
        <w:rPr>
          <w:rFonts w:ascii="方正仿宋_GBK" w:eastAsia="方正仿宋_GBK" w:hAnsi="方正仿宋_GBK" w:cs="方正仿宋_GBK"/>
          <w:sz w:val="28"/>
        </w:rPr>
        <w:t xml:space="preserve">6.上海合作组织可持续发展投资促进活动高质量发展专项资金绩效目标表</w:t>
      </w:r>
      <w:bookmarkEnd w:id="8"/>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301101天津市滨海新区人民政府办公室</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上海合作组织可持续发展投资促进活动高质量发展专项资金</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64060.83</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64060.83</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通过租用商务用车，确保活动顺利开展。</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1.通过租用商务用车，确保活动顺利开展。</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租用商务用车数量</w:t>
            </w:r>
          </w:p>
        </w:tc>
        <w:tc>
          <w:tcPr>
            <w:tcW w:w="3430" w:type="dxa"/>
            <w:hMerge w:val="restart"/>
            <w:vAlign w:val="center"/>
          </w:tcPr>
          <w:p>
            <w:pPr>
              <w:pStyle w:val="单元格样式2"/>
            </w:pPr>
            <w:r>
              <w:t xml:space="preserve">租用商务用车保障活动开展</w:t>
            </w:r>
          </w:p>
        </w:tc>
        <w:tc>
          <w:tcPr>
            <w:tcW w:w="0" w:type="auto"/>
            <w:hMerge/>
            <w:vAlign w:val="center"/>
          </w:tcPr>
          <w:p>
            <w:pPr/>
          </w:p>
        </w:tc>
        <w:tc>
          <w:tcPr>
            <w:tcW w:w="2551" w:type="dxa"/>
            <w:hMerge w:val="restart"/>
            <w:vAlign w:val="center"/>
          </w:tcPr>
          <w:p>
            <w:pPr>
              <w:pStyle w:val="单元格样式2"/>
            </w:pPr>
            <w:r>
              <w:t xml:space="preserve">≥1个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车辆到位准时率</w:t>
            </w:r>
          </w:p>
        </w:tc>
        <w:tc>
          <w:tcPr>
            <w:tcW w:w="3430" w:type="dxa"/>
            <w:hMerge w:val="restart"/>
            <w:vAlign w:val="center"/>
          </w:tcPr>
          <w:p>
            <w:pPr>
              <w:pStyle w:val="单元格样式2"/>
            </w:pPr>
            <w:r>
              <w:t xml:space="preserve">早于预计时间到达，及时接送参会人员</w:t>
            </w:r>
          </w:p>
        </w:tc>
        <w:tc>
          <w:tcPr>
            <w:tcW w:w="0" w:type="auto"/>
            <w:hMerge/>
            <w:vAlign w:val="center"/>
          </w:tcPr>
          <w:p>
            <w:pPr/>
          </w:p>
        </w:tc>
        <w:tc>
          <w:tcPr>
            <w:tcW w:w="2551" w:type="dxa"/>
            <w:hMerge w:val="restart"/>
            <w:vAlign w:val="center"/>
          </w:tcPr>
          <w:p>
            <w:pPr>
              <w:pStyle w:val="单元格样式2"/>
            </w:pPr>
            <w:r>
              <w:t xml:space="preserve">≤5分钟</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车辆保障时间</w:t>
            </w:r>
          </w:p>
        </w:tc>
        <w:tc>
          <w:tcPr>
            <w:tcW w:w="3430" w:type="dxa"/>
            <w:hMerge w:val="restart"/>
            <w:vAlign w:val="center"/>
          </w:tcPr>
          <w:p>
            <w:pPr>
              <w:pStyle w:val="单元格样式2"/>
            </w:pPr>
            <w:r>
              <w:t xml:space="preserve">车辆保障时间</w:t>
            </w:r>
          </w:p>
        </w:tc>
        <w:tc>
          <w:tcPr>
            <w:tcW w:w="0" w:type="auto"/>
            <w:hMerge/>
            <w:vAlign w:val="center"/>
          </w:tcPr>
          <w:p>
            <w:pPr/>
          </w:p>
        </w:tc>
        <w:tc>
          <w:tcPr>
            <w:tcW w:w="2551" w:type="dxa"/>
            <w:hMerge w:val="restart"/>
            <w:vAlign w:val="center"/>
          </w:tcPr>
          <w:p>
            <w:pPr>
              <w:pStyle w:val="单元格样式2"/>
            </w:pPr>
            <w:r>
              <w:t xml:space="preserve">2026年1月至2026年12月</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租车费用</w:t>
            </w:r>
          </w:p>
        </w:tc>
        <w:tc>
          <w:tcPr>
            <w:tcW w:w="3430" w:type="dxa"/>
            <w:hMerge w:val="restart"/>
            <w:vAlign w:val="center"/>
          </w:tcPr>
          <w:p>
            <w:pPr>
              <w:pStyle w:val="单元格样式2"/>
            </w:pPr>
            <w:r>
              <w:t xml:space="preserve">租用商务会议用车</w:t>
            </w:r>
          </w:p>
        </w:tc>
        <w:tc>
          <w:tcPr>
            <w:tcW w:w="0" w:type="auto"/>
            <w:hMerge/>
            <w:vAlign w:val="center"/>
          </w:tcPr>
          <w:p>
            <w:pPr/>
          </w:p>
        </w:tc>
        <w:tc>
          <w:tcPr>
            <w:tcW w:w="2551" w:type="dxa"/>
            <w:hMerge w:val="restart"/>
            <w:vAlign w:val="center"/>
          </w:tcPr>
          <w:p>
            <w:pPr>
              <w:pStyle w:val="单元格样式2"/>
            </w:pPr>
            <w:r>
              <w:t xml:space="preserve">≤6.4万元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提升主办方的国际形象</w:t>
            </w:r>
          </w:p>
        </w:tc>
        <w:tc>
          <w:tcPr>
            <w:tcW w:w="3430" w:type="dxa"/>
            <w:hMerge w:val="restart"/>
            <w:vAlign w:val="center"/>
          </w:tcPr>
          <w:p>
            <w:pPr>
              <w:pStyle w:val="单元格样式2"/>
            </w:pPr>
            <w:r>
              <w:t xml:space="preserve">提升主办方的国际形象，促进新区经济发展</w:t>
            </w:r>
          </w:p>
        </w:tc>
        <w:tc>
          <w:tcPr>
            <w:tcW w:w="0" w:type="auto"/>
            <w:hMerge/>
            <w:vAlign w:val="center"/>
          </w:tcPr>
          <w:p>
            <w:pPr/>
          </w:p>
        </w:tc>
        <w:tc>
          <w:tcPr>
            <w:tcW w:w="2551" w:type="dxa"/>
            <w:hMerge w:val="restart"/>
            <w:vAlign w:val="center"/>
          </w:tcPr>
          <w:p>
            <w:pPr>
              <w:pStyle w:val="单元格样式2"/>
            </w:pPr>
            <w:r>
              <w:t xml:space="preserve">提升主办方的国际形象，促进新区经济发展</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参会人员满意度</w:t>
            </w:r>
          </w:p>
        </w:tc>
        <w:tc>
          <w:tcPr>
            <w:tcW w:w="3430" w:type="dxa"/>
            <w:hMerge w:val="restart"/>
            <w:vAlign w:val="center"/>
          </w:tcPr>
          <w:p>
            <w:pPr>
              <w:pStyle w:val="单元格样式2"/>
            </w:pPr>
            <w:r>
              <w:t xml:space="preserve">参会人员满意度</w:t>
            </w:r>
          </w:p>
        </w:tc>
        <w:tc>
          <w:tcPr>
            <w:tcW w:w="0" w:type="auto"/>
            <w:hMerge/>
            <w:vAlign w:val="center"/>
          </w:tcPr>
          <w:p>
            <w:pPr/>
          </w:p>
        </w:tc>
        <w:tc>
          <w:tcPr>
            <w:tcW w:w="2551" w:type="dxa"/>
            <w:hMerge w:val="restart"/>
            <w:vAlign w:val="center"/>
          </w:tcPr>
          <w:p>
            <w:pPr>
              <w:pStyle w:val="单元格样式2"/>
            </w:pPr>
            <w:r>
              <w:t xml:space="preserve">≥98%</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9" w:name="_Toc_4_4_0000000010"/>
      <w:r>
        <w:rPr>
          <w:rFonts w:ascii="方正仿宋_GBK" w:eastAsia="方正仿宋_GBK" w:hAnsi="方正仿宋_GBK" w:cs="方正仿宋_GBK"/>
          <w:sz w:val="28"/>
        </w:rPr>
        <w:t xml:space="preserve">7.2026年机关服务中心市内办公点专项经费绩效目标表</w:t>
      </w:r>
      <w:bookmarkEnd w:id="9"/>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301201天津市滨海新区机关事务服务中心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2026年机关服务中心市内办公点专项经费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637700.00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637700.00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通过确保市内办公点各项设施正常运转，提升政务活动服务水平。</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1.通过确保市内办公点各项设施正常运转，提升政务活动服务水平。</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保障市内办公点运营面积</w:t>
            </w:r>
          </w:p>
        </w:tc>
        <w:tc>
          <w:tcPr>
            <w:tcW w:w="3430" w:type="dxa"/>
            <w:hMerge w:val="restart"/>
            <w:vAlign w:val="center"/>
          </w:tcPr>
          <w:p>
            <w:pPr>
              <w:pStyle w:val="单元格样式2"/>
            </w:pPr>
            <w:r>
              <w:t xml:space="preserve">通过考量保障市内办公点运营面积，反映市内办公点房屋基本运营保障完成情况。</w:t>
            </w:r>
          </w:p>
        </w:tc>
        <w:tc>
          <w:tcPr>
            <w:tcW w:w="0" w:type="auto"/>
            <w:hMerge/>
            <w:vAlign w:val="center"/>
          </w:tcPr>
          <w:p>
            <w:pPr/>
          </w:p>
        </w:tc>
        <w:tc>
          <w:tcPr>
            <w:tcW w:w="2551" w:type="dxa"/>
            <w:hMerge w:val="restart"/>
            <w:vAlign w:val="center"/>
          </w:tcPr>
          <w:p>
            <w:pPr>
              <w:pStyle w:val="单元格样式2"/>
            </w:pPr>
            <w:r>
              <w:t xml:space="preserve">767.81平米</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发放工作人员经费人数</w:t>
            </w:r>
          </w:p>
        </w:tc>
        <w:tc>
          <w:tcPr>
            <w:tcW w:w="3430" w:type="dxa"/>
            <w:hMerge w:val="restart"/>
            <w:vAlign w:val="center"/>
          </w:tcPr>
          <w:p>
            <w:pPr>
              <w:pStyle w:val="单元格样式2"/>
            </w:pPr>
            <w:r>
              <w:t xml:space="preserve">通过考量发放工作人员经费人数，反映保障工作人员基本经费的情况。</w:t>
            </w:r>
          </w:p>
        </w:tc>
        <w:tc>
          <w:tcPr>
            <w:tcW w:w="0" w:type="auto"/>
            <w:hMerge/>
            <w:vAlign w:val="center"/>
          </w:tcPr>
          <w:p>
            <w:pPr/>
          </w:p>
        </w:tc>
        <w:tc>
          <w:tcPr>
            <w:tcW w:w="2551" w:type="dxa"/>
            <w:hMerge w:val="restart"/>
            <w:vAlign w:val="center"/>
          </w:tcPr>
          <w:p>
            <w:pPr>
              <w:pStyle w:val="单元格样式2"/>
            </w:pPr>
            <w:r>
              <w:t xml:space="preserve">≥1人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市内办公点正常运转率</w:t>
            </w:r>
          </w:p>
        </w:tc>
        <w:tc>
          <w:tcPr>
            <w:tcW w:w="3430" w:type="dxa"/>
            <w:hMerge w:val="restart"/>
            <w:vAlign w:val="center"/>
          </w:tcPr>
          <w:p>
            <w:pPr>
              <w:pStyle w:val="单元格样式2"/>
            </w:pPr>
            <w:r>
              <w:t xml:space="preserve">通过实际市内办公点正常运转的平米数与市内办公点总平米数比对，反映市内办公点办事处的正常运转情况。</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工作人员出勤率</w:t>
            </w:r>
          </w:p>
        </w:tc>
        <w:tc>
          <w:tcPr>
            <w:tcW w:w="3430" w:type="dxa"/>
            <w:hMerge w:val="restart"/>
            <w:vAlign w:val="center"/>
          </w:tcPr>
          <w:p>
            <w:pPr>
              <w:pStyle w:val="单元格样式2"/>
            </w:pPr>
            <w:r>
              <w:t xml:space="preserve">通过实际出勤的工作人员人数与工作人员总人数比对，反映工作人员的出勤情况。</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市内办公点租房保障时间</w:t>
            </w:r>
          </w:p>
        </w:tc>
        <w:tc>
          <w:tcPr>
            <w:tcW w:w="3430" w:type="dxa"/>
            <w:hMerge w:val="restart"/>
            <w:vAlign w:val="center"/>
          </w:tcPr>
          <w:p>
            <w:pPr>
              <w:pStyle w:val="单元格样式2"/>
            </w:pPr>
            <w:r>
              <w:t xml:space="preserve">通过房租实际及时缴纳完成次数与缴纳房租总次数比对，反映房租缴纳完成的及时情况。</w:t>
            </w:r>
          </w:p>
        </w:tc>
        <w:tc>
          <w:tcPr>
            <w:tcW w:w="0" w:type="auto"/>
            <w:hMerge/>
            <w:vAlign w:val="center"/>
          </w:tcPr>
          <w:p>
            <w:pPr/>
          </w:p>
        </w:tc>
        <w:tc>
          <w:tcPr>
            <w:tcW w:w="2551" w:type="dxa"/>
            <w:hMerge w:val="restart"/>
            <w:vAlign w:val="center"/>
          </w:tcPr>
          <w:p>
            <w:pPr>
              <w:pStyle w:val="单元格样式2"/>
            </w:pPr>
            <w:r>
              <w:t xml:space="preserve">2026年1月-12月</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工资发放时间</w:t>
            </w:r>
          </w:p>
        </w:tc>
        <w:tc>
          <w:tcPr>
            <w:tcW w:w="3430" w:type="dxa"/>
            <w:hMerge w:val="restart"/>
            <w:vAlign w:val="center"/>
          </w:tcPr>
          <w:p>
            <w:pPr>
              <w:pStyle w:val="单元格样式2"/>
            </w:pPr>
            <w:r>
              <w:t xml:space="preserve">通过实际发放工资及时次数与发放工资总次数比对，反映工资发放的及时情况。</w:t>
            </w:r>
          </w:p>
        </w:tc>
        <w:tc>
          <w:tcPr>
            <w:tcW w:w="0" w:type="auto"/>
            <w:hMerge/>
            <w:vAlign w:val="center"/>
          </w:tcPr>
          <w:p>
            <w:pPr/>
          </w:p>
        </w:tc>
        <w:tc>
          <w:tcPr>
            <w:tcW w:w="2551" w:type="dxa"/>
            <w:hMerge w:val="restart"/>
            <w:vAlign w:val="center"/>
          </w:tcPr>
          <w:p>
            <w:pPr>
              <w:pStyle w:val="单元格样式2"/>
            </w:pPr>
            <w:r>
              <w:t xml:space="preserve">每月月底前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市内办公点能源费</w:t>
            </w:r>
          </w:p>
        </w:tc>
        <w:tc>
          <w:tcPr>
            <w:tcW w:w="3430" w:type="dxa"/>
            <w:hMerge w:val="restart"/>
            <w:vAlign w:val="center"/>
          </w:tcPr>
          <w:p>
            <w:pPr>
              <w:pStyle w:val="单元格样式2"/>
            </w:pPr>
            <w:r>
              <w:t xml:space="preserve">通过实际能源费用与计划能源费用比对，反映能源费用支出成本控制情况。</w:t>
            </w:r>
          </w:p>
        </w:tc>
        <w:tc>
          <w:tcPr>
            <w:tcW w:w="0" w:type="auto"/>
            <w:hMerge/>
            <w:vAlign w:val="center"/>
          </w:tcPr>
          <w:p>
            <w:pPr/>
          </w:p>
        </w:tc>
        <w:tc>
          <w:tcPr>
            <w:tcW w:w="2551" w:type="dxa"/>
            <w:hMerge w:val="restart"/>
            <w:vAlign w:val="center"/>
          </w:tcPr>
          <w:p>
            <w:pPr>
              <w:pStyle w:val="单元格样式2"/>
            </w:pPr>
            <w:r>
              <w:t xml:space="preserve">≤18万元</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市内办公点人员经费</w:t>
            </w:r>
          </w:p>
        </w:tc>
        <w:tc>
          <w:tcPr>
            <w:tcW w:w="3430" w:type="dxa"/>
            <w:hMerge w:val="restart"/>
            <w:vAlign w:val="center"/>
          </w:tcPr>
          <w:p>
            <w:pPr>
              <w:pStyle w:val="单元格样式2"/>
            </w:pPr>
            <w:r>
              <w:t xml:space="preserve">通过实际人员经费与计划人员经费比对，反映市内办公点人员经费支出成本控制情况。</w:t>
            </w:r>
          </w:p>
        </w:tc>
        <w:tc>
          <w:tcPr>
            <w:tcW w:w="0" w:type="auto"/>
            <w:hMerge/>
            <w:vAlign w:val="center"/>
          </w:tcPr>
          <w:p>
            <w:pPr/>
          </w:p>
        </w:tc>
        <w:tc>
          <w:tcPr>
            <w:tcW w:w="2551" w:type="dxa"/>
            <w:hMerge w:val="restart"/>
            <w:vAlign w:val="center"/>
          </w:tcPr>
          <w:p>
            <w:pPr>
              <w:pStyle w:val="单元格样式2"/>
            </w:pPr>
            <w:r>
              <w:t xml:space="preserve">≤3.3万元</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市内办公点设施设备维修维保经费</w:t>
            </w:r>
          </w:p>
        </w:tc>
        <w:tc>
          <w:tcPr>
            <w:tcW w:w="3430" w:type="dxa"/>
            <w:hMerge w:val="restart"/>
            <w:vAlign w:val="center"/>
          </w:tcPr>
          <w:p>
            <w:pPr>
              <w:pStyle w:val="单元格样式2"/>
            </w:pPr>
            <w:r>
              <w:t xml:space="preserve">通过实际设施设备维修维保经费与计划设施设备维修维保经费比对，反映市内办公点设施设备维修维保经费支出成本控制情况。</w:t>
            </w:r>
          </w:p>
        </w:tc>
        <w:tc>
          <w:tcPr>
            <w:tcW w:w="0" w:type="auto"/>
            <w:hMerge/>
            <w:vAlign w:val="center"/>
          </w:tcPr>
          <w:p>
            <w:pPr/>
          </w:p>
        </w:tc>
        <w:tc>
          <w:tcPr>
            <w:tcW w:w="2551" w:type="dxa"/>
            <w:hMerge w:val="restart"/>
            <w:vAlign w:val="center"/>
          </w:tcPr>
          <w:p>
            <w:pPr>
              <w:pStyle w:val="单元格样式2"/>
            </w:pPr>
            <w:r>
              <w:t xml:space="preserve">≤6.5万元</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市内办公点日常用品等采购经费</w:t>
            </w:r>
          </w:p>
        </w:tc>
        <w:tc>
          <w:tcPr>
            <w:tcW w:w="3430" w:type="dxa"/>
            <w:hMerge w:val="restart"/>
            <w:vAlign w:val="center"/>
          </w:tcPr>
          <w:p>
            <w:pPr>
              <w:pStyle w:val="单元格样式2"/>
            </w:pPr>
            <w:r>
              <w:t xml:space="preserve">通过实际日常用品等采购经费与计划日常用品等采购经费比对，反映市内办公点日常用品等采购经费支出成本控制情况。</w:t>
            </w:r>
          </w:p>
        </w:tc>
        <w:tc>
          <w:tcPr>
            <w:tcW w:w="0" w:type="auto"/>
            <w:hMerge/>
            <w:vAlign w:val="center"/>
          </w:tcPr>
          <w:p>
            <w:pPr/>
          </w:p>
        </w:tc>
        <w:tc>
          <w:tcPr>
            <w:tcW w:w="2551" w:type="dxa"/>
            <w:hMerge w:val="restart"/>
            <w:vAlign w:val="center"/>
          </w:tcPr>
          <w:p>
            <w:pPr>
              <w:pStyle w:val="单元格样式2"/>
            </w:pPr>
            <w:r>
              <w:t xml:space="preserve">≤32.6万元</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市内办公点房租</w:t>
            </w:r>
          </w:p>
        </w:tc>
        <w:tc>
          <w:tcPr>
            <w:tcW w:w="3430" w:type="dxa"/>
            <w:hMerge w:val="restart"/>
            <w:vAlign w:val="center"/>
          </w:tcPr>
          <w:p>
            <w:pPr>
              <w:pStyle w:val="单元格样式2"/>
            </w:pPr>
            <w:r>
              <w:t xml:space="preserve">通过实际房租与计划房租比对，反映市内办公点房租支出成本控制情况。</w:t>
            </w:r>
          </w:p>
        </w:tc>
        <w:tc>
          <w:tcPr>
            <w:tcW w:w="0" w:type="auto"/>
            <w:hMerge/>
            <w:vAlign w:val="center"/>
          </w:tcPr>
          <w:p>
            <w:pPr/>
          </w:p>
        </w:tc>
        <w:tc>
          <w:tcPr>
            <w:tcW w:w="2551" w:type="dxa"/>
            <w:hMerge w:val="restart"/>
            <w:vAlign w:val="center"/>
          </w:tcPr>
          <w:p>
            <w:pPr>
              <w:pStyle w:val="单元格样式2"/>
            </w:pPr>
            <w:r>
              <w:t xml:space="preserve">≤3.37万元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提高市内办公点工作效能</w:t>
            </w:r>
          </w:p>
        </w:tc>
        <w:tc>
          <w:tcPr>
            <w:tcW w:w="3430" w:type="dxa"/>
            <w:hMerge w:val="restart"/>
            <w:vAlign w:val="center"/>
          </w:tcPr>
          <w:p>
            <w:pPr>
              <w:pStyle w:val="单元格样式2"/>
            </w:pPr>
            <w:r>
              <w:t xml:space="preserve">通过保障市内办公点运营工作的完成情况，反映本项目对市内办公点工作效能的提高程度。</w:t>
            </w:r>
          </w:p>
        </w:tc>
        <w:tc>
          <w:tcPr>
            <w:tcW w:w="0" w:type="auto"/>
            <w:hMerge/>
            <w:vAlign w:val="center"/>
          </w:tcPr>
          <w:p>
            <w:pPr/>
          </w:p>
        </w:tc>
        <w:tc>
          <w:tcPr>
            <w:tcW w:w="2551" w:type="dxa"/>
            <w:hMerge w:val="restart"/>
            <w:vAlign w:val="center"/>
          </w:tcPr>
          <w:p>
            <w:pPr>
              <w:pStyle w:val="单元格样式2"/>
            </w:pPr>
            <w:r>
              <w:t xml:space="preserve">通过保障市内办公点运营工作的完成情况，反映本项目对市内办公点工作效能的提高程度。</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工作人员满意度</w:t>
            </w:r>
          </w:p>
        </w:tc>
        <w:tc>
          <w:tcPr>
            <w:tcW w:w="3430" w:type="dxa"/>
            <w:hMerge w:val="restart"/>
            <w:vAlign w:val="center"/>
          </w:tcPr>
          <w:p>
            <w:pPr>
              <w:pStyle w:val="单元格样式2"/>
            </w:pPr>
            <w:r>
              <w:t xml:space="preserve">通过调查问卷中满意人数与调查总人数的比率，反映被调查对象对本项目的满意程度。</w:t>
            </w:r>
          </w:p>
        </w:tc>
        <w:tc>
          <w:tcPr>
            <w:tcW w:w="0" w:type="auto"/>
            <w:hMerge/>
            <w:vAlign w:val="center"/>
          </w:tcPr>
          <w:p>
            <w:pPr/>
          </w:p>
        </w:tc>
        <w:tc>
          <w:tcPr>
            <w:tcW w:w="2551" w:type="dxa"/>
            <w:hMerge w:val="restart"/>
            <w:vAlign w:val="center"/>
          </w:tcPr>
          <w:p>
            <w:pPr>
              <w:pStyle w:val="单元格样式2"/>
            </w:pPr>
            <w:r>
              <w:t xml:space="preserve">≥98%</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10" w:name="_Toc_4_4_0000000011"/>
      <w:r>
        <w:rPr>
          <w:rFonts w:ascii="方正仿宋_GBK" w:eastAsia="方正仿宋_GBK" w:hAnsi="方正仿宋_GBK" w:cs="方正仿宋_GBK"/>
          <w:sz w:val="28"/>
        </w:rPr>
        <w:t xml:space="preserve">8.2026年编制外长聘人员经费项目（机关事业单位辅助人员）绩效目标表</w:t>
      </w:r>
      <w:bookmarkEnd w:id="10"/>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301201天津市滨海新区机关事务服务中心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2026年编制外长聘人员经费项目（机关事业单位辅助人员）</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762316.56</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762316.56</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通过发放多种用工派遣人员工作经费，保障派遣员工的基本合法权益，保障工作顺利推进。</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1.通过发放多种用工派遣人员工作经费，保障派遣员工的基本合法权益，保障工作顺利推进。</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多种用工人员经费发放人数</w:t>
            </w:r>
          </w:p>
        </w:tc>
        <w:tc>
          <w:tcPr>
            <w:tcW w:w="3430" w:type="dxa"/>
            <w:hMerge w:val="restart"/>
            <w:vAlign w:val="center"/>
          </w:tcPr>
          <w:p>
            <w:pPr>
              <w:pStyle w:val="单元格样式2"/>
            </w:pPr>
            <w:r>
              <w:t xml:space="preserve">通过考量实际多种用工人员经费发放人数，反映多种用工人员经费发放工作开展的完成情况。</w:t>
            </w:r>
          </w:p>
        </w:tc>
        <w:tc>
          <w:tcPr>
            <w:tcW w:w="0" w:type="auto"/>
            <w:hMerge/>
            <w:vAlign w:val="center"/>
          </w:tcPr>
          <w:p>
            <w:pPr/>
          </w:p>
        </w:tc>
        <w:tc>
          <w:tcPr>
            <w:tcW w:w="2551" w:type="dxa"/>
            <w:hMerge w:val="restart"/>
            <w:vAlign w:val="center"/>
          </w:tcPr>
          <w:p>
            <w:pPr>
              <w:pStyle w:val="单元格样式2"/>
            </w:pPr>
            <w:r>
              <w:t xml:space="preserve">≥8人</w:t>
            </w:r>
          </w:p>
        </w:tc>
        <w:tc>
          <w:tcPr>
            <w:tcW w:w="0" w:type="auto"/>
            <w:hMerge/>
          </w:tcPr>
          <w:p>
            <w:pPr>
              <w:pStyle w:val="单元格样式2"/>
            </w:pPr>
            <w:r>
              <w:t xml:space="preserve">多种用工人员经费发放人数</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多种用工人员经费发放准确率</w:t>
            </w:r>
          </w:p>
        </w:tc>
        <w:tc>
          <w:tcPr>
            <w:tcW w:w="3430" w:type="dxa"/>
            <w:hMerge w:val="restart"/>
            <w:vAlign w:val="center"/>
          </w:tcPr>
          <w:p>
            <w:pPr>
              <w:pStyle w:val="单元格样式2"/>
            </w:pPr>
            <w:r>
              <w:t xml:space="preserve">通过多种用工人员经费发放准确的人数与多种用工人员经费发放总人数比对，反映多种用工人员经费发放的准确情况。计算公式：多种用工人员经费发放准确率=多种用工人员经费发放准确的人数÷多种用工人员经费发放总人数×100%。</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r>
              <w:t xml:space="preserve">多种用工人员经费发放准确率</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多种用工人员经费发放完成时间</w:t>
            </w:r>
          </w:p>
        </w:tc>
        <w:tc>
          <w:tcPr>
            <w:tcW w:w="3430" w:type="dxa"/>
            <w:hMerge w:val="restart"/>
            <w:vAlign w:val="center"/>
          </w:tcPr>
          <w:p>
            <w:pPr>
              <w:pStyle w:val="单元格样式2"/>
            </w:pPr>
            <w:r>
              <w:t xml:space="preserve">通过考量实际多种用工人员经费发放完成时间，反映多种用工人员经费发放工作开展的完成情况。</w:t>
            </w:r>
          </w:p>
        </w:tc>
        <w:tc>
          <w:tcPr>
            <w:tcW w:w="0" w:type="auto"/>
            <w:hMerge/>
            <w:vAlign w:val="center"/>
          </w:tcPr>
          <w:p>
            <w:pPr/>
          </w:p>
        </w:tc>
        <w:tc>
          <w:tcPr>
            <w:tcW w:w="2551" w:type="dxa"/>
            <w:hMerge w:val="restart"/>
            <w:vAlign w:val="center"/>
          </w:tcPr>
          <w:p>
            <w:pPr>
              <w:pStyle w:val="单元格样式2"/>
            </w:pPr>
            <w:r>
              <w:t xml:space="preserve">2026年12月底前</w:t>
            </w:r>
          </w:p>
        </w:tc>
        <w:tc>
          <w:tcPr>
            <w:tcW w:w="0" w:type="auto"/>
            <w:hMerge/>
          </w:tcPr>
          <w:p>
            <w:pPr>
              <w:pStyle w:val="单元格样式2"/>
            </w:pPr>
            <w:r>
              <w:t xml:space="preserve">多种用工人员经费发放完成时间</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多种用工人员经费标准</w:t>
            </w:r>
          </w:p>
        </w:tc>
        <w:tc>
          <w:tcPr>
            <w:tcW w:w="3430" w:type="dxa"/>
            <w:hMerge w:val="restart"/>
            <w:vAlign w:val="center"/>
          </w:tcPr>
          <w:p>
            <w:pPr>
              <w:pStyle w:val="单元格样式2"/>
            </w:pPr>
            <w:r>
              <w:t xml:space="preserve">通过实际支出标准与规定支出标准比对，反映多种用工人员经费支出标准的符合情况。</w:t>
            </w:r>
          </w:p>
        </w:tc>
        <w:tc>
          <w:tcPr>
            <w:tcW w:w="0" w:type="auto"/>
            <w:hMerge/>
            <w:vAlign w:val="center"/>
          </w:tcPr>
          <w:p>
            <w:pPr/>
          </w:p>
        </w:tc>
        <w:tc>
          <w:tcPr>
            <w:tcW w:w="2551" w:type="dxa"/>
            <w:hMerge w:val="restart"/>
            <w:vAlign w:val="center"/>
          </w:tcPr>
          <w:p>
            <w:pPr>
              <w:pStyle w:val="单元格样式2"/>
            </w:pPr>
            <w:r>
              <w:t xml:space="preserve">≤9.53万元/人/年</w:t>
            </w:r>
          </w:p>
        </w:tc>
        <w:tc>
          <w:tcPr>
            <w:tcW w:w="0" w:type="auto"/>
            <w:hMerge/>
          </w:tcPr>
          <w:p>
            <w:pPr>
              <w:pStyle w:val="单元格样式2"/>
            </w:pPr>
            <w:r>
              <w:t xml:space="preserve">多种用工人员经费标准</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多种用工人员到岗率</w:t>
            </w:r>
          </w:p>
        </w:tc>
        <w:tc>
          <w:tcPr>
            <w:tcW w:w="3430" w:type="dxa"/>
            <w:hMerge w:val="restart"/>
            <w:vAlign w:val="center"/>
          </w:tcPr>
          <w:p>
            <w:pPr>
              <w:pStyle w:val="单元格样式2"/>
            </w:pPr>
            <w:r>
              <w:t xml:space="preserve">通过实际多种用工人员到岗人数与多种用工人员应到岗人数比对，反映多种用工人员的到岗情况。计算公式：多种用工人员到岗率=实际到岗人数÷应到岗人数×100%。</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r>
              <w:t xml:space="preserve">多种用工人员到岗率</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完善多种用工人员经费管理制度</w:t>
            </w:r>
          </w:p>
        </w:tc>
        <w:tc>
          <w:tcPr>
            <w:tcW w:w="3430" w:type="dxa"/>
            <w:hMerge w:val="restart"/>
            <w:vAlign w:val="center"/>
          </w:tcPr>
          <w:p>
            <w:pPr>
              <w:pStyle w:val="单元格样式2"/>
            </w:pPr>
            <w:r>
              <w:t xml:space="preserve">通过多种用工人员经费管理制度或办法的完善情况，反映多种用工人员经费管理工作开展的长效保障效果。</w:t>
            </w:r>
          </w:p>
        </w:tc>
        <w:tc>
          <w:tcPr>
            <w:tcW w:w="0" w:type="auto"/>
            <w:hMerge/>
            <w:vAlign w:val="center"/>
          </w:tcPr>
          <w:p>
            <w:pPr/>
          </w:p>
        </w:tc>
        <w:tc>
          <w:tcPr>
            <w:tcW w:w="2551" w:type="dxa"/>
            <w:hMerge w:val="restart"/>
            <w:vAlign w:val="center"/>
          </w:tcPr>
          <w:p>
            <w:pPr>
              <w:pStyle w:val="单元格样式2"/>
            </w:pPr>
            <w:r>
              <w:t xml:space="preserve">持续有效</w:t>
            </w:r>
          </w:p>
        </w:tc>
        <w:tc>
          <w:tcPr>
            <w:tcW w:w="0" w:type="auto"/>
            <w:hMerge/>
          </w:tcPr>
          <w:p>
            <w:pPr>
              <w:pStyle w:val="单元格样式2"/>
            </w:pPr>
            <w:r>
              <w:t xml:space="preserve">完善多种用工人员经费管理制度</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多种用工人员满意度</w:t>
            </w:r>
          </w:p>
        </w:tc>
        <w:tc>
          <w:tcPr>
            <w:tcW w:w="3430" w:type="dxa"/>
            <w:hMerge w:val="restart"/>
            <w:vAlign w:val="center"/>
          </w:tcPr>
          <w:p>
            <w:pPr>
              <w:pStyle w:val="单元格样式2"/>
            </w:pPr>
            <w:r>
              <w:t xml:space="preserve">通过调查问卷中满意人数与调查总人数的比率，反映被调查对象对本项目的满意程度。计算公式：各类问题满意人数÷调查总人数×100%。</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r>
              <w:t xml:space="preserve">多种用工人员满意度</w:t>
            </w:r>
          </w:p>
        </w:tc>
      </w:tr>
    </w:tbl>
    <w:p>
      <w:pPr/>
    </w:p>
    <w:sectPr>
      <w:type w:val="nextPage"/>
      <w:pgSz w:w="11900" w:h="16840" w:orient="portrait"/>
      <w:pgMar w:top="1984" w:right="1304" w:bottom="1134" w:left="1304" w:header="720" w:footer="72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jc w:val="left"/>
    </w:pPr>
    <w:r>
      <w:fldChar w:fldCharType="begin"/>
    </w:r>
    <w:r>
      <w:instrText xml:space="preserve">PAGE "page number"</w:instrText>
    </w:r>
    <w:r>
      <w:fldChar w:fldCharType="separate"/>
    </w:r>
    <w:r>
      <w:t xml:space="preserve">page number</w:t>
    </w:r>
    <w:r>
      <w:fldChar w:fldCharType="end"/>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jc w:val="right"/>
    </w:pPr>
    <w:r>
      <w:fldChar w:fldCharType="begin"/>
    </w:r>
    <w:r>
      <w:instrText xml:space="preserve">PAGE "page number"</w:instrText>
    </w:r>
    <w:r>
      <w:fldChar w:fldCharType="separate"/>
    </w:r>
    <w:r>
      <w:t xml:space="preserve">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2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00"/>
  <w:bordersDoNotSurroundFooter w:val="0"/>
  <w:bordersDoNotSurroundHeader w:val="0"/>
  <w:doNotTrackMoves/>
  <w:defaultTabStop w:val="720"/>
  <w:evenAndOddHeaders/>
  <w:characterSpacingControl w:val="doNotCompress"/>
  <w:compat>
    <w:doNotLeaveBackslashAlone/>
    <w:doNotExpandShiftReturn/>
    <w:adjustLineHeightInTable/>
    <w:useFELayou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插入文本样式-插入总体目标文件">
    <w:name w:val="插入文本样式-插入总体目标文件"/>
    <w:basedOn w:val="Normal"/>
    <w:qFormat/>
    <w:pPr>
      <w:spacing w:before="0" w:after="0" w:line="500" w:lineRule="exact"/>
      <w:ind w:firstLine="560"/>
      <w:jc w:val="left"/>
      <w:outlineLvl w:val="9"/>
    </w:pPr>
    <w:rPr>
      <w:rFonts w:ascii="Times New Roman" w:eastAsia="方正仿宋_GBK" w:hAnsi="Times New Roman" w:cs="Times New Roman"/>
      <w:b w:val="0"/>
      <w:sz w:val="28"/>
    </w:rPr>
  </w:style>
  <w:style w:type="paragraph" w:styleId="插入文本样式-插入职责分类绩效目标文件">
    <w:name w:val="插入文本样式-插入职责分类绩效目标文件"/>
    <w:basedOn w:val="Normal"/>
    <w:qFormat/>
    <w:pPr>
      <w:spacing w:before="0" w:after="0" w:line="500" w:lineRule="exact"/>
      <w:ind w:firstLine="560"/>
      <w:jc w:val="left"/>
      <w:outlineLvl w:val="9"/>
    </w:pPr>
    <w:rPr>
      <w:rFonts w:ascii="Times New Roman" w:eastAsia="方正仿宋_GBK" w:hAnsi="Times New Roman" w:cs="Times New Roman"/>
      <w:b w:val="0"/>
      <w:sz w:val="28"/>
    </w:rPr>
  </w:style>
  <w:style w:type="paragraph" w:styleId="插入文本样式-插入实现年度发展规划目标的保障措施文件">
    <w:name w:val="插入文本样式-插入实现年度发展规划目标的保障措施文件"/>
    <w:basedOn w:val="Normal"/>
    <w:qFormat/>
    <w:pPr>
      <w:spacing w:before="0" w:after="0" w:line="500" w:lineRule="exact"/>
      <w:ind w:firstLine="560"/>
      <w:jc w:val="left"/>
      <w:outlineLvl w:val="9"/>
    </w:pPr>
    <w:rPr>
      <w:rFonts w:ascii="Times New Roman" w:eastAsia="方正仿宋_GBK" w:hAnsi="Times New Roman" w:cs="Times New Roman"/>
      <w:b w:val="0"/>
      <w:sz w:val="28"/>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单元格样式4">
    <w:name w:val="单元格样式4"/>
    <w:basedOn w:val="Normal"/>
    <w:qFormat/>
    <w:pPr>
      <w:spacing w:before="0" w:after="0"/>
      <w:ind w:firstLine="0"/>
      <w:jc w:val="right"/>
      <w:outlineLvl w:val="9"/>
    </w:pPr>
    <w:rPr>
      <w:rFonts w:ascii="方正书宋_GBK" w:eastAsia="方正书宋_GBK" w:hAnsi="方正书宋_GBK" w:cs="方正书宋_GBK"/>
      <w:sz w:val="21"/>
    </w:rPr>
  </w:style>
  <w:style w:type="paragraph" w:styleId="单元格样式5">
    <w:name w:val="单元格样式5"/>
    <w:basedOn w:val="Normal"/>
    <w:qFormat/>
    <w:pPr>
      <w:spacing w:before="0" w:after="0"/>
      <w:ind w:firstLine="0"/>
      <w:jc w:val="left"/>
      <w:outlineLvl w:val="9"/>
    </w:pPr>
    <w:rPr>
      <w:rFonts w:ascii="方正书宋_GBK" w:eastAsia="方正书宋_GBK" w:hAnsi="方正书宋_GBK" w:cs="方正书宋_GBK"/>
      <w:b/>
      <w:sz w:val="21"/>
    </w:rPr>
  </w:style>
  <w:style w:type="paragraph" w:styleId="单元格样式2">
    <w:name w:val="单元格样式2"/>
    <w:basedOn w:val="Normal"/>
    <w:qFormat/>
    <w:pPr>
      <w:spacing w:before="0" w:after="0"/>
      <w:ind w:firstLine="0"/>
      <w:jc w:val="left"/>
      <w:outlineLvl w:val="9"/>
    </w:pPr>
    <w:rPr>
      <w:rFonts w:ascii="方正书宋_GBK" w:eastAsia="方正书宋_GBK" w:hAnsi="方正书宋_GBK" w:cs="方正书宋_GBK"/>
      <w:sz w:val="21"/>
    </w:rPr>
  </w:style>
  <w:style w:type="paragraph" w:styleId="单元格样式1">
    <w:name w:val="单元格样式1"/>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3">
    <w:name w:val="单元格样式3"/>
    <w:basedOn w:val="Normal"/>
    <w:qFormat/>
    <w:pPr>
      <w:spacing w:before="0" w:after="0"/>
      <w:ind w:firstLine="0"/>
      <w:jc w:val="center"/>
      <w:outlineLvl w:val="9"/>
    </w:pPr>
    <w:rPr>
      <w:rFonts w:ascii="方正书宋_GBK" w:eastAsia="方正书宋_GBK" w:hAnsi="方正书宋_GBK" w:cs="方正书宋_GBK"/>
      <w:sz w:val="21"/>
    </w:rPr>
  </w:style>
  <w:style w:type="paragraph" w:styleId="TOC2">
    <w:name w:val="TOC 2"/>
    <w:basedOn w:val="Normal"/>
    <w:qFormat/>
    <w:pPr>
      <w:ind w:left="240"/>
    </w:pPr>
    <w:rPr/>
  </w:style>
  <w:style w:type="paragraph" w:styleId="TOC4">
    <w:name w:val="TOC 4"/>
    <w:basedOn w:val="Normal"/>
    <w:qFormat/>
    <w:pPr>
      <w:ind w:left="720"/>
    </w:pPr>
    <w:rPr/>
  </w:style>
  <w:style w:type="paragraph" w:styleId="TOC1">
    <w:name w:val="TOC 1"/>
    <w:basedOn w:val="Normal"/>
    <w:qFormat/>
    <w:pPr>
      <w:spacing w:before="120" w:line="240"/>
      <w:ind w:firstLine="0"/>
    </w:pPr>
    <w:rPr>
      <w:rFonts w:ascii="Times New Roman" w:eastAsia="方正仿宋_GBK" w:hAnsi="Times New Roman" w:cs="Times New Roman"/>
      <w:b w:val="0"/>
      <w:color w:val="000000"/>
      <w:sz w:val="28"/>
      <w:lang w:val="en-US"/>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footer" Target="footer1.xml" /><Relationship Id="rId22" Type="http://schemas.openxmlformats.org/officeDocument/2006/relationships/footer" Target="footer2.xml" /><Relationship Id="rId23" Type="http://schemas.openxmlformats.org/officeDocument/2006/relationships/theme" Target="theme/theme1.xml" /><Relationship Id="rId24" Type="http://schemas.openxmlformats.org/officeDocument/2006/relationships/styles" Target="styles.xml" /><Relationship Id="rId25" Type="http://schemas.openxmlformats.org/officeDocument/2006/relationships/webSettings" Target="webSettings.xml" /><Relationship Id="rId26" Type="http://schemas.openxmlformats.org/officeDocument/2006/relationships/numbering" Target="numbering.xml" /><Relationship Id="rId27"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10.xml.rels>&#65279;<?xml version="1.0" encoding="utf-8"?><Relationships xmlns="http://schemas.openxmlformats.org/package/2006/relationships"><Relationship Id="rId1" Type="http://schemas.openxmlformats.org/officeDocument/2006/relationships/customXmlProps" Target="itemProps10.xml" /></Relationships>
</file>

<file path=customXml/_rels/item11.xml.rels>&#65279;<?xml version="1.0" encoding="utf-8"?><Relationships xmlns="http://schemas.openxmlformats.org/package/2006/relationships"><Relationship Id="rId1" Type="http://schemas.openxmlformats.org/officeDocument/2006/relationships/customXmlProps" Target="itemProps11.xml" /></Relationships>
</file>

<file path=customXml/_rels/item12.xml.rels>&#65279;<?xml version="1.0" encoding="utf-8"?><Relationships xmlns="http://schemas.openxmlformats.org/package/2006/relationships"><Relationship Id="rId1" Type="http://schemas.openxmlformats.org/officeDocument/2006/relationships/customXmlProps" Target="itemProps12.xml" /></Relationships>
</file>

<file path=customXml/_rels/item13.xml.rels>&#65279;<?xml version="1.0" encoding="utf-8"?><Relationships xmlns="http://schemas.openxmlformats.org/package/2006/relationships"><Relationship Id="rId1" Type="http://schemas.openxmlformats.org/officeDocument/2006/relationships/customXmlProps" Target="itemProps13.xml" /></Relationships>
</file>

<file path=customXml/_rels/item14.xml.rels>&#65279;<?xml version="1.0" encoding="utf-8"?><Relationships xmlns="http://schemas.openxmlformats.org/package/2006/relationships"><Relationship Id="rId1" Type="http://schemas.openxmlformats.org/officeDocument/2006/relationships/customXmlProps" Target="itemProps14.xml" /></Relationships>
</file>

<file path=customXml/_rels/item15.xml.rels>&#65279;<?xml version="1.0" encoding="utf-8"?><Relationships xmlns="http://schemas.openxmlformats.org/package/2006/relationships"><Relationship Id="rId1" Type="http://schemas.openxmlformats.org/officeDocument/2006/relationships/customXmlProps" Target="itemProps15.xml" /></Relationships>
</file>

<file path=customXml/_rels/item16.xml.rels>&#65279;<?xml version="1.0" encoding="utf-8"?><Relationships xmlns="http://schemas.openxmlformats.org/package/2006/relationships"><Relationship Id="rId1" Type="http://schemas.openxmlformats.org/officeDocument/2006/relationships/customXmlProps" Target="itemProps16.xml" /></Relationships>
</file>

<file path=customXml/_rels/item17.xml.rels>&#65279;<?xml version="1.0" encoding="utf-8"?><Relationships xmlns="http://schemas.openxmlformats.org/package/2006/relationships"><Relationship Id="rId1" Type="http://schemas.openxmlformats.org/officeDocument/2006/relationships/customXmlProps" Target="itemProps17.xml" /></Relationships>
</file>

<file path=customXml/_rels/item18.xml.rels>&#65279;<?xml version="1.0" encoding="utf-8"?><Relationships xmlns="http://schemas.openxmlformats.org/package/2006/relationships"><Relationship Id="rId1" Type="http://schemas.openxmlformats.org/officeDocument/2006/relationships/customXmlProps" Target="itemProps18.xml" /></Relationships>
</file>

<file path=customXml/_rels/item19.xml.rels>&#65279;<?xml version="1.0" encoding="utf-8"?><Relationships xmlns="http://schemas.openxmlformats.org/package/2006/relationships"><Relationship Id="rId1" Type="http://schemas.openxmlformats.org/officeDocument/2006/relationships/customXmlProps" Target="itemProps19.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20.xml.rels>&#65279;<?xml version="1.0" encoding="utf-8"?><Relationships xmlns="http://schemas.openxmlformats.org/package/2006/relationships"><Relationship Id="rId1" Type="http://schemas.openxmlformats.org/officeDocument/2006/relationships/customXmlProps" Target="itemProps20.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_rels/item7.xml.rels>&#65279;<?xml version="1.0" encoding="utf-8"?><Relationships xmlns="http://schemas.openxmlformats.org/package/2006/relationships"><Relationship Id="rId1" Type="http://schemas.openxmlformats.org/officeDocument/2006/relationships/customXmlProps" Target="itemProps7.xml" /></Relationships>
</file>

<file path=customXml/_rels/item8.xml.rels>&#65279;<?xml version="1.0" encoding="utf-8"?><Relationships xmlns="http://schemas.openxmlformats.org/package/2006/relationships"><Relationship Id="rId1" Type="http://schemas.openxmlformats.org/officeDocument/2006/relationships/customXmlProps" Target="itemProps8.xml" /></Relationships>
</file>

<file path=customXml/_rels/item9.xml.rels>&#65279;<?xml version="1.0" encoding="utf-8"?><Relationships xmlns="http://schemas.openxmlformats.org/package/2006/relationships"><Relationship Id="rId1" Type="http://schemas.openxmlformats.org/officeDocument/2006/relationships/customXmlProps" Target="itemProps9.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2026-01-20T16:03:05Z</dcterms:created>
  <dcterms:modified xsi:type="dcterms:W3CDTF">2026-01-20T08:03:05Z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2026-01-20T16:03:06Z</dcterms:created>
  <dcterms:modified xsi:type="dcterms:W3CDTF">2026-01-20T08:03:06Z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2026-01-20T16:03:07Z</dcterms:created>
  <dcterms:modified xsi:type="dcterms:W3CDTF">2026-01-20T08:03:07Z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2026-01-20T16:03:07Z</dcterms:created>
  <dcterms:modified xsi:type="dcterms:W3CDTF">2026-01-20T08:03:07Z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2026-01-20T16:03:07Z</dcterms:created>
  <dcterms:modified xsi:type="dcterms:W3CDTF">2026-01-20T08:03:07Z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2026-01-20T16:03:07Z</dcterms:created>
  <dcterms:modified xsi:type="dcterms:W3CDTF">2026-01-20T08:03:07Z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2026-01-20T16:03:05Z</dcterms:created>
  <dcterms:modified xsi:type="dcterms:W3CDTF">2026-01-20T08:03:05Z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2026-01-20T16:03:05Z</dcterms:created>
  <dcterms:modified xsi:type="dcterms:W3CDTF">2026-01-20T08:03:05Z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2026-01-20T16:03:06Z</dcterms:created>
  <dcterms:modified xsi:type="dcterms:W3CDTF">2026-01-20T08:03:06Z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2026-01-20T16:03:06Z</dcterms:created>
  <dcterms:modified xsi:type="dcterms:W3CDTF">2026-01-20T08:03:06Z</dcterms:modified>
</cp:core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
  <ds:schemaRefs/>
</ds:datastoreItem>
</file>

<file path=customXml/itemProps11.xml><?xml version="1.0" encoding="utf-8"?>
<ds:datastoreItem xmlns:ds="http://schemas.openxmlformats.org/officeDocument/2006/customXml" ds:itemID="">
  <ds:schemaRefs/>
</ds:datastoreItem>
</file>

<file path=customXml/itemProps12.xml><?xml version="1.0" encoding="utf-8"?>
<ds:datastoreItem xmlns:ds="http://schemas.openxmlformats.org/officeDocument/2006/customXml" ds:itemID="">
  <ds:schemaRefs/>
</ds:datastoreItem>
</file>

<file path=customXml/itemProps13.xml><?xml version="1.0" encoding="utf-8"?>
<ds:datastoreItem xmlns:ds="http://schemas.openxmlformats.org/officeDocument/2006/customXml" ds:itemID="">
  <ds:schemaRefs/>
</ds:datastoreItem>
</file>

<file path=customXml/itemProps14.xml><?xml version="1.0" encoding="utf-8"?>
<ds:datastoreItem xmlns:ds="http://schemas.openxmlformats.org/officeDocument/2006/customXml" ds:itemID="">
  <ds:schemaRefs/>
</ds:datastoreItem>
</file>

<file path=customXml/itemProps15.xml><?xml version="1.0" encoding="utf-8"?>
<ds:datastoreItem xmlns:ds="http://schemas.openxmlformats.org/officeDocument/2006/customXml" ds:itemID="">
  <ds:schemaRefs/>
</ds:datastoreItem>
</file>

<file path=customXml/itemProps16.xml><?xml version="1.0" encoding="utf-8"?>
<ds:datastoreItem xmlns:ds="http://schemas.openxmlformats.org/officeDocument/2006/customXml" ds:itemID="">
  <ds:schemaRefs/>
</ds:datastoreItem>
</file>

<file path=customXml/itemProps17.xml><?xml version="1.0" encoding="utf-8"?>
<ds:datastoreItem xmlns:ds="http://schemas.openxmlformats.org/officeDocument/2006/customXml" ds:itemID="">
  <ds:schemaRefs/>
</ds:datastoreItem>
</file>

<file path=customXml/itemProps18.xml><?xml version="1.0" encoding="utf-8"?>
<ds:datastoreItem xmlns:ds="http://schemas.openxmlformats.org/officeDocument/2006/customXml" ds:itemID="">
  <ds:schemaRefs/>
</ds:datastoreItem>
</file>

<file path=customXml/itemProps19.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customXml/itemProps7.xml><?xml version="1.0" encoding="utf-8"?>
<ds:datastoreItem xmlns:ds="http://schemas.openxmlformats.org/officeDocument/2006/customXml" ds:itemID="">
  <ds:schemaRefs/>
</ds:datastoreItem>
</file>

<file path=customXml/itemProps8.xml><?xml version="1.0" encoding="utf-8"?>
<ds:datastoreItem xmlns:ds="http://schemas.openxmlformats.org/officeDocument/2006/customXml" ds:itemID="">
  <ds:schemaRefs/>
</ds:datastoreItem>
</file>

<file path=customXml/itemProps9.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2026-01-20T16:03:07Z</dcterms:created>
  <dcterms:modified xsi:type="dcterms:W3CDTF">2026-01-20T08:03:12Z</dcterms:modified>
</cp:coreProperties>
</file>