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2A76A">
      <w:pPr>
        <w:spacing w:before="0" w:after="0" w:line="240" w:lineRule="auto"/>
        <w:ind w:firstLine="0"/>
        <w:jc w:val="center"/>
        <w:outlineLvl w:val="9"/>
      </w:pPr>
      <w:r>
        <w:rPr>
          <w:rFonts w:ascii="方正仿宋_GBK" w:hAnsi="方正仿宋_GBK" w:eastAsia="方正仿宋_GBK" w:cs="方正仿宋_GBK"/>
          <w:sz w:val="28"/>
        </w:rPr>
        <w:t xml:space="preserve"> </w:t>
      </w:r>
    </w:p>
    <w:p w14:paraId="1976627B">
      <w:pPr>
        <w:spacing w:before="0" w:after="0"/>
        <w:ind w:firstLine="560"/>
        <w:jc w:val="left"/>
        <w:outlineLvl w:val="3"/>
      </w:pPr>
      <w:bookmarkStart w:id="0" w:name="_Toc_4_4_0000000004"/>
      <w:r>
        <w:rPr>
          <w:rFonts w:ascii="方正仿宋_GBK" w:hAnsi="方正仿宋_GBK" w:eastAsia="方正仿宋_GBK" w:cs="方正仿宋_GBK"/>
          <w:sz w:val="28"/>
        </w:rPr>
        <w:t>1.2025年*政府办机关运行经费*绩效目标表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844"/>
        <w:gridCol w:w="810"/>
        <w:gridCol w:w="1327"/>
      </w:tblGrid>
      <w:tr w14:paraId="6283C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85FAA5F">
            <w:pPr>
              <w:pStyle w:val="12"/>
            </w:pPr>
            <w:r>
              <w:t>301101天津市滨海新区人民政府办公室</w:t>
            </w:r>
          </w:p>
        </w:tc>
        <w:tc>
          <w:tcPr>
            <w:tcW w:w="1327" w:type="dxa"/>
            <w:tcBorders>
              <w:top w:val="single" w:color="FFFFFF" w:sz="6" w:space="0"/>
              <w:left w:val="single" w:color="FFFFFF" w:sz="6" w:space="0"/>
              <w:right w:val="single" w:color="FFFFFF" w:sz="6" w:space="0"/>
            </w:tcBorders>
            <w:vAlign w:val="center"/>
          </w:tcPr>
          <w:p w14:paraId="047AB7F0">
            <w:pPr>
              <w:pStyle w:val="11"/>
            </w:pPr>
            <w:r>
              <w:t>单位：元</w:t>
            </w:r>
          </w:p>
        </w:tc>
      </w:tr>
      <w:tr w14:paraId="3F273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368BDF">
            <w:pPr>
              <w:pStyle w:val="14"/>
            </w:pPr>
            <w:r>
              <w:t>项目名称</w:t>
            </w:r>
          </w:p>
        </w:tc>
        <w:tc>
          <w:tcPr>
            <w:tcW w:w="7962" w:type="dxa"/>
            <w:gridSpan w:val="6"/>
            <w:vAlign w:val="center"/>
          </w:tcPr>
          <w:p w14:paraId="2611F033">
            <w:pPr>
              <w:pStyle w:val="13"/>
            </w:pPr>
            <w:r>
              <w:t>2025年*政府办机关运行经费*</w:t>
            </w:r>
          </w:p>
        </w:tc>
      </w:tr>
      <w:tr w14:paraId="56B5F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C7FAD1">
            <w:pPr>
              <w:pStyle w:val="14"/>
            </w:pPr>
            <w:r>
              <w:t>预算规模及资金用途</w:t>
            </w:r>
          </w:p>
        </w:tc>
        <w:tc>
          <w:tcPr>
            <w:tcW w:w="1327" w:type="dxa"/>
            <w:vAlign w:val="center"/>
          </w:tcPr>
          <w:p w14:paraId="3C0DA33D">
            <w:pPr>
              <w:pStyle w:val="14"/>
            </w:pPr>
            <w:r>
              <w:t>预算数</w:t>
            </w:r>
          </w:p>
        </w:tc>
        <w:tc>
          <w:tcPr>
            <w:tcW w:w="1327" w:type="dxa"/>
            <w:vAlign w:val="center"/>
          </w:tcPr>
          <w:p w14:paraId="473D8720">
            <w:pPr>
              <w:pStyle w:val="13"/>
            </w:pPr>
            <w:r>
              <w:t>445220000.00</w:t>
            </w:r>
          </w:p>
        </w:tc>
        <w:tc>
          <w:tcPr>
            <w:tcW w:w="1327" w:type="dxa"/>
            <w:vAlign w:val="center"/>
          </w:tcPr>
          <w:p w14:paraId="259F86C3">
            <w:pPr>
              <w:pStyle w:val="14"/>
            </w:pPr>
            <w:r>
              <w:t>其中：财政    资金</w:t>
            </w:r>
          </w:p>
        </w:tc>
        <w:tc>
          <w:tcPr>
            <w:tcW w:w="1844" w:type="dxa"/>
            <w:vAlign w:val="center"/>
          </w:tcPr>
          <w:p w14:paraId="28741413">
            <w:pPr>
              <w:pStyle w:val="13"/>
            </w:pPr>
            <w:r>
              <w:t>445220000.00</w:t>
            </w:r>
          </w:p>
        </w:tc>
        <w:tc>
          <w:tcPr>
            <w:tcW w:w="810" w:type="dxa"/>
            <w:vAlign w:val="center"/>
          </w:tcPr>
          <w:p w14:paraId="62988EFB">
            <w:pPr>
              <w:pStyle w:val="14"/>
            </w:pPr>
            <w:r>
              <w:t>其他资金</w:t>
            </w:r>
          </w:p>
        </w:tc>
        <w:tc>
          <w:tcPr>
            <w:tcW w:w="1327" w:type="dxa"/>
            <w:vAlign w:val="center"/>
          </w:tcPr>
          <w:p w14:paraId="14FBEA0E">
            <w:pPr>
              <w:pStyle w:val="13"/>
            </w:pPr>
            <w:r>
              <w:t xml:space="preserve"> </w:t>
            </w:r>
          </w:p>
        </w:tc>
      </w:tr>
      <w:tr w14:paraId="6399E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C362D4"/>
        </w:tc>
        <w:tc>
          <w:tcPr>
            <w:tcW w:w="7962" w:type="dxa"/>
            <w:gridSpan w:val="6"/>
            <w:vAlign w:val="center"/>
          </w:tcPr>
          <w:p w14:paraId="29E7C08C">
            <w:pPr>
              <w:pStyle w:val="13"/>
            </w:pPr>
            <w:r>
              <w:t>通过租赁符合条件的楼宇,为各集中办公区工作人员提供必要的办公条件。通过采购优质的运维企业，为各集中办公区提供设备、设施、绿化等维护服务，确保各项设施正常运转。通过采购优质的物业公司为集中办公区提供保洁、安保、餐饮、设备设施维护等服务，为集中办公区工作人员创造良好的办公环境。</w:t>
            </w:r>
          </w:p>
        </w:tc>
      </w:tr>
      <w:tr w14:paraId="2626F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8C8C24">
            <w:pPr>
              <w:pStyle w:val="14"/>
            </w:pPr>
            <w:r>
              <w:t>绩效目标</w:t>
            </w:r>
          </w:p>
        </w:tc>
        <w:tc>
          <w:tcPr>
            <w:tcW w:w="7962" w:type="dxa"/>
            <w:gridSpan w:val="6"/>
            <w:vAlign w:val="center"/>
          </w:tcPr>
          <w:p w14:paraId="62266D66">
            <w:pPr>
              <w:pStyle w:val="13"/>
            </w:pPr>
            <w:r>
              <w:t>1.通过租赁符合条件的楼宇,为各集中办公区工作人员提供必要的办公条件。</w:t>
            </w:r>
          </w:p>
          <w:p w14:paraId="2DE29C1E">
            <w:pPr>
              <w:pStyle w:val="13"/>
            </w:pPr>
            <w:r>
              <w:t>2.通过采购优质的运维企业，为各集中办公区提供设备、设施、绿化等维护服务，确保各项设施正常运转。</w:t>
            </w:r>
          </w:p>
          <w:p w14:paraId="532E69D5">
            <w:pPr>
              <w:pStyle w:val="13"/>
            </w:pPr>
            <w:r>
              <w:t>3.通过采购优质的物业公司为集中办公区提供保洁、安保、餐饮、设备设施维护等服务，为集中办公区工作人员创造良好的办公环境。</w:t>
            </w:r>
          </w:p>
        </w:tc>
      </w:tr>
    </w:tbl>
    <w:p w14:paraId="07942E5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3144"/>
        <w:gridCol w:w="2164"/>
      </w:tblGrid>
      <w:tr w14:paraId="7A81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1F868A5">
            <w:pPr>
              <w:pStyle w:val="14"/>
            </w:pPr>
            <w:r>
              <w:t>一级指标</w:t>
            </w:r>
          </w:p>
        </w:tc>
        <w:tc>
          <w:tcPr>
            <w:tcW w:w="1327" w:type="dxa"/>
            <w:vAlign w:val="center"/>
          </w:tcPr>
          <w:p w14:paraId="21A3B1EC">
            <w:pPr>
              <w:pStyle w:val="14"/>
            </w:pPr>
            <w:r>
              <w:t>二级指标</w:t>
            </w:r>
          </w:p>
        </w:tc>
        <w:tc>
          <w:tcPr>
            <w:tcW w:w="1327" w:type="dxa"/>
            <w:vAlign w:val="center"/>
          </w:tcPr>
          <w:p w14:paraId="6BB7D50A">
            <w:pPr>
              <w:pStyle w:val="14"/>
            </w:pPr>
            <w:r>
              <w:t>三级指标</w:t>
            </w:r>
          </w:p>
        </w:tc>
        <w:tc>
          <w:tcPr>
            <w:tcW w:w="3144" w:type="dxa"/>
            <w:vAlign w:val="center"/>
          </w:tcPr>
          <w:p w14:paraId="7E6BD4B0">
            <w:pPr>
              <w:pStyle w:val="14"/>
            </w:pPr>
            <w:r>
              <w:t>绩效指标描述</w:t>
            </w:r>
          </w:p>
        </w:tc>
        <w:tc>
          <w:tcPr>
            <w:tcW w:w="2164" w:type="dxa"/>
            <w:vAlign w:val="center"/>
          </w:tcPr>
          <w:p w14:paraId="0AF7AC3A">
            <w:pPr>
              <w:pStyle w:val="14"/>
            </w:pPr>
            <w:r>
              <w:t>指标值</w:t>
            </w:r>
          </w:p>
        </w:tc>
      </w:tr>
      <w:tr w14:paraId="6FA7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87F55B">
            <w:pPr>
              <w:pStyle w:val="15"/>
            </w:pPr>
            <w:r>
              <w:t>产出指标</w:t>
            </w:r>
          </w:p>
        </w:tc>
        <w:tc>
          <w:tcPr>
            <w:tcW w:w="1327" w:type="dxa"/>
            <w:vAlign w:val="center"/>
          </w:tcPr>
          <w:p w14:paraId="23BA4D99">
            <w:pPr>
              <w:pStyle w:val="13"/>
            </w:pPr>
            <w:r>
              <w:t>数量指标</w:t>
            </w:r>
          </w:p>
        </w:tc>
        <w:tc>
          <w:tcPr>
            <w:tcW w:w="1327" w:type="dxa"/>
            <w:vAlign w:val="center"/>
          </w:tcPr>
          <w:p w14:paraId="7B125BBB">
            <w:pPr>
              <w:pStyle w:val="13"/>
            </w:pPr>
            <w:r>
              <w:t>保障集中办公区运营内容项数</w:t>
            </w:r>
          </w:p>
        </w:tc>
        <w:tc>
          <w:tcPr>
            <w:tcW w:w="3144" w:type="dxa"/>
            <w:vAlign w:val="center"/>
          </w:tcPr>
          <w:p w14:paraId="77E3CFFA">
            <w:pPr>
              <w:pStyle w:val="13"/>
            </w:pPr>
            <w:r>
              <w:t>通过考量保障集中办公区运营内容项数，反映集中办公区运营保障工作开展的完成情况。</w:t>
            </w:r>
          </w:p>
        </w:tc>
        <w:tc>
          <w:tcPr>
            <w:tcW w:w="2164" w:type="dxa"/>
            <w:vAlign w:val="center"/>
          </w:tcPr>
          <w:p w14:paraId="2DAC4E7A">
            <w:pPr>
              <w:pStyle w:val="13"/>
            </w:pPr>
            <w:r>
              <w:t>≥15项</w:t>
            </w:r>
          </w:p>
        </w:tc>
      </w:tr>
      <w:tr w14:paraId="08E0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FCAAB0"/>
        </w:tc>
        <w:tc>
          <w:tcPr>
            <w:tcW w:w="1327" w:type="dxa"/>
            <w:vAlign w:val="center"/>
          </w:tcPr>
          <w:p w14:paraId="1148957B">
            <w:pPr>
              <w:pStyle w:val="13"/>
            </w:pPr>
            <w:r>
              <w:t>数量指标</w:t>
            </w:r>
          </w:p>
        </w:tc>
        <w:tc>
          <w:tcPr>
            <w:tcW w:w="1327" w:type="dxa"/>
            <w:vAlign w:val="center"/>
          </w:tcPr>
          <w:p w14:paraId="3F0E94CA">
            <w:pPr>
              <w:pStyle w:val="13"/>
            </w:pPr>
            <w:r>
              <w:t>租用集中办公区面积</w:t>
            </w:r>
          </w:p>
        </w:tc>
        <w:tc>
          <w:tcPr>
            <w:tcW w:w="3144" w:type="dxa"/>
            <w:vAlign w:val="center"/>
          </w:tcPr>
          <w:p w14:paraId="6AAAC998">
            <w:pPr>
              <w:pStyle w:val="13"/>
            </w:pPr>
            <w:r>
              <w:t>通过考量租用集中办公区的面积数量，反映保障集中办公区工作的完成情况。</w:t>
            </w:r>
          </w:p>
        </w:tc>
        <w:tc>
          <w:tcPr>
            <w:tcW w:w="2164" w:type="dxa"/>
            <w:vAlign w:val="center"/>
          </w:tcPr>
          <w:p w14:paraId="40EA1112">
            <w:pPr>
              <w:pStyle w:val="13"/>
            </w:pPr>
            <w:r>
              <w:t>≥45万平方米</w:t>
            </w:r>
          </w:p>
        </w:tc>
      </w:tr>
      <w:tr w14:paraId="6FC24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83B543"/>
        </w:tc>
        <w:tc>
          <w:tcPr>
            <w:tcW w:w="1327" w:type="dxa"/>
            <w:vAlign w:val="center"/>
          </w:tcPr>
          <w:p w14:paraId="3C37A0BA">
            <w:pPr>
              <w:pStyle w:val="13"/>
            </w:pPr>
            <w:r>
              <w:t>质量指标</w:t>
            </w:r>
          </w:p>
        </w:tc>
        <w:tc>
          <w:tcPr>
            <w:tcW w:w="1327" w:type="dxa"/>
            <w:vAlign w:val="center"/>
          </w:tcPr>
          <w:p w14:paraId="6281A226">
            <w:pPr>
              <w:pStyle w:val="13"/>
            </w:pPr>
            <w:r>
              <w:t>保障集中办公区运营内容覆盖率</w:t>
            </w:r>
          </w:p>
        </w:tc>
        <w:tc>
          <w:tcPr>
            <w:tcW w:w="3144" w:type="dxa"/>
            <w:vAlign w:val="center"/>
          </w:tcPr>
          <w:p w14:paraId="35C074DA">
            <w:pPr>
              <w:pStyle w:val="13"/>
            </w:pPr>
            <w:r>
              <w:t>通过实际保障的集中办公区运营内容数量与集中办公区运营内容总数比对，反映保障集中办公区运营内容的覆盖情况。计算公式：保障集中办公区运营内容覆盖率=实际保障的集中办公区运营内容数量÷集中办公区运营内容总数×100%。</w:t>
            </w:r>
          </w:p>
        </w:tc>
        <w:tc>
          <w:tcPr>
            <w:tcW w:w="2164" w:type="dxa"/>
            <w:vAlign w:val="center"/>
          </w:tcPr>
          <w:p w14:paraId="446AB45F">
            <w:pPr>
              <w:pStyle w:val="13"/>
            </w:pPr>
            <w:r>
              <w:t>≥95%</w:t>
            </w:r>
          </w:p>
        </w:tc>
      </w:tr>
      <w:tr w14:paraId="73B7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C70180"/>
        </w:tc>
        <w:tc>
          <w:tcPr>
            <w:tcW w:w="1327" w:type="dxa"/>
            <w:vAlign w:val="center"/>
          </w:tcPr>
          <w:p w14:paraId="08A114F0">
            <w:pPr>
              <w:pStyle w:val="13"/>
            </w:pPr>
            <w:r>
              <w:t>质量指标</w:t>
            </w:r>
          </w:p>
        </w:tc>
        <w:tc>
          <w:tcPr>
            <w:tcW w:w="1327" w:type="dxa"/>
            <w:vAlign w:val="center"/>
          </w:tcPr>
          <w:p w14:paraId="33F8CD99">
            <w:pPr>
              <w:pStyle w:val="13"/>
            </w:pPr>
            <w:r>
              <w:t>保障集中办公区面积的覆盖率</w:t>
            </w:r>
          </w:p>
        </w:tc>
        <w:tc>
          <w:tcPr>
            <w:tcW w:w="3144" w:type="dxa"/>
            <w:vAlign w:val="center"/>
          </w:tcPr>
          <w:p w14:paraId="554F3DE5">
            <w:pPr>
              <w:pStyle w:val="13"/>
            </w:pPr>
            <w:r>
              <w:t>通过实际保障的集中办公区面积与集中办公区总面积比对，反映保障集中办公区运营面积的覆盖情况。计算公式：保障集中办公区面积的覆盖率=实际保障的集中办公区面积÷集中办公区总面积×100%。</w:t>
            </w:r>
          </w:p>
        </w:tc>
        <w:tc>
          <w:tcPr>
            <w:tcW w:w="2164" w:type="dxa"/>
            <w:vAlign w:val="center"/>
          </w:tcPr>
          <w:p w14:paraId="39A37000">
            <w:pPr>
              <w:pStyle w:val="13"/>
            </w:pPr>
            <w:r>
              <w:t>≥95%</w:t>
            </w:r>
          </w:p>
        </w:tc>
      </w:tr>
      <w:tr w14:paraId="532DF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1327" w:type="dxa"/>
            <w:vMerge w:val="continue"/>
            <w:vAlign w:val="center"/>
          </w:tcPr>
          <w:p w14:paraId="3A42329A"/>
        </w:tc>
        <w:tc>
          <w:tcPr>
            <w:tcW w:w="1327" w:type="dxa"/>
            <w:vAlign w:val="center"/>
          </w:tcPr>
          <w:p w14:paraId="0D66C86A">
            <w:pPr>
              <w:pStyle w:val="13"/>
            </w:pPr>
            <w:r>
              <w:t>时效指标</w:t>
            </w:r>
          </w:p>
        </w:tc>
        <w:tc>
          <w:tcPr>
            <w:tcW w:w="1327" w:type="dxa"/>
            <w:vAlign w:val="center"/>
          </w:tcPr>
          <w:p w14:paraId="609FDF13">
            <w:pPr>
              <w:pStyle w:val="13"/>
            </w:pPr>
            <w:r>
              <w:t>保障集中办公区正常运转时间</w:t>
            </w:r>
          </w:p>
        </w:tc>
        <w:tc>
          <w:tcPr>
            <w:tcW w:w="3144" w:type="dxa"/>
            <w:vAlign w:val="center"/>
          </w:tcPr>
          <w:p w14:paraId="11365532">
            <w:pPr>
              <w:pStyle w:val="13"/>
            </w:pPr>
            <w:r>
              <w:t>保障集中办公区正常运转时间。</w:t>
            </w:r>
          </w:p>
        </w:tc>
        <w:tc>
          <w:tcPr>
            <w:tcW w:w="2164" w:type="dxa"/>
            <w:vAlign w:val="center"/>
          </w:tcPr>
          <w:p w14:paraId="272BCDAD">
            <w:pPr>
              <w:pStyle w:val="13"/>
            </w:pPr>
            <w:r>
              <w:t>2025年1月到2025年12月</w:t>
            </w:r>
          </w:p>
        </w:tc>
      </w:tr>
      <w:tr w14:paraId="10F9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DBCC77"/>
        </w:tc>
        <w:tc>
          <w:tcPr>
            <w:tcW w:w="1327" w:type="dxa"/>
            <w:vAlign w:val="center"/>
          </w:tcPr>
          <w:p w14:paraId="13605206">
            <w:pPr>
              <w:pStyle w:val="13"/>
            </w:pPr>
            <w:r>
              <w:t>成本指标</w:t>
            </w:r>
          </w:p>
        </w:tc>
        <w:tc>
          <w:tcPr>
            <w:tcW w:w="1327" w:type="dxa"/>
            <w:vAlign w:val="center"/>
          </w:tcPr>
          <w:p w14:paraId="2688C1D7">
            <w:pPr>
              <w:pStyle w:val="13"/>
            </w:pPr>
            <w:r>
              <w:t>集中办公区每平米日租金标准</w:t>
            </w:r>
          </w:p>
        </w:tc>
        <w:tc>
          <w:tcPr>
            <w:tcW w:w="3144" w:type="dxa"/>
            <w:vAlign w:val="center"/>
          </w:tcPr>
          <w:p w14:paraId="1A266949">
            <w:pPr>
              <w:pStyle w:val="13"/>
            </w:pPr>
            <w:r>
              <w:t>通过考核集中办公区每平米日租金标准，反映集中办公区房租费用的成本控制情况。</w:t>
            </w:r>
          </w:p>
        </w:tc>
        <w:tc>
          <w:tcPr>
            <w:tcW w:w="2164" w:type="dxa"/>
            <w:vAlign w:val="center"/>
          </w:tcPr>
          <w:p w14:paraId="008D895A">
            <w:pPr>
              <w:pStyle w:val="13"/>
            </w:pPr>
            <w:r>
              <w:t>≤2.99元/米.日</w:t>
            </w:r>
          </w:p>
        </w:tc>
      </w:tr>
      <w:tr w14:paraId="7325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805ACC"/>
        </w:tc>
        <w:tc>
          <w:tcPr>
            <w:tcW w:w="1327" w:type="dxa"/>
            <w:vAlign w:val="center"/>
          </w:tcPr>
          <w:p w14:paraId="1E660CC5">
            <w:pPr>
              <w:pStyle w:val="13"/>
            </w:pPr>
            <w:r>
              <w:t>成本指标</w:t>
            </w:r>
          </w:p>
        </w:tc>
        <w:tc>
          <w:tcPr>
            <w:tcW w:w="1327" w:type="dxa"/>
            <w:vAlign w:val="center"/>
          </w:tcPr>
          <w:p w14:paraId="560F8259">
            <w:pPr>
              <w:pStyle w:val="13"/>
            </w:pPr>
            <w:r>
              <w:t>集中办公区每平米年物业费标准</w:t>
            </w:r>
          </w:p>
        </w:tc>
        <w:tc>
          <w:tcPr>
            <w:tcW w:w="3144" w:type="dxa"/>
            <w:vAlign w:val="center"/>
          </w:tcPr>
          <w:p w14:paraId="7CD777B2">
            <w:pPr>
              <w:pStyle w:val="13"/>
            </w:pPr>
            <w:r>
              <w:t>通过考核集中办公区每平米年物业费标准，反映集中办公区物业费用的成本控制情况。</w:t>
            </w:r>
          </w:p>
        </w:tc>
        <w:tc>
          <w:tcPr>
            <w:tcW w:w="2164" w:type="dxa"/>
            <w:vAlign w:val="center"/>
          </w:tcPr>
          <w:p w14:paraId="5A5D76C1">
            <w:pPr>
              <w:pStyle w:val="13"/>
            </w:pPr>
            <w:r>
              <w:t>≤99元/米.年</w:t>
            </w:r>
          </w:p>
        </w:tc>
      </w:tr>
      <w:tr w14:paraId="5ACE0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36D913"/>
        </w:tc>
        <w:tc>
          <w:tcPr>
            <w:tcW w:w="1327" w:type="dxa"/>
            <w:vAlign w:val="center"/>
          </w:tcPr>
          <w:p w14:paraId="07A3E38D">
            <w:pPr>
              <w:pStyle w:val="13"/>
            </w:pPr>
            <w:r>
              <w:t>成本指标</w:t>
            </w:r>
          </w:p>
        </w:tc>
        <w:tc>
          <w:tcPr>
            <w:tcW w:w="1327" w:type="dxa"/>
            <w:vAlign w:val="center"/>
          </w:tcPr>
          <w:p w14:paraId="147E5382">
            <w:pPr>
              <w:pStyle w:val="13"/>
            </w:pPr>
            <w:r>
              <w:t>集中办公区能源费用</w:t>
            </w:r>
          </w:p>
        </w:tc>
        <w:tc>
          <w:tcPr>
            <w:tcW w:w="3144" w:type="dxa"/>
            <w:vAlign w:val="center"/>
          </w:tcPr>
          <w:p w14:paraId="2CEB0528">
            <w:pPr>
              <w:pStyle w:val="13"/>
            </w:pPr>
            <w:r>
              <w:t>通过实际支出金额与计划支出金额比对，反映集中办公区能源费用的成本控制情况。</w:t>
            </w:r>
          </w:p>
        </w:tc>
        <w:tc>
          <w:tcPr>
            <w:tcW w:w="2164" w:type="dxa"/>
            <w:vAlign w:val="center"/>
          </w:tcPr>
          <w:p w14:paraId="5DC96E83">
            <w:pPr>
              <w:pStyle w:val="13"/>
            </w:pPr>
            <w:r>
              <w:t>≤370万元</w:t>
            </w:r>
          </w:p>
        </w:tc>
      </w:tr>
      <w:tr w14:paraId="196A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5E0CEA"/>
        </w:tc>
        <w:tc>
          <w:tcPr>
            <w:tcW w:w="1327" w:type="dxa"/>
            <w:vAlign w:val="center"/>
          </w:tcPr>
          <w:p w14:paraId="75DB7D13">
            <w:pPr>
              <w:pStyle w:val="13"/>
            </w:pPr>
            <w:r>
              <w:t>成本指标</w:t>
            </w:r>
          </w:p>
        </w:tc>
        <w:tc>
          <w:tcPr>
            <w:tcW w:w="1327" w:type="dxa"/>
            <w:vAlign w:val="center"/>
          </w:tcPr>
          <w:p w14:paraId="196BFF75">
            <w:pPr>
              <w:pStyle w:val="13"/>
            </w:pPr>
            <w:r>
              <w:t>集中办公区绿化等其他运行维护费用</w:t>
            </w:r>
          </w:p>
        </w:tc>
        <w:tc>
          <w:tcPr>
            <w:tcW w:w="3144" w:type="dxa"/>
            <w:vAlign w:val="center"/>
          </w:tcPr>
          <w:p w14:paraId="03E591DD">
            <w:pPr>
              <w:pStyle w:val="13"/>
            </w:pPr>
            <w:r>
              <w:t>通过实际支出金额与计划支出金额比对，反映集中办公区绿化等其他运行维护费用的成本控制情况。</w:t>
            </w:r>
          </w:p>
        </w:tc>
        <w:tc>
          <w:tcPr>
            <w:tcW w:w="2164" w:type="dxa"/>
            <w:vAlign w:val="center"/>
          </w:tcPr>
          <w:p w14:paraId="1762A7C1">
            <w:pPr>
              <w:pStyle w:val="13"/>
            </w:pPr>
            <w:r>
              <w:t>&lt;21万元</w:t>
            </w:r>
          </w:p>
        </w:tc>
      </w:tr>
      <w:tr w14:paraId="6F58A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B002CA"/>
        </w:tc>
        <w:tc>
          <w:tcPr>
            <w:tcW w:w="1327" w:type="dxa"/>
            <w:vAlign w:val="center"/>
          </w:tcPr>
          <w:p w14:paraId="45CB0014">
            <w:pPr>
              <w:pStyle w:val="13"/>
            </w:pPr>
            <w:r>
              <w:t>成本指标</w:t>
            </w:r>
          </w:p>
        </w:tc>
        <w:tc>
          <w:tcPr>
            <w:tcW w:w="1327" w:type="dxa"/>
            <w:vAlign w:val="center"/>
          </w:tcPr>
          <w:p w14:paraId="7F83D35F">
            <w:pPr>
              <w:pStyle w:val="13"/>
            </w:pPr>
            <w:r>
              <w:t>集中办公区弱电及电脑外设系统运行维护费用</w:t>
            </w:r>
          </w:p>
        </w:tc>
        <w:tc>
          <w:tcPr>
            <w:tcW w:w="3144" w:type="dxa"/>
            <w:vAlign w:val="center"/>
          </w:tcPr>
          <w:p w14:paraId="7844E852">
            <w:pPr>
              <w:pStyle w:val="13"/>
            </w:pPr>
            <w:r>
              <w:t>通过实际支出金额与计划支出金额比对，反映集中办公区弱电及电脑外设系统运行费用的成本控制情况。</w:t>
            </w:r>
          </w:p>
        </w:tc>
        <w:tc>
          <w:tcPr>
            <w:tcW w:w="2164" w:type="dxa"/>
            <w:vAlign w:val="center"/>
          </w:tcPr>
          <w:p w14:paraId="75B44AC2">
            <w:pPr>
              <w:pStyle w:val="13"/>
            </w:pPr>
            <w:r>
              <w:t>&lt;367万元</w:t>
            </w:r>
          </w:p>
        </w:tc>
      </w:tr>
      <w:tr w14:paraId="0C67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4" w:hRule="atLeast"/>
          <w:jc w:val="center"/>
        </w:trPr>
        <w:tc>
          <w:tcPr>
            <w:tcW w:w="1327" w:type="dxa"/>
            <w:vAlign w:val="center"/>
          </w:tcPr>
          <w:p w14:paraId="451F9F0B">
            <w:pPr>
              <w:pStyle w:val="15"/>
            </w:pPr>
            <w:r>
              <w:t>效益指标</w:t>
            </w:r>
          </w:p>
        </w:tc>
        <w:tc>
          <w:tcPr>
            <w:tcW w:w="1327" w:type="dxa"/>
            <w:vAlign w:val="center"/>
          </w:tcPr>
          <w:p w14:paraId="16F81576">
            <w:pPr>
              <w:pStyle w:val="13"/>
            </w:pPr>
            <w:r>
              <w:t>社会效益指标</w:t>
            </w:r>
          </w:p>
        </w:tc>
        <w:tc>
          <w:tcPr>
            <w:tcW w:w="1327" w:type="dxa"/>
            <w:vAlign w:val="center"/>
          </w:tcPr>
          <w:p w14:paraId="5BE68849">
            <w:pPr>
              <w:pStyle w:val="13"/>
            </w:pPr>
            <w:r>
              <w:t>保障集中办公区正常运转率</w:t>
            </w:r>
          </w:p>
        </w:tc>
        <w:tc>
          <w:tcPr>
            <w:tcW w:w="3144" w:type="dxa"/>
            <w:vAlign w:val="center"/>
          </w:tcPr>
          <w:p w14:paraId="5EA83007">
            <w:pPr>
              <w:pStyle w:val="13"/>
            </w:pPr>
            <w:r>
              <w:t>通过实际保障的集中办公区正常运转数量与集中办公区总数比对，反映保障集中办公区的正常运转情况。计算公式：保障集中办公区正常运转率=实际保障的集中办公区正常运转数量÷集中办公区总数×100%。</w:t>
            </w:r>
          </w:p>
        </w:tc>
        <w:tc>
          <w:tcPr>
            <w:tcW w:w="2164" w:type="dxa"/>
            <w:vAlign w:val="center"/>
          </w:tcPr>
          <w:p w14:paraId="234BE8B3">
            <w:pPr>
              <w:pStyle w:val="13"/>
            </w:pPr>
            <w:r>
              <w:t>≥98%</w:t>
            </w:r>
          </w:p>
        </w:tc>
      </w:tr>
      <w:tr w14:paraId="02B5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77BFB8">
            <w:pPr>
              <w:pStyle w:val="15"/>
            </w:pPr>
            <w:r>
              <w:t>效益指标</w:t>
            </w:r>
          </w:p>
        </w:tc>
        <w:tc>
          <w:tcPr>
            <w:tcW w:w="1327" w:type="dxa"/>
            <w:vAlign w:val="center"/>
          </w:tcPr>
          <w:p w14:paraId="50951972">
            <w:pPr>
              <w:pStyle w:val="13"/>
            </w:pPr>
            <w:r>
              <w:t>可持续影响指标</w:t>
            </w:r>
          </w:p>
        </w:tc>
        <w:tc>
          <w:tcPr>
            <w:tcW w:w="1327" w:type="dxa"/>
            <w:vAlign w:val="center"/>
          </w:tcPr>
          <w:p w14:paraId="16FB1C53">
            <w:pPr>
              <w:pStyle w:val="13"/>
            </w:pPr>
            <w:r>
              <w:t>完善集中办公区运营保障管理制度</w:t>
            </w:r>
          </w:p>
        </w:tc>
        <w:tc>
          <w:tcPr>
            <w:tcW w:w="3144" w:type="dxa"/>
            <w:vAlign w:val="center"/>
          </w:tcPr>
          <w:p w14:paraId="3ABBED29">
            <w:pPr>
              <w:pStyle w:val="13"/>
            </w:pPr>
            <w:r>
              <w:t>通过集中办公区运营保障管理制度或办法的完善情况，反映集中办公区运营保障管理工作长效运转的保障情况。</w:t>
            </w:r>
          </w:p>
        </w:tc>
        <w:tc>
          <w:tcPr>
            <w:tcW w:w="2164" w:type="dxa"/>
            <w:vAlign w:val="center"/>
          </w:tcPr>
          <w:p w14:paraId="4B72EF22">
            <w:pPr>
              <w:pStyle w:val="13"/>
            </w:pPr>
            <w:r>
              <w:t>建立运营保障制度体系</w:t>
            </w:r>
          </w:p>
        </w:tc>
      </w:tr>
      <w:tr w14:paraId="56E6C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D07970">
            <w:pPr>
              <w:pStyle w:val="15"/>
            </w:pPr>
            <w:r>
              <w:t>满意度指标</w:t>
            </w:r>
          </w:p>
        </w:tc>
        <w:tc>
          <w:tcPr>
            <w:tcW w:w="1327" w:type="dxa"/>
            <w:vAlign w:val="center"/>
          </w:tcPr>
          <w:p w14:paraId="5A8CD5FF">
            <w:pPr>
              <w:pStyle w:val="13"/>
            </w:pPr>
            <w:r>
              <w:t>服务对象满意度指标</w:t>
            </w:r>
          </w:p>
        </w:tc>
        <w:tc>
          <w:tcPr>
            <w:tcW w:w="1327" w:type="dxa"/>
            <w:vAlign w:val="center"/>
          </w:tcPr>
          <w:p w14:paraId="3D7C7571">
            <w:pPr>
              <w:pStyle w:val="13"/>
            </w:pPr>
            <w:r>
              <w:t>集中办公区工作人员满意度</w:t>
            </w:r>
          </w:p>
        </w:tc>
        <w:tc>
          <w:tcPr>
            <w:tcW w:w="3144" w:type="dxa"/>
            <w:vAlign w:val="center"/>
          </w:tcPr>
          <w:p w14:paraId="4889187C">
            <w:pPr>
              <w:pStyle w:val="13"/>
            </w:pPr>
            <w:r>
              <w:t>通过调查问卷中满意人数与调查总人数的比率，反映被调查对象对本项目的满意程度。计算公式：各类问题满意人数÷调查总人数×100%</w:t>
            </w:r>
          </w:p>
        </w:tc>
        <w:tc>
          <w:tcPr>
            <w:tcW w:w="2164" w:type="dxa"/>
            <w:vAlign w:val="center"/>
          </w:tcPr>
          <w:p w14:paraId="7D807180">
            <w:pPr>
              <w:pStyle w:val="13"/>
            </w:pPr>
            <w:r>
              <w:t>≥95%</w:t>
            </w:r>
          </w:p>
        </w:tc>
      </w:tr>
    </w:tbl>
    <w:p w14:paraId="3160E084">
      <w:pPr>
        <w:spacing w:before="0" w:after="0" w:line="240" w:lineRule="auto"/>
        <w:ind w:firstLine="0"/>
        <w:jc w:val="center"/>
        <w:outlineLvl w:val="9"/>
      </w:pPr>
      <w:bookmarkStart w:id="1" w:name="_GoBack"/>
      <w:bookmarkEnd w:id="1"/>
      <w:r>
        <w:rPr>
          <w:rFonts w:ascii="方正仿宋_GBK" w:hAnsi="方正仿宋_GBK" w:eastAsia="方正仿宋_GBK" w:cs="方正仿宋_GBK"/>
          <w:sz w:val="28"/>
        </w:rPr>
        <w:t xml:space="preserve"> </w:t>
      </w:r>
    </w:p>
    <w:p w14:paraId="5A3D213A"/>
    <w:sectPr>
      <w:footerReference r:id="rId3" w:type="default"/>
      <w:footerReference r:id="rId4" w:type="even"/>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DD0A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E706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2D115945"/>
    <w:rsid w:val="78186C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Props1.xml><?xml version="1.0" encoding="utf-8"?>
<ds:datastoreItem xmlns:ds="http://schemas.openxmlformats.org/officeDocument/2006/customXml" ds:itemID="{a4f2474c-ba21-45cc-a609-bd37671409ae}">
  <ds:schemaRefs/>
</ds:datastoreItem>
</file>

<file path=customXml/itemProps10.xml><?xml version="1.0" encoding="utf-8"?>
<ds:datastoreItem xmlns:ds="http://schemas.openxmlformats.org/officeDocument/2006/customXml" ds:itemID="{904df6d3-d31e-483a-b286-de9542793f71}">
  <ds:schemaRefs/>
</ds:datastoreItem>
</file>

<file path=customXml/itemProps11.xml><?xml version="1.0" encoding="utf-8"?>
<ds:datastoreItem xmlns:ds="http://schemas.openxmlformats.org/officeDocument/2006/customXml" ds:itemID="{587a39de-b53c-41ef-8926-080e0a221947}">
  <ds:schemaRefs/>
</ds:datastoreItem>
</file>

<file path=customXml/itemProps12.xml><?xml version="1.0" encoding="utf-8"?>
<ds:datastoreItem xmlns:ds="http://schemas.openxmlformats.org/officeDocument/2006/customXml" ds:itemID="{b8e530b9-a990-4ea2-9771-6d634de702dc}">
  <ds:schemaRefs/>
</ds:datastoreItem>
</file>

<file path=customXml/itemProps13.xml><?xml version="1.0" encoding="utf-8"?>
<ds:datastoreItem xmlns:ds="http://schemas.openxmlformats.org/officeDocument/2006/customXml" ds:itemID="{cced1ae3-d74c-4d47-9758-442d19b49d59}">
  <ds:schemaRefs/>
</ds:datastoreItem>
</file>

<file path=customXml/itemProps14.xml><?xml version="1.0" encoding="utf-8"?>
<ds:datastoreItem xmlns:ds="http://schemas.openxmlformats.org/officeDocument/2006/customXml" ds:itemID="{507cdccb-561e-4576-b325-58a5520ea41a}">
  <ds:schemaRefs/>
</ds:datastoreItem>
</file>

<file path=customXml/itemProps15.xml><?xml version="1.0" encoding="utf-8"?>
<ds:datastoreItem xmlns:ds="http://schemas.openxmlformats.org/officeDocument/2006/customXml" ds:itemID="{8e35e459-f4df-4379-94be-4b2c71a31e4d}">
  <ds:schemaRefs/>
</ds:datastoreItem>
</file>

<file path=customXml/itemProps16.xml><?xml version="1.0" encoding="utf-8"?>
<ds:datastoreItem xmlns:ds="http://schemas.openxmlformats.org/officeDocument/2006/customXml" ds:itemID="{8f761266-ad87-43f7-a5ab-e2209fed0eb1}">
  <ds:schemaRefs/>
</ds:datastoreItem>
</file>

<file path=customXml/itemProps2.xml><?xml version="1.0" encoding="utf-8"?>
<ds:datastoreItem xmlns:ds="http://schemas.openxmlformats.org/officeDocument/2006/customXml" ds:itemID="{6ac37700-d0b3-42bc-94bc-770f779efd75}">
  <ds:schemaRefs/>
</ds:datastoreItem>
</file>

<file path=customXml/itemProps3.xml><?xml version="1.0" encoding="utf-8"?>
<ds:datastoreItem xmlns:ds="http://schemas.openxmlformats.org/officeDocument/2006/customXml" ds:itemID="{c077b5ca-7aaa-470c-a641-a525c85b305f}">
  <ds:schemaRefs/>
</ds:datastoreItem>
</file>

<file path=customXml/itemProps4.xml><?xml version="1.0" encoding="utf-8"?>
<ds:datastoreItem xmlns:ds="http://schemas.openxmlformats.org/officeDocument/2006/customXml" ds:itemID="{46625e30-59ec-4eaa-a93a-ebfd9f9bec99}">
  <ds:schemaRefs/>
</ds:datastoreItem>
</file>

<file path=customXml/itemProps5.xml><?xml version="1.0" encoding="utf-8"?>
<ds:datastoreItem xmlns:ds="http://schemas.openxmlformats.org/officeDocument/2006/customXml" ds:itemID="{d11dd22b-beff-41ee-9159-d2f7bba03cd6}">
  <ds:schemaRefs/>
</ds:datastoreItem>
</file>

<file path=customXml/itemProps6.xml><?xml version="1.0" encoding="utf-8"?>
<ds:datastoreItem xmlns:ds="http://schemas.openxmlformats.org/officeDocument/2006/customXml" ds:itemID="{dd8e1ec3-d602-4bae-9c3b-825a759b7533}">
  <ds:schemaRefs/>
</ds:datastoreItem>
</file>

<file path=customXml/itemProps7.xml><?xml version="1.0" encoding="utf-8"?>
<ds:datastoreItem xmlns:ds="http://schemas.openxmlformats.org/officeDocument/2006/customXml" ds:itemID="{b9195702-a8bc-4bb7-a069-09ec8de04b20}">
  <ds:schemaRefs/>
</ds:datastoreItem>
</file>

<file path=customXml/itemProps8.xml><?xml version="1.0" encoding="utf-8"?>
<ds:datastoreItem xmlns:ds="http://schemas.openxmlformats.org/officeDocument/2006/customXml" ds:itemID="{7f95ab18-02db-4a91-bbd0-d9e633c093c1}">
  <ds:schemaRefs/>
</ds:datastoreItem>
</file>

<file path=customXml/itemProps9.xml><?xml version="1.0" encoding="utf-8"?>
<ds:datastoreItem xmlns:ds="http://schemas.openxmlformats.org/officeDocument/2006/customXml" ds:itemID="{ced4e7f5-83d0-4b29-87ed-ce552bf12bf2}">
  <ds:schemaRefs/>
</ds:datastoreItem>
</file>

<file path=docProps/app.xml><?xml version="1.0" encoding="utf-8"?>
<Properties xmlns="http://schemas.openxmlformats.org/officeDocument/2006/extended-properties" xmlns:vt="http://schemas.openxmlformats.org/officeDocument/2006/docPropsVTypes">
  <Pages>2</Pages>
  <Words>2601</Words>
  <Characters>2767</Characters>
  <TotalTime>1</TotalTime>
  <ScaleCrop>false</ScaleCrop>
  <LinksUpToDate>false</LinksUpToDate>
  <CharactersWithSpaces>2785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2025-01-21T10:45:00Z</dcterms:created>
  <dc:creator>Dell</dc:creator>
  <cp:lastModifiedBy>Administrator</cp:lastModifiedBy>
  <dcterms:modified xsi:type="dcterms:W3CDTF">2025-02-11T07:08:15Z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47E899E32B694980852B874BD7B5A5B1_13</vt:lpwstr>
  </property>
  <property fmtid="{D5CDD505-2E9C-101B-9397-08002B2CF9AE}" pid="4" name="KSOTemplateDocerSaveRecord">
    <vt:lpwstr>eyJoZGlkIjoiMjM2MGI0MDY1MDkxMDQ1YjM4N2I2NTUwMTRmOWQ1YzQifQ==</vt:lpwstr>
  </property>
</Properties>
</file>