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bookmarkStart w:id="0" w:name="_GoBack"/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3.机关局公务用车平台运行经费绩效目标表</w:t>
      </w:r>
    </w:p>
    <w:bookmarkEnd w:id="0"/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301102天津市滨海新区机关事务管理局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机关局公务用车平台运行经费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1600000.00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1600000.00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滨海新区公务用车保障平台现有车辆176部，该项目主要用于车辆日常燃油、维修保养、保险、高速等相关费用支出。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1.通过保障平台车辆日常维护保养及运行费用，确保平台车辆安全运行。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公务用车数量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通过考量公务用车数量，反映公务用车运行专项工作完成情况。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≥176辆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公务用车正常运转率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通过实际正常运转的公务用车数量与公务用车总数比对，反映公务用车正常运转情况。</w:t>
            </w:r>
          </w:p>
          <w:p>
            <w:pPr>
              <w:pStyle w:val="12"/>
            </w:pPr>
            <w:r>
              <w:t>计算公式：公务用车正常运转率=实际正常运转的公务用车数量÷公务用车总数×100%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公务用车养护及时率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通过实际养护的公务用车数量与公务用车总数比对，反映养护公务用车的及时情况。</w:t>
            </w:r>
          </w:p>
          <w:p>
            <w:pPr>
              <w:pStyle w:val="12"/>
            </w:pPr>
            <w:r>
              <w:t>计算公式：公务用车养护及时率=实际养护的公务用车数量÷公务用车总数×100%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公务用车养护费用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通过实际支出金额与计划支出金额比对，反映公务用车养护费用的成本控制情况。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≤160万元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公务用车使用率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通过实际使用的公务用车数量与公务用车总数比对，反映公务用车的使用情况。</w:t>
            </w:r>
          </w:p>
          <w:p>
            <w:pPr>
              <w:pStyle w:val="12"/>
            </w:pPr>
            <w:r>
              <w:t>计算公式：公务用车使用率=实际使用的公务用车数量÷公务用车总数×100%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完善公务用车管理制度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通过公务用车管理制度或办法的完善情况，反映公务用车管理工作长效的保障情况。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通过完善公务用车管理制度或办法，保障公务用车工作长效运转。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公务用车使用人员满意度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通过调查问卷中满意人数与调查总人数的比率，反映被调查对象对本项目的满意程度。</w:t>
            </w:r>
          </w:p>
          <w:p>
            <w:pPr>
              <w:pStyle w:val="12"/>
            </w:pPr>
            <w:r>
              <w:t>计算公式：各类问题满意人数÷调查总人数×100%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完善集中办公区运营保障管理制度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通过集中办公区运营保障管理制度或办法的完善情况，反映集中办公区运营保障管理工作长效运转的保障情况。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建立运营保障制度体系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2"/>
            </w:pPr>
            <w:r>
              <w:t>集中办公区工作人员满意度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通过调查问卷中满意人数与调查总人数的比率，反映被调查对象对本项目的满意程度。计算公式：各类问题满意人数÷调查总人数×100%</w:t>
            </w:r>
          </w:p>
        </w:tc>
        <w:tc>
          <w:tcPr>
            <w:tcW w:w="2654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5.机关服务中心市内办公点专项经费绩效目标表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301201天津市滨海新区机关事务服务中心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机关服务中心市内办公点专项经费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1400000.00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1400000.00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用于支付市内办公点租赁费，能源费，工作人员经费，绿化养管，设备设施维修维护以及公务活动等费用支出。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1.通过确保市内办公点各项设施正常运转，提升政务活动服务水平。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保障市内办公点运营面积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通过考量保障市内办公点运营面积，反映市内办公点房屋基本运营保障完成情况。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767.81平米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发放工作人员经费人数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通过考量发放工作人员经费人数，反映保障工作人员基本经费的情况。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市内办公点正常运转率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通过实际市内办公点正常运转的平米数与市内办公点总平米数比对，反映市内办公点办事处的正常运转情况。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工作人员出勤率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通过实际出勤的工作人员人数与工作人员总人数比对，反映工作人员的出勤情况。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市内办公点房租缴纳及时率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通过房租实际及时缴纳完成次数与缴纳房租总次数比对，反映房租缴纳完成的及时情况。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通过实际发放工资及时次数与发放工资总次数比对，反映工资发放的及时情况。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市内办公点能源费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通过实际能源费用与计划能源费用比对，反映能源费用支出成本控制情况。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市内办公点人员经费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通过实际人员经费与计划人员经费比对，反映市内办公点人员经费支出成本控制情况。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≤72万元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市内办公点房租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通过实际房租与计划房租比对，反映市内办公点房租支出成本控制情况。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≤3.37万元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提高市内办公点工作效能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通过保障市内办公点运营工作的完成情况，反映本项目对市内办公点工作效能的提高程度。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通过保障市内办公点运营工作的完成情况，反映本项目对市内办公点工作效能的提高程度。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完善市内办公点基本运营管理办法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通过市内办公点基本运营管理办法的完善情况，反映对市内办公点基本运营工作的长效保障程度。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通过市内办公点基本运营管理办法的完善情况，反映对市内办公点基本运营工作的长效保障程度。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通过调查问卷中满意人数与调查总人数的比率，反映被调查对象对本项目的满意程度。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≥98%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TBjMzE0ZWViMjJjZmMzNjZkOTNmMTc2YWQ1NjQ5NzYifQ=="/>
  </w:docVars>
  <w:rsids>
    <w:rsidRoot w:val="00000000"/>
    <w:rsid w:val="29EA59DA"/>
    <w:rsid w:val="6B234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qFormat/>
    <w:uiPriority w:val="0"/>
    <w:pPr>
      <w:ind w:left="240"/>
    </w:p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autoRedefine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autoRedefine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2024-01-16T11:57:03Z</dcterms:created>
  <dcterms:modified xsi:type="dcterms:W3CDTF">2024-01-16T03:57:03Z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2024-01-16T11:57:03Z</dcterms:created>
  <dcterms:modified xsi:type="dcterms:W3CDTF">2024-01-16T03:57:03Z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2024-01-16T11:57:04Z</dcterms:created>
  <dcterms:modified xsi:type="dcterms:W3CDTF">2024-01-16T03:57:04Z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2024-01-16T11:57:04Z</dcterms:created>
  <dcterms:modified xsi:type="dcterms:W3CDTF">2024-01-16T03:57:04Z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2024-01-16T11:57:03Z</dcterms:created>
  <dcterms:modified xsi:type="dcterms:W3CDTF">2024-01-16T03:57:03Z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2024-01-16T11:57:04Z</dcterms:created>
  <dcterms:modified xsi:type="dcterms:W3CDTF">2024-01-16T03:57:04Z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2024-01-16T11:57:04Z</dcterms:created>
  <dcterms:modified xsi:type="dcterms:W3CDTF">2024-01-16T03:57:04Z</dcterms:modified>
</cp:coreProperties>
</file>

<file path=customXml/itemProps1.xml><?xml version="1.0" encoding="utf-8"?>
<ds:datastoreItem xmlns:ds="http://schemas.openxmlformats.org/officeDocument/2006/customXml" ds:itemID="{620579b7-692a-4faa-bec3-15bb25eb056b}">
  <ds:schemaRefs/>
</ds:datastoreItem>
</file>

<file path=customXml/itemProps10.xml><?xml version="1.0" encoding="utf-8"?>
<ds:datastoreItem xmlns:ds="http://schemas.openxmlformats.org/officeDocument/2006/customXml" ds:itemID="{3ac70611-818a-40aa-b778-3bd16d33dcc4}">
  <ds:schemaRefs/>
</ds:datastoreItem>
</file>

<file path=customXml/itemProps11.xml><?xml version="1.0" encoding="utf-8"?>
<ds:datastoreItem xmlns:ds="http://schemas.openxmlformats.org/officeDocument/2006/customXml" ds:itemID="{8b8bdb21-9f3a-472e-9fa5-8980002a94f7}">
  <ds:schemaRefs/>
</ds:datastoreItem>
</file>

<file path=customXml/itemProps12.xml><?xml version="1.0" encoding="utf-8"?>
<ds:datastoreItem xmlns:ds="http://schemas.openxmlformats.org/officeDocument/2006/customXml" ds:itemID="{f08575e6-ddf7-40dc-bda2-0993794ac602}">
  <ds:schemaRefs/>
</ds:datastoreItem>
</file>

<file path=customXml/itemProps13.xml><?xml version="1.0" encoding="utf-8"?>
<ds:datastoreItem xmlns:ds="http://schemas.openxmlformats.org/officeDocument/2006/customXml" ds:itemID="{4ab62450-ec08-4aa7-adb2-de1d33e48793}">
  <ds:schemaRefs/>
</ds:datastoreItem>
</file>

<file path=customXml/itemProps14.xml><?xml version="1.0" encoding="utf-8"?>
<ds:datastoreItem xmlns:ds="http://schemas.openxmlformats.org/officeDocument/2006/customXml" ds:itemID="{7d203648-7e7d-40a4-b796-373321bc8627}">
  <ds:schemaRefs/>
</ds:datastoreItem>
</file>

<file path=customXml/itemProps2.xml><?xml version="1.0" encoding="utf-8"?>
<ds:datastoreItem xmlns:ds="http://schemas.openxmlformats.org/officeDocument/2006/customXml" ds:itemID="{b718cac5-02d4-49da-84d6-1818f837e9d5}">
  <ds:schemaRefs/>
</ds:datastoreItem>
</file>

<file path=customXml/itemProps3.xml><?xml version="1.0" encoding="utf-8"?>
<ds:datastoreItem xmlns:ds="http://schemas.openxmlformats.org/officeDocument/2006/customXml" ds:itemID="{c431a41a-56ec-47cd-baa3-52ad38a0d352}">
  <ds:schemaRefs/>
</ds:datastoreItem>
</file>

<file path=customXml/itemProps4.xml><?xml version="1.0" encoding="utf-8"?>
<ds:datastoreItem xmlns:ds="http://schemas.openxmlformats.org/officeDocument/2006/customXml" ds:itemID="{3ec0b50a-a2ab-4e72-b68c-3770ffbb271a}">
  <ds:schemaRefs/>
</ds:datastoreItem>
</file>

<file path=customXml/itemProps5.xml><?xml version="1.0" encoding="utf-8"?>
<ds:datastoreItem xmlns:ds="http://schemas.openxmlformats.org/officeDocument/2006/customXml" ds:itemID="{024fcbc9-1591-43e9-b098-f312451cab71}">
  <ds:schemaRefs/>
</ds:datastoreItem>
</file>

<file path=customXml/itemProps6.xml><?xml version="1.0" encoding="utf-8"?>
<ds:datastoreItem xmlns:ds="http://schemas.openxmlformats.org/officeDocument/2006/customXml" ds:itemID="{bada17ba-558a-4e47-b8db-0ec40e837edf}">
  <ds:schemaRefs/>
</ds:datastoreItem>
</file>

<file path=customXml/itemProps7.xml><?xml version="1.0" encoding="utf-8"?>
<ds:datastoreItem xmlns:ds="http://schemas.openxmlformats.org/officeDocument/2006/customXml" ds:itemID="{3e9f8f88-00e5-4c97-8524-bde43a249023}">
  <ds:schemaRefs/>
</ds:datastoreItem>
</file>

<file path=customXml/itemProps8.xml><?xml version="1.0" encoding="utf-8"?>
<ds:datastoreItem xmlns:ds="http://schemas.openxmlformats.org/officeDocument/2006/customXml" ds:itemID="{ed44a1d6-fc84-48e6-9862-9895d46c1d4c}">
  <ds:schemaRefs/>
</ds:datastoreItem>
</file>

<file path=customXml/itemProps9.xml><?xml version="1.0" encoding="utf-8"?>
<ds:datastoreItem xmlns:ds="http://schemas.openxmlformats.org/officeDocument/2006/customXml" ds:itemID="{e09f3fb0-0027-4f41-a732-356a88e9a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2024-01-16T11:57:00Z</dcterms:created>
  <dc:creator>Administrator</dc:creator>
  <cp:lastModifiedBy>刘海燕</cp:lastModifiedBy>
  <dcterms:modified xsi:type="dcterms:W3CDTF">2024-02-06T03:11:04Z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8A364086738F45A5913A3474C83D7290_12</vt:lpwstr>
  </property>
</Properties>
</file>