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天津市滨海新区人民政府办公室关于印发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天津市滨海新区“十四五”规划实施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中期评估工作方案的通知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经区人民政府同意，现将《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天津市滨海新区“十四五”规划实施中期评估工作方案的通知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》印发给你们，请照此执行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ind w:left="0" w:leftChars="0"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pStyle w:val="12"/>
        <w:ind w:left="958" w:leftChars="456"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1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天津市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滨海新区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“十四五”规划实施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中期评估工作方案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</w:rPr>
      </w:pPr>
      <w:r>
        <w:rPr>
          <w:rFonts w:hint="default" w:ascii="Times New Roman" w:hAnsi="Times New Roman" w:eastAsia="仿宋_GB2312" w:cs="Times New Roman"/>
          <w:color w:val="auto"/>
        </w:rPr>
        <w:t>2023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年是全面贯彻落实党的二十大精神的开局之年，是实施“十四五”规划承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启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下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的关键一年，也是为全面建设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新时代高质量发展示范区、加快打造中国式现代化“滨城”样板的奋进之年。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按照《中华人民共和国各级人民代表大会常务委员会监督法》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《国家发展改革委关于开展“十四五”规划实施中期评估工作的通知》（发改规划〔2023〕153号）和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《天津市人民政府办公厅关于印发天津市“十四五”规划实施中期评估工作方案的通知》（</w:t>
      </w:r>
      <w:r>
        <w:rPr>
          <w:rFonts w:hint="default" w:ascii="Times New Roman" w:hAnsi="Times New Roman" w:eastAsia="仿宋_GB2312" w:cs="Times New Roman"/>
          <w:color w:val="auto"/>
        </w:rPr>
        <w:t>津政办函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〔2023〕</w:t>
      </w:r>
      <w:r>
        <w:rPr>
          <w:rFonts w:hint="default" w:ascii="Times New Roman" w:hAnsi="Times New Roman" w:eastAsia="仿宋_GB2312" w:cs="Times New Roman"/>
          <w:color w:val="auto"/>
          <w:spacing w:val="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号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和《天津市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人民政府关于印发天津市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国民经济和社会发展第十四个五年规划和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二〇三五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年远景目标纲要的通知》（津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滨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政发〔2021〕</w:t>
      </w:r>
      <w:r>
        <w:rPr>
          <w:rFonts w:hint="default" w:ascii="Times New Roman" w:hAnsi="Times New Roman" w:eastAsia="仿宋_GB2312" w:cs="Times New Roman"/>
          <w:color w:val="auto"/>
          <w:spacing w:val="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号）、《关于落实〈天津市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国民经济和社会发展第十四个五年规划和二〇三五年远景目标纲要〉主要目标和重点任务分工的通知》要求，为做好</w:t>
      </w:r>
      <w:r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  <w:t>规划实施</w:t>
      </w:r>
      <w:r>
        <w:rPr>
          <w:rFonts w:hint="default" w:ascii="Times New Roman" w:hAnsi="Times New Roman" w:eastAsia="仿宋_GB2312" w:cs="Times New Roman"/>
          <w:color w:val="auto"/>
          <w:spacing w:val="0"/>
        </w:rPr>
        <w:t>中期评估工作，制定本方案。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坚持以习近平新时代中国特色社会主义思想为指导，全面贯彻党的二十大精神，深入落实习近平总书记对天津工作“三个着力”重要要求和一系列重要指示批示精神，完整、准确、全面贯彻新发展理念，积极服务和融入构建新发展格局，聚焦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高质量发展支撑引领行动“八大工程”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，遵循系统全面、突出重点、远近结合、科学严谨、实事求是的原则，全面评估“十四五”规划实施情况，客观评价规划实施取得的进展成效，精准找出落实“十四五”规划的难点堵点，提出下一步改进规划实施的对策建议，把中期评估成果转化为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经济社会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高质量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发展的具体思路和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举措，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加快打造“一基地三区”核心区、新时代高质量发展示范区、“四宜”美丽“滨城”，全面提升滨海新区高质量发展支撑力引领力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二、评估重点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开展“十四五”规划中期评估，要在全面贯彻党的二十大精神的基础上，坚持问题导向和系统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思维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，按照着力推动高质量发展的要求，重点评估完整、准确、全面贯彻新发展理念，转变发展方式、深化改革开放、畅通经济循环，积极服务和融入新发展格局的进展情况，聚焦主要目标指标完成情况，重大战略任务、重大改革举措、重大工程项目推进情况等方面，总结成绩、查找短板、分析原因、提出对策，注重挖掘深层次矛盾和风险隐患，及时发现新情况新问题，研究提出进一步推动规划实施的对策建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三、评估方式方法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2"/>
        </w:rPr>
      </w:pPr>
      <w:r>
        <w:rPr>
          <w:rFonts w:hint="default" w:ascii="Times New Roman" w:hAnsi="Times New Roman" w:eastAsia="仿宋_GB2312" w:cs="Times New Roman"/>
          <w:color w:val="auto"/>
        </w:rPr>
        <w:t>为全面准确掌握“十四五”规划实施进展情况，客观反映社</w:t>
      </w:r>
      <w:r>
        <w:rPr>
          <w:rFonts w:hint="default" w:ascii="Times New Roman" w:hAnsi="Times New Roman" w:eastAsia="仿宋_GB2312" w:cs="Times New Roman"/>
          <w:color w:val="auto"/>
          <w:spacing w:val="-2"/>
        </w:rPr>
        <w:t>会各界对规划实施的意见建议，需要多主体、多维度开展评估，在评估主体、评估形式、评估流程、评估标准等方面加大创新力度。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22"/>
        </w:rPr>
        <w:t>（一）自评估和第三方评估相结合。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坚持以政府系统自评估为主，持续推进评估工作的规范化、科学化、系统化，深入开展实地调研，深化重大问题研究，不断提升自评估的质量。同时，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采取定向委托或公开招标等形式，选择知名研究机构、评估咨询机构、高校等开展第三方评估，将第三方评估结果作为自评估的重要参考。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22"/>
        </w:rPr>
        <w:t>（二）综合评估和</w:t>
      </w:r>
      <w:r>
        <w:rPr>
          <w:rFonts w:hint="default" w:ascii="Times New Roman" w:hAnsi="Times New Roman" w:eastAsia="楷体_GB2312" w:cs="Times New Roman"/>
          <w:color w:val="auto"/>
          <w:sz w:val="32"/>
          <w:szCs w:val="22"/>
          <w:lang w:eastAsia="zh-CN"/>
        </w:rPr>
        <w:t>专项规划、区域规划</w:t>
      </w:r>
      <w:r>
        <w:rPr>
          <w:rFonts w:hint="default" w:ascii="Times New Roman" w:hAnsi="Times New Roman" w:eastAsia="楷体_GB2312" w:cs="Times New Roman"/>
          <w:color w:val="auto"/>
          <w:sz w:val="32"/>
          <w:szCs w:val="22"/>
        </w:rPr>
        <w:t>评估相结合。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着眼于统筹推进“五位一体”总体布局、协调推进“四个全面”战略布局在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的实施情况，深入开展综合性、系统性评估。同时，围绕贯彻落实党的二十大精神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市第十二次党代会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和滨海新区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第四次党代会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eastAsia="zh-CN"/>
        </w:rPr>
        <w:t>开展专项规划、开发区和街镇区域规划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22"/>
          <w:highlight w:val="none"/>
        </w:rPr>
        <w:t>（三）目标导向和问题导向相结合。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从《纲要》确定的目标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任务倒推，逐项对照进度要求，发现问题，提出确保目标实现的对策建议。同时，从迫切需要解决的各领域各环节问题顺推，明确破解难题的路径和办法，防范化解风险隐患。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22"/>
        </w:rPr>
        <w:t>（四）过程评估和效果评估相结合。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既要综合运用文献梳理、调研访谈等方式，评估围绕主要目标、重点任务以及重大工程项目实施所开展的主要工作、采取的具体措施及落实情况；更要强化前后情景对照，加强对规划实施所取得的实际成效、人民满意程度以及中长期发展影响等的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22"/>
        </w:rPr>
        <w:t>（五）标准化与个性化相结合。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既对各项工作的进展成效、质量效益、经验做法、存在问题、发展态势进行规范化、格式化评估；又结合不同领域的实际情况，采取个性化评估方法，避免简单套用同一种程序、机械使用同一个标准。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22"/>
        </w:rPr>
        <w:t>（六）客观评价和主观感受相结合。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既要掌握各项目标任务进展，做好定性评价和定量分析，客观反映规划实施情况；又要将人民群众的切身体会作为重要评价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标准，广泛听取社会各方面的意见建议。同时，召开座谈会，听取各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领域专家意见建议。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四、分工安排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“十四五”规划中期评估工作，由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发展改革委牵头组织协调，会同各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开发区管委会、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、各街镇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按照职能分工共同推进。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楷体_GB2312" w:cs="Times New Roman"/>
          <w:color w:val="auto"/>
        </w:rPr>
        <w:t>（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</w:rPr>
        <w:t>）全市“十四五”规划纲要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实施进展</w:t>
      </w:r>
      <w:r>
        <w:rPr>
          <w:rFonts w:hint="default" w:ascii="Times New Roman" w:hAnsi="Times New Roman" w:eastAsia="楷体_GB2312" w:cs="Times New Roman"/>
          <w:color w:val="auto"/>
        </w:rPr>
        <w:t>评估。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发展改革委要求，对我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推进落实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“十四五”规划纲要明确的重大战略任务、重大改革举措、重大工程项目等情况进行全面评估，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各开发区管委会、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、各街镇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专题报告的基础上，形成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评估报告报送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2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24"/>
          <w:lang w:val="en-US" w:eastAsia="zh-CN" w:bidi="ar-SA"/>
        </w:rPr>
        <w:t>（二）全区“十四五”规划纲要实施进展评估。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单位按照纲要分工方案明确的既定分工，对各自负责的相关领域目标指标、重点任务、重大工程项目进展情况及工作成效进行全面评估，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 w:bidi="ar-SA"/>
        </w:rPr>
        <w:t>其中30个主要指标、15个章节涉及指标及专栏提到的重大工程项目需提供实现进度、预期展望及相关说明，一并形成专题评估报告，送区发展改革委。区发展改革委在专题报告的基础上，起草天津市滨海新区“十四五”规划纲要实施中期评估报告，</w:t>
      </w:r>
      <w:r>
        <w:rPr>
          <w:rFonts w:hint="default" w:ascii="Times New Roman" w:hAnsi="Times New Roman" w:eastAsia="仿宋_GB2312" w:cs="Times New Roman"/>
          <w:color w:val="auto"/>
          <w:spacing w:val="-2"/>
        </w:rPr>
        <w:t>9月</w:t>
      </w:r>
      <w:r>
        <w:rPr>
          <w:rFonts w:hint="default" w:ascii="Times New Roman" w:hAnsi="Times New Roman" w:eastAsia="仿宋_GB2312" w:cs="Times New Roman"/>
          <w:color w:val="auto"/>
          <w:spacing w:val="-2"/>
          <w:lang w:eastAsia="zh-CN"/>
        </w:rPr>
        <w:t>份</w:t>
      </w:r>
      <w:r>
        <w:rPr>
          <w:rFonts w:hint="default" w:ascii="Times New Roman" w:hAnsi="Times New Roman" w:eastAsia="仿宋_GB2312" w:cs="Times New Roman"/>
          <w:color w:val="auto"/>
          <w:spacing w:val="-2"/>
        </w:rPr>
        <w:t>按照程序上报</w:t>
      </w:r>
      <w:r>
        <w:rPr>
          <w:rFonts w:hint="default" w:ascii="Times New Roman" w:hAnsi="Times New Roman" w:eastAsia="仿宋_GB2312" w:cs="Times New Roman"/>
          <w:color w:val="auto"/>
          <w:spacing w:val="-2"/>
          <w:lang w:eastAsia="zh-CN"/>
        </w:rPr>
        <w:t>区人民</w:t>
      </w:r>
      <w:r>
        <w:rPr>
          <w:rFonts w:hint="default" w:ascii="Times New Roman" w:hAnsi="Times New Roman" w:eastAsia="仿宋_GB2312" w:cs="Times New Roman"/>
          <w:color w:val="auto"/>
          <w:spacing w:val="-2"/>
        </w:rPr>
        <w:t>政府审核后，提交</w:t>
      </w:r>
      <w:r>
        <w:rPr>
          <w:rFonts w:hint="default" w:ascii="Times New Roman" w:hAnsi="Times New Roman" w:eastAsia="仿宋_GB2312" w:cs="Times New Roman"/>
          <w:color w:val="auto"/>
          <w:spacing w:val="-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-2"/>
        </w:rPr>
        <w:t>人大常委会审议。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24"/>
          <w:lang w:val="en-US" w:eastAsia="zh-CN" w:bidi="ar-SA"/>
        </w:rPr>
        <w:t>（三）两项市级重点专项规划实施进展评估。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 w:bidi="ar-SA"/>
        </w:rPr>
        <w:t>天津市航空物流发展“十四五”规划》和《天津市海水淡化产业发展“十四五”规划》两项市级重点专项规划，由天津港保税区牵头负责，按照市级专项规划评估工作要求，开展规划实施进展情况评估，区发展改革委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24"/>
          <w:lang w:val="en-US" w:eastAsia="zh-CN" w:bidi="ar-SA"/>
        </w:rPr>
        <w:t>四）区级专项规划实施进展评估。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级专项规划牵头部门要组织对《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“十四五”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级专项规划编制目录清单》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（以下简称《目录清单》）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内的专项规划、其他由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政府印发的专项规划、经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人民政府批复或同意由部门印发的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级专项规划实施情况进行中期评估，形成评估报告。其中，《目录清单》内的专项规划要研究制定中期评估方案，明确评估方式、主要工作节点及评估成果等，并对全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“十四五”规划纲要相关领域目标任务情况进行重点评估。涉及规划相关内容调整和修订的，须以专门章节对原因和调整方案予以说明。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发展改革委将与牵头部门加强沟通合作，通过联合调研、交流研讨、报送专题信息等方式参与《目录清单》内的专项规划评估工作。其他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级专项规划也要制定切实可行、科学合理的评估方案，深入有序组织开展评估工作。形成评估报告后，应完成征求意见等相关程序，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报送区发展改革委统筹衔接，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修改完善后报送分管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领导审定，并抄送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24"/>
          <w:lang w:val="en-US" w:eastAsia="zh-CN" w:bidi="ar-SA"/>
        </w:rPr>
        <w:t>五）各开发区、各街镇“十四五”规划纲要实施进展评估。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 w:bidi="ar-SA"/>
        </w:rPr>
        <w:t>各开发区、各街镇组织本区域“十四五”规划中期评估工作，形成本区域“十四五”规划纲要实施中期评估报告。其中，应对全市及全区“十四五”规划纲要涉及的内容进行重点评估。形成评估报告，履行相关程序后，抄送区发展改革委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五、规划调整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开发区管委会、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各有关部门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、各街镇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对标对表党的二十大提出的新目标新部署新要求，深入分析研判国内外形势对“十四五”中后期的影响，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党中央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国务院新出台的有关战略、规划和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决策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部署以及市委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市政府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部署要求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和区委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区政府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要求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结合规划实施进展情况、国内外发展环境新变化，深入研究论证是否需要对规划相关内容进行调整修订。确需调整的，要严格履行报批程序，未经批准的不得随意调整。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级专项规划调整方案由规划编制牵头部门向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人民政府提出调整建议，经分管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领导同意后送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发展改革委备案。各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eastAsia="zh-CN"/>
        </w:rPr>
        <w:t>、各街镇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“十四五”规划《纲要》调整方案按程序提请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eastAsia="zh-CN"/>
        </w:rPr>
        <w:t>本级党委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审议批准后，抄送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发展改革委。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</w:rPr>
        <w:t>六、工作要求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（一）各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开发区管委会、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各部门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、各街镇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高度重视“十四五”规划中期评估工作，加强领导，周密部署，精心组织实施，确保按时完成工作任务。在中期评估过程中，各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开发区管委会、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各部门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、各街镇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要加强上下联动、横向互动，主动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对标对表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上级规划、同级相关领域规划实施情况，加强信息资源共享和经验互通。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（二）各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开发区管委会、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各部门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、各街镇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于4月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中旬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前将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中期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评估报告初稿送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5日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前，各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开发区管委会、各街镇</w:t>
      </w:r>
      <w:r>
        <w:rPr>
          <w:rFonts w:hint="eastAsia" w:eastAsia="仿宋_GB2312" w:cs="Times New Roman"/>
          <w:color w:val="auto"/>
          <w:sz w:val="32"/>
          <w:szCs w:val="2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 w:bidi="ar-SA"/>
        </w:rPr>
        <w:t>履行相关程序后，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将中期评估报告送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发展改革委；《目录清单》内的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级专项规划牵头部门、其他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级专项规划牵头部门将经分管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领导审定后的中期评估报告送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发展改革委。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（三）中期评估采用数据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，年度数据截止时点为2022年12月31日，月度数据截止时点为2023年6月30日；中期评估涉及的任务进展情况截止时点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2023年6月30日。如无统计数据，可先用预计数据，待正式数据发布后，再行更换。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95" w:leftChars="304" w:hanging="1257" w:hangingChars="39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97" w:leftChars="0" w:hanging="1897" w:hangingChars="59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“十四五”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级专项规划编制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97" w:leftChars="0" w:hanging="1897" w:hangingChars="59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目录清单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 xml:space="preserve">          2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.中期评估报告框架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ordWrap w:val="0"/>
        <w:spacing w:line="480" w:lineRule="exact"/>
        <w:ind w:right="26"/>
        <w:rPr>
          <w:rFonts w:hint="default" w:ascii="Times New Roman" w:hAnsi="Times New Roman" w:eastAsia="黑体" w:cs="Times New Roman"/>
          <w:color w:val="auto"/>
          <w:sz w:val="32"/>
          <w:szCs w:val="22"/>
        </w:rPr>
      </w:pPr>
    </w:p>
    <w:p>
      <w:pPr>
        <w:wordWrap w:val="0"/>
        <w:spacing w:line="480" w:lineRule="exact"/>
        <w:ind w:right="26"/>
        <w:rPr>
          <w:rFonts w:hint="default" w:ascii="Times New Roman" w:hAnsi="Times New Roman" w:eastAsia="黑体" w:cs="Times New Roman"/>
          <w:color w:val="auto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22"/>
          <w:lang w:val="en-US" w:eastAsia="zh-CN"/>
        </w:rPr>
        <w:t>1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天津市滨海新区“十四五”区级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专项规划编制目录清单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tbl>
      <w:tblPr>
        <w:tblStyle w:val="9"/>
        <w:tblW w:w="9441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450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专项规划名称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天津市滨海新区战略性新兴产业发展“十四五”规划★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天津市滨海新区服务业发展“十四五”规划★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天津市滨海新区工业经济发展“十四五”规划★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天津市滨海新区文化旅游产业发展“十四五”规划★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天津市滨海新区金融业发展“十四五”规划★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区金融局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天津市滨海新区科技创新“十四五”规划★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天津市滨海新区知识产权发展“十四五”规划★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天津市滨海新区民营经济发展“十四五”规划★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天津市滨海新区人口发展“十四五”规划★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天津市滨海新区农业和农村发展“十四五”规划★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天津市滨海新区中小企业发展“十四五”规划★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天津市滨海新区生态环境保护“十四五”规划★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天津市滨海新区能源发展“十四五”规划★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天津市滨海新区水资源综合利用“十四五”规划★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天津市滨海新区应急管理“十四五”规划★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天津市滨海新区综合交通运输“十四五”规划★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天津市滨海新区智慧城市建设“十四五”规划★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区委网信办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天津市滨海新区公共服务体系建设“十四五”规划★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天津市滨海新区卫生健康事业发展“十四五”规划★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tabs>
                <w:tab w:val="left" w:pos="1468"/>
              </w:tabs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天津市滨海新区社会治理能力和治理体系现代化“十四五”规划★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天津市滨海新区法治滨海建设“十四五”规划★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区委依法治区办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天津市滨海新区教育事业发展“十四五”规划★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天津市滨海新区社会消防救援事业发展“十四五”规划★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区消防支队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天津市滨海新区民政事业发展“十四五”规划★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天津市滨海新区妇女儿童发展“十四五”规划★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天津市滨海新区人才发展“十四五”规划★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区人才办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天津市滨海新区基础设施高质量发展“十四五”规划★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tabs>
                <w:tab w:val="left" w:pos="1468"/>
              </w:tabs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天津市滨海新区残疾人事业发展“十四五”规划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天津市滨海新区道路安全环境“十四五”规划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天津市滨海新区体育事业发展“十四五”规划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天津市滨海新区冷链物流产业发展“十四五”规划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区商务和投促局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天津市滨海新区装配式建筑产业发展“十四五”规划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区住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建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天津市滨海新区固定资产投资及重大项目“十四五”规划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天津市滨海新区建筑节能和绿色建筑产业发展“十四五”规划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区住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建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5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天津市滨海新区气象灾害防御“十四五”规划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区气象局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注：★为区级重点专项规划。</w:t>
      </w:r>
    </w:p>
    <w:p>
      <w:pPr>
        <w:widowControl/>
        <w:spacing w:line="570" w:lineRule="exact"/>
        <w:jc w:val="center"/>
        <w:rPr>
          <w:rFonts w:hint="default" w:ascii="Times New Roman" w:hAnsi="Times New Roman" w:eastAsia="仿宋_GB2312" w:cs="Times New Roman"/>
          <w:bCs/>
          <w:color w:val="auto"/>
          <w:kern w:val="0"/>
          <w:sz w:val="44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 w:val="0"/>
        <w:spacing w:line="580" w:lineRule="exact"/>
        <w:ind w:right="2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 w:val="0"/>
        <w:spacing w:line="580" w:lineRule="exact"/>
        <w:ind w:right="2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 w:val="0"/>
        <w:spacing w:line="580" w:lineRule="exact"/>
        <w:ind w:right="2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 w:val="0"/>
        <w:spacing w:line="580" w:lineRule="exact"/>
        <w:ind w:right="26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wordWrap w:val="0"/>
        <w:spacing w:line="580" w:lineRule="exact"/>
        <w:ind w:right="26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wordWrap w:val="0"/>
        <w:spacing w:line="580" w:lineRule="exact"/>
        <w:ind w:right="26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中期评估报告框架</w:t>
      </w:r>
    </w:p>
    <w:p>
      <w:pPr>
        <w:wordWrap w:val="0"/>
        <w:spacing w:line="580" w:lineRule="exact"/>
        <w:ind w:right="26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（示例）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一、规划实施总体进展情况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一）主要目标指标进展。本区或本部门承担的主要指标和章节指标的实现进度、预期展望及相关说明等。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二）重大战略任务进展。本区或本部门承担的重大战略、重大任务、重大改革举措的实施进展，取得的主要成绩等。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三）重大工程项目进展。本区或本部门承担的重大工程项目的实现进度、预期展望及相关说明等。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二、规划实施面临的主要问题和风险挑战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一）外部环境变化情况。分析研判国内外形势对本地区或本单位承担任务的影响。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二）完成本区或本部门承担任务面临的主要问题和挑战。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三、进一步推进规划实施的对策建议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方正仿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FD"/>
    <w:rsid w:val="00051C4F"/>
    <w:rsid w:val="000A26EC"/>
    <w:rsid w:val="000D59C4"/>
    <w:rsid w:val="001033C4"/>
    <w:rsid w:val="00107961"/>
    <w:rsid w:val="00111B41"/>
    <w:rsid w:val="0012506A"/>
    <w:rsid w:val="00134B23"/>
    <w:rsid w:val="00151D19"/>
    <w:rsid w:val="00162EF5"/>
    <w:rsid w:val="00172A27"/>
    <w:rsid w:val="0018019F"/>
    <w:rsid w:val="001E4A12"/>
    <w:rsid w:val="002253E6"/>
    <w:rsid w:val="00271CE8"/>
    <w:rsid w:val="0027692D"/>
    <w:rsid w:val="002D118B"/>
    <w:rsid w:val="002D26A1"/>
    <w:rsid w:val="003130FF"/>
    <w:rsid w:val="00362B86"/>
    <w:rsid w:val="004F086B"/>
    <w:rsid w:val="004F30AC"/>
    <w:rsid w:val="005020C5"/>
    <w:rsid w:val="00580552"/>
    <w:rsid w:val="005B346E"/>
    <w:rsid w:val="005E283D"/>
    <w:rsid w:val="00621E60"/>
    <w:rsid w:val="00687812"/>
    <w:rsid w:val="006F4402"/>
    <w:rsid w:val="007258DF"/>
    <w:rsid w:val="007500BB"/>
    <w:rsid w:val="007C16E6"/>
    <w:rsid w:val="007F38C0"/>
    <w:rsid w:val="007F4915"/>
    <w:rsid w:val="008E3796"/>
    <w:rsid w:val="00934B20"/>
    <w:rsid w:val="0094586B"/>
    <w:rsid w:val="00951CC8"/>
    <w:rsid w:val="009B76FD"/>
    <w:rsid w:val="009C1BA7"/>
    <w:rsid w:val="009C5E52"/>
    <w:rsid w:val="00A22778"/>
    <w:rsid w:val="00A2636E"/>
    <w:rsid w:val="00A4622E"/>
    <w:rsid w:val="00AA3814"/>
    <w:rsid w:val="00AC113C"/>
    <w:rsid w:val="00AE310E"/>
    <w:rsid w:val="00B2176B"/>
    <w:rsid w:val="00B30173"/>
    <w:rsid w:val="00BA1986"/>
    <w:rsid w:val="00BD1D68"/>
    <w:rsid w:val="00C26C3E"/>
    <w:rsid w:val="00CC1773"/>
    <w:rsid w:val="00D4134E"/>
    <w:rsid w:val="00D54416"/>
    <w:rsid w:val="00D63090"/>
    <w:rsid w:val="00D81C34"/>
    <w:rsid w:val="00DA1BBD"/>
    <w:rsid w:val="00F4775D"/>
    <w:rsid w:val="00FF26CD"/>
    <w:rsid w:val="07CE01A8"/>
    <w:rsid w:val="0FBF548C"/>
    <w:rsid w:val="3AFF848F"/>
    <w:rsid w:val="3DFF7D8A"/>
    <w:rsid w:val="42E47BC4"/>
    <w:rsid w:val="595F9A0D"/>
    <w:rsid w:val="5CDFDA00"/>
    <w:rsid w:val="64D853C2"/>
    <w:rsid w:val="6BFF2BA6"/>
    <w:rsid w:val="717D0AC1"/>
    <w:rsid w:val="72FBF37D"/>
    <w:rsid w:val="7559BF43"/>
    <w:rsid w:val="77BF6538"/>
    <w:rsid w:val="77DDA5ED"/>
    <w:rsid w:val="77EFFE9C"/>
    <w:rsid w:val="7D5F1CE4"/>
    <w:rsid w:val="7EFF4190"/>
    <w:rsid w:val="7F7FF94C"/>
    <w:rsid w:val="7F9E4355"/>
    <w:rsid w:val="7FDD08CC"/>
    <w:rsid w:val="7FFBA144"/>
    <w:rsid w:val="B77D78A6"/>
    <w:rsid w:val="B99F2BB8"/>
    <w:rsid w:val="BDFDBF53"/>
    <w:rsid w:val="BEFFB5C8"/>
    <w:rsid w:val="BFAF08A3"/>
    <w:rsid w:val="BFD32F5F"/>
    <w:rsid w:val="C7C37335"/>
    <w:rsid w:val="DAF82AC4"/>
    <w:rsid w:val="DEDBBDB1"/>
    <w:rsid w:val="E7D74741"/>
    <w:rsid w:val="EA7F87EF"/>
    <w:rsid w:val="EE7D63FE"/>
    <w:rsid w:val="EEAF294F"/>
    <w:rsid w:val="F5FFCFEF"/>
    <w:rsid w:val="F7FFBB0F"/>
    <w:rsid w:val="FF6DC7C9"/>
    <w:rsid w:val="FF9A4DF3"/>
    <w:rsid w:val="FFFE9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ody Text"/>
    <w:basedOn w:val="1"/>
    <w:qFormat/>
    <w:uiPriority w:val="0"/>
    <w:rPr>
      <w:rFonts w:eastAsia="文星仿宋"/>
      <w:sz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/>
      <w:szCs w:val="24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5">
    <w:name w:val="NormalCharacter"/>
    <w:qFormat/>
    <w:uiPriority w:val="0"/>
  </w:style>
  <w:style w:type="paragraph" w:customStyle="1" w:styleId="16">
    <w:name w:val="1标题"/>
    <w:qFormat/>
    <w:uiPriority w:val="0"/>
    <w:pPr>
      <w:spacing w:line="570" w:lineRule="exact"/>
      <w:ind w:firstLine="200" w:firstLineChars="200"/>
    </w:pPr>
    <w:rPr>
      <w:rFonts w:ascii="黑体" w:hAnsi="Times New Roman" w:eastAsia="黑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2022-01-26T00:28:00Z</dcterms:created>
  <dc:creator>张殿武</dc:creator>
  <cp:lastModifiedBy>kylin</cp:lastModifiedBy>
  <cp:lastPrinted>2012-09-04T17:48:00Z</cp:lastPrinted>
  <dcterms:modified xsi:type="dcterms:W3CDTF">2023-04-23T11:01:10Z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