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bookmarkStart w:id="0" w:name="_GoBack"/>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11</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default" w:ascii="Times New Roman" w:hAnsi="Times New Roman" w:eastAsia="方正小标宋简体" w:cs="Times New Roman"/>
          <w:sz w:val="44"/>
          <w:szCs w:val="44"/>
        </w:rPr>
        <w:t>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滨海新区人民政府2022年度重大</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行政决策事项目录的通知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2022年度重大行政决策事项目录》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对</w:t>
      </w: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目录实行动态管理，根据区委、区政府年度重点工作任务的实际情况，确需对目录进行调整的，承办单位要认真研究论证，提出调整建议，按程序报经批准后公布。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对</w:t>
      </w:r>
      <w:r>
        <w:rPr>
          <w:rFonts w:hint="default" w:ascii="Times New Roman" w:hAnsi="Times New Roman" w:eastAsia="仿宋_GB2312" w:cs="Times New Roman"/>
          <w:kern w:val="2"/>
          <w:sz w:val="32"/>
          <w:szCs w:val="32"/>
          <w:lang w:val="en-US" w:eastAsia="zh-CN"/>
        </w:rPr>
        <w:t>列入目录的重大行政决策事项，承办单位应当自决策作出后按有关规定整理并报送重大行政决策档案。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附件：滨海新区人民政府2022年度重大行政决策事项目录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r>
        <w:rPr>
          <w:rFonts w:hint="default" w:eastAsia="仿宋_GB2312" w:cs="Times New Roman"/>
          <w:sz w:val="32"/>
          <w:szCs w:val="32"/>
          <w:lang w:eastAsia="zh-CN"/>
        </w:rPr>
        <w:t>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rPr>
        <w:t>29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bookmarkEnd w:id="0"/>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黑体"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滨海新区人民政府2022年度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44"/>
          <w:szCs w:val="44"/>
          <w:lang w:val="en-US" w:eastAsia="zh-CN" w:bidi="ar-SA"/>
        </w:rPr>
        <w:t>重大行政决策事项目录</w:t>
      </w:r>
    </w:p>
    <w:tbl>
      <w:tblPr>
        <w:tblStyle w:val="8"/>
        <w:tblpPr w:leftFromText="180" w:rightFromText="180" w:vertAnchor="text" w:horzAnchor="page" w:tblpX="1438" w:tblpY="131"/>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406"/>
        <w:gridCol w:w="170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序号</w:t>
            </w:r>
          </w:p>
        </w:tc>
        <w:tc>
          <w:tcPr>
            <w:tcW w:w="440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170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决策事项承办单位</w:t>
            </w:r>
          </w:p>
        </w:tc>
        <w:tc>
          <w:tcPr>
            <w:tcW w:w="245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rPr>
              <w:t>1</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2"/>
                <w:sz w:val="24"/>
                <w:szCs w:val="24"/>
                <w:lang w:eastAsia="zh-CN"/>
              </w:rPr>
              <w:t>制定关于天津市滨海新区</w:t>
            </w:r>
            <w:r>
              <w:rPr>
                <w:rFonts w:hint="default" w:ascii="Times New Roman" w:hAnsi="Times New Roman" w:eastAsia="仿宋_GB2312" w:cs="Times New Roman"/>
                <w:kern w:val="2"/>
                <w:sz w:val="24"/>
                <w:szCs w:val="24"/>
                <w:lang w:val="en-US" w:eastAsia="zh-CN"/>
              </w:rPr>
              <w:t>2022年国民经济和社会发展计划执行情况与2023年国民经济和社会发展计划草案的报告</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区发</w:t>
            </w:r>
            <w:r>
              <w:rPr>
                <w:rFonts w:hint="default" w:eastAsia="仿宋_GB2312" w:cs="Times New Roman"/>
                <w:kern w:val="2"/>
                <w:sz w:val="24"/>
                <w:szCs w:val="24"/>
                <w:lang w:eastAsia="zh-CN"/>
              </w:rPr>
              <w:t>展</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改</w:t>
            </w:r>
            <w:r>
              <w:rPr>
                <w:rFonts w:hint="default" w:eastAsia="仿宋_GB2312" w:cs="Times New Roman"/>
                <w:kern w:val="2"/>
                <w:sz w:val="24"/>
                <w:szCs w:val="24"/>
                <w:lang w:eastAsia="zh-CN"/>
              </w:rPr>
              <w:t>革</w:t>
            </w:r>
            <w:r>
              <w:rPr>
                <w:rFonts w:hint="default" w:ascii="Times New Roman" w:hAnsi="Times New Roman" w:eastAsia="仿宋_GB2312" w:cs="Times New Roman"/>
                <w:kern w:val="2"/>
                <w:sz w:val="24"/>
                <w:szCs w:val="24"/>
                <w:lang w:eastAsia="zh-CN"/>
              </w:rPr>
              <w:t>委</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2022.10启动</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rPr>
              <w:t>2023.01完成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制定滨海新区重点支持产业目录（按年度更新）</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区发</w:t>
            </w:r>
            <w:r>
              <w:rPr>
                <w:rFonts w:hint="default" w:eastAsia="仿宋_GB2312" w:cs="Times New Roman"/>
                <w:kern w:val="2"/>
                <w:sz w:val="24"/>
                <w:szCs w:val="24"/>
                <w:lang w:eastAsia="zh-CN"/>
              </w:rPr>
              <w:t>展</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改</w:t>
            </w:r>
            <w:r>
              <w:rPr>
                <w:rFonts w:hint="default" w:eastAsia="仿宋_GB2312" w:cs="Times New Roman"/>
                <w:kern w:val="2"/>
                <w:sz w:val="24"/>
                <w:szCs w:val="24"/>
                <w:lang w:eastAsia="zh-CN"/>
              </w:rPr>
              <w:t>革</w:t>
            </w:r>
            <w:r>
              <w:rPr>
                <w:rFonts w:hint="default" w:ascii="Times New Roman" w:hAnsi="Times New Roman" w:eastAsia="仿宋_GB2312" w:cs="Times New Roman"/>
                <w:kern w:val="2"/>
                <w:sz w:val="24"/>
                <w:szCs w:val="24"/>
                <w:lang w:eastAsia="zh-CN"/>
              </w:rPr>
              <w:t>委</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val="en-US" w:eastAsia="zh-CN"/>
              </w:rPr>
              <w:t>2022.01启动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w:t>
            </w:r>
            <w:r>
              <w:rPr>
                <w:rFonts w:hint="default" w:ascii="Times New Roman" w:hAnsi="Times New Roman" w:eastAsia="仿宋_GB2312" w:cs="Times New Roman"/>
                <w:kern w:val="2"/>
                <w:sz w:val="24"/>
                <w:szCs w:val="24"/>
                <w:lang w:val="en-US" w:eastAsia="zh-CN"/>
              </w:rPr>
              <w:t>2022年政府投资计划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区发</w:t>
            </w:r>
            <w:r>
              <w:rPr>
                <w:rFonts w:hint="default" w:eastAsia="仿宋_GB2312" w:cs="Times New Roman"/>
                <w:kern w:val="2"/>
                <w:sz w:val="24"/>
                <w:szCs w:val="24"/>
                <w:lang w:eastAsia="zh-CN"/>
              </w:rPr>
              <w:t>展</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改</w:t>
            </w:r>
            <w:r>
              <w:rPr>
                <w:rFonts w:hint="default" w:eastAsia="仿宋_GB2312" w:cs="Times New Roman"/>
                <w:kern w:val="2"/>
                <w:sz w:val="24"/>
                <w:szCs w:val="24"/>
                <w:lang w:eastAsia="zh-CN"/>
              </w:rPr>
              <w:t>革</w:t>
            </w:r>
            <w:r>
              <w:rPr>
                <w:rFonts w:hint="default" w:ascii="Times New Roman" w:hAnsi="Times New Roman" w:eastAsia="仿宋_GB2312" w:cs="Times New Roman"/>
                <w:kern w:val="2"/>
                <w:sz w:val="24"/>
                <w:szCs w:val="24"/>
                <w:lang w:eastAsia="zh-CN"/>
              </w:rPr>
              <w:t>委</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val="en-US" w:eastAsia="zh-CN"/>
              </w:rPr>
              <w:t>2022年一季度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4</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eastAsia="zh-CN"/>
              </w:rPr>
              <w:t>制定滨海新区关于完善科技成果评价机制的实施方案</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区科技局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5</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eastAsia="zh-CN"/>
              </w:rPr>
              <w:t>调整滨海新区部分街镇行政区划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区民政局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6</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制定滨海新区养老设施布局专项规划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区民政局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需待全市相关规划出台后才能研究决策，目前全市相关规划出台时间尚不明确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7</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制定滨海新区殡葬服务设施专项规划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区民政局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需待全市相关规划出台后才能研究决策，目前全市相关规划出台时间尚不明确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8</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制定天津市滨海新区互联网租赁自行车长效治理相关政策措施</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区交</w:t>
            </w:r>
            <w:r>
              <w:rPr>
                <w:rFonts w:hint="default" w:eastAsia="仿宋_GB2312" w:cs="Times New Roman"/>
                <w:kern w:val="2"/>
                <w:sz w:val="24"/>
                <w:szCs w:val="24"/>
                <w:lang w:eastAsia="zh-CN"/>
              </w:rPr>
              <w:t>通</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运</w:t>
            </w:r>
            <w:r>
              <w:rPr>
                <w:rFonts w:hint="default" w:eastAsia="仿宋_GB2312" w:cs="Times New Roman"/>
                <w:kern w:val="2"/>
                <w:sz w:val="24"/>
                <w:szCs w:val="24"/>
                <w:lang w:eastAsia="zh-CN"/>
              </w:rPr>
              <w:t>输</w:t>
            </w:r>
            <w:r>
              <w:rPr>
                <w:rFonts w:hint="default" w:ascii="Times New Roman" w:hAnsi="Times New Roman" w:eastAsia="仿宋_GB2312" w:cs="Times New Roman"/>
                <w:kern w:val="2"/>
                <w:sz w:val="24"/>
                <w:szCs w:val="24"/>
                <w:lang w:eastAsia="zh-CN"/>
              </w:rPr>
              <w:t>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9</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制定天津市滨海新区区域出租正规化管理办法</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区交</w:t>
            </w:r>
            <w:r>
              <w:rPr>
                <w:rFonts w:hint="default" w:eastAsia="仿宋_GB2312" w:cs="Times New Roman"/>
                <w:kern w:val="2"/>
                <w:sz w:val="24"/>
                <w:szCs w:val="24"/>
                <w:lang w:eastAsia="zh-CN"/>
              </w:rPr>
              <w:t>通</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运</w:t>
            </w:r>
            <w:r>
              <w:rPr>
                <w:rFonts w:hint="default" w:eastAsia="仿宋_GB2312" w:cs="Times New Roman"/>
                <w:kern w:val="2"/>
                <w:sz w:val="24"/>
                <w:szCs w:val="24"/>
                <w:lang w:eastAsia="zh-CN"/>
              </w:rPr>
              <w:t>输</w:t>
            </w:r>
            <w:r>
              <w:rPr>
                <w:rFonts w:hint="default" w:ascii="Times New Roman" w:hAnsi="Times New Roman" w:eastAsia="仿宋_GB2312" w:cs="Times New Roman"/>
                <w:kern w:val="2"/>
                <w:sz w:val="24"/>
                <w:szCs w:val="24"/>
                <w:lang w:eastAsia="zh-CN"/>
              </w:rPr>
              <w:t>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10</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制定滨海新区社区物业管理办法</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区住</w:t>
            </w:r>
            <w:r>
              <w:rPr>
                <w:rFonts w:hint="default" w:eastAsia="仿宋_GB2312" w:cs="Times New Roman"/>
                <w:kern w:val="2"/>
                <w:sz w:val="24"/>
                <w:szCs w:val="24"/>
                <w:lang w:eastAsia="zh-CN"/>
              </w:rPr>
              <w:t>房</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建</w:t>
            </w:r>
            <w:r>
              <w:rPr>
                <w:rFonts w:hint="default" w:eastAsia="仿宋_GB2312" w:cs="Times New Roman"/>
                <w:kern w:val="2"/>
                <w:sz w:val="24"/>
                <w:szCs w:val="24"/>
                <w:lang w:eastAsia="zh-CN"/>
              </w:rPr>
              <w:t>设</w:t>
            </w:r>
            <w:r>
              <w:rPr>
                <w:rFonts w:hint="default" w:ascii="Times New Roman" w:hAnsi="Times New Roman" w:eastAsia="仿宋_GB2312" w:cs="Times New Roman"/>
                <w:kern w:val="2"/>
                <w:sz w:val="24"/>
                <w:szCs w:val="24"/>
                <w:lang w:eastAsia="zh-CN"/>
              </w:rPr>
              <w:t>委</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11</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制定滨海新区国土空间总体规划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市</w:t>
            </w:r>
            <w:r>
              <w:rPr>
                <w:rFonts w:hint="default" w:eastAsia="仿宋_GB2312" w:cs="Times New Roman"/>
                <w:kern w:val="2"/>
                <w:sz w:val="24"/>
                <w:szCs w:val="24"/>
                <w:lang w:eastAsia="zh-CN"/>
              </w:rPr>
              <w:t>规划资源</w:t>
            </w:r>
            <w:r>
              <w:rPr>
                <w:rFonts w:hint="default" w:ascii="Times New Roman" w:hAnsi="Times New Roman" w:eastAsia="仿宋_GB2312" w:cs="Times New Roman"/>
                <w:kern w:val="2"/>
                <w:sz w:val="24"/>
                <w:szCs w:val="24"/>
                <w:lang w:eastAsia="zh-CN"/>
              </w:rPr>
              <w:t>局滨海</w:t>
            </w:r>
            <w:r>
              <w:rPr>
                <w:rFonts w:hint="default" w:eastAsia="仿宋_GB2312" w:cs="Times New Roman"/>
                <w:kern w:val="2"/>
                <w:sz w:val="24"/>
                <w:szCs w:val="24"/>
                <w:lang w:eastAsia="zh-CN"/>
              </w:rPr>
              <w:t>新区</w:t>
            </w:r>
            <w:r>
              <w:rPr>
                <w:rFonts w:hint="default" w:ascii="Times New Roman" w:hAnsi="Times New Roman" w:eastAsia="仿宋_GB2312" w:cs="Times New Roman"/>
                <w:kern w:val="2"/>
                <w:sz w:val="24"/>
                <w:szCs w:val="24"/>
                <w:lang w:eastAsia="zh-CN"/>
              </w:rPr>
              <w:t>分局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根据国家、本市安排确定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12</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color w:val="auto"/>
                <w:kern w:val="2"/>
                <w:sz w:val="24"/>
                <w:szCs w:val="24"/>
                <w:lang w:eastAsia="zh-CN"/>
              </w:rPr>
              <w:t>制定天津市滨海新区海域清理补偿方案</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区海洋局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13</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制定天津市滨海新区移动通信基站站址布局专项规划（</w:t>
            </w:r>
            <w:r>
              <w:rPr>
                <w:rFonts w:hint="default" w:ascii="Times New Roman" w:hAnsi="Times New Roman" w:eastAsia="仿宋_GB2312" w:cs="Times New Roman"/>
                <w:color w:val="auto"/>
                <w:kern w:val="2"/>
                <w:sz w:val="24"/>
                <w:szCs w:val="24"/>
                <w:lang w:val="en-US" w:eastAsia="zh-CN"/>
              </w:rPr>
              <w:t>2019-2030年</w:t>
            </w:r>
            <w:r>
              <w:rPr>
                <w:rFonts w:hint="default" w:ascii="Times New Roman" w:hAnsi="Times New Roman" w:eastAsia="仿宋_GB2312" w:cs="Times New Roman"/>
                <w:color w:val="auto"/>
                <w:kern w:val="2"/>
                <w:sz w:val="24"/>
                <w:szCs w:val="24"/>
                <w:lang w:eastAsia="zh-CN"/>
              </w:rPr>
              <w:t>）（编修）</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区工</w:t>
            </w:r>
            <w:r>
              <w:rPr>
                <w:rFonts w:hint="default" w:eastAsia="仿宋_GB2312" w:cs="Times New Roman"/>
                <w:kern w:val="2"/>
                <w:sz w:val="24"/>
                <w:szCs w:val="24"/>
                <w:lang w:eastAsia="zh-CN"/>
              </w:rPr>
              <w:t>业和信息化</w:t>
            </w:r>
            <w:r>
              <w:rPr>
                <w:rFonts w:hint="default" w:ascii="Times New Roman" w:hAnsi="Times New Roman" w:eastAsia="仿宋_GB2312" w:cs="Times New Roman"/>
                <w:kern w:val="2"/>
                <w:sz w:val="24"/>
                <w:szCs w:val="24"/>
                <w:lang w:eastAsia="zh-CN"/>
              </w:rPr>
              <w:t>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14</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制定滨海新区医疗卫生机构布局专项规划</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区卫</w:t>
            </w:r>
            <w:r>
              <w:rPr>
                <w:rFonts w:hint="default" w:eastAsia="仿宋_GB2312" w:cs="Times New Roman"/>
                <w:kern w:val="2"/>
                <w:sz w:val="24"/>
                <w:szCs w:val="24"/>
                <w:lang w:eastAsia="zh-CN"/>
              </w:rPr>
              <w:t>生</w:t>
            </w:r>
          </w:p>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健</w:t>
            </w:r>
            <w:r>
              <w:rPr>
                <w:rFonts w:hint="default" w:eastAsia="仿宋_GB2312" w:cs="Times New Roman"/>
                <w:kern w:val="2"/>
                <w:sz w:val="24"/>
                <w:szCs w:val="24"/>
                <w:lang w:eastAsia="zh-CN"/>
              </w:rPr>
              <w:t>康</w:t>
            </w:r>
            <w:r>
              <w:rPr>
                <w:rFonts w:hint="default" w:ascii="Times New Roman" w:hAnsi="Times New Roman" w:eastAsia="仿宋_GB2312" w:cs="Times New Roman"/>
                <w:kern w:val="2"/>
                <w:sz w:val="24"/>
                <w:szCs w:val="24"/>
                <w:lang w:eastAsia="zh-CN"/>
              </w:rPr>
              <w:t>委</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待定（按市</w:t>
            </w:r>
            <w:r>
              <w:rPr>
                <w:rFonts w:hint="default" w:eastAsia="仿宋_GB2312" w:cs="Times New Roman"/>
                <w:kern w:val="2"/>
                <w:sz w:val="24"/>
                <w:szCs w:val="24"/>
                <w:lang w:eastAsia="zh-CN"/>
              </w:rPr>
              <w:t>规划资源局滨海新区分局</w:t>
            </w:r>
            <w:r>
              <w:rPr>
                <w:rFonts w:hint="default" w:ascii="Times New Roman" w:hAnsi="Times New Roman" w:eastAsia="仿宋_GB2312" w:cs="Times New Roman"/>
                <w:kern w:val="2"/>
                <w:sz w:val="24"/>
                <w:szCs w:val="24"/>
                <w:lang w:val="en-US" w:eastAsia="zh-CN"/>
              </w:rPr>
              <w:t>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15</w:t>
            </w:r>
          </w:p>
        </w:tc>
        <w:tc>
          <w:tcPr>
            <w:tcW w:w="4406" w:type="dxa"/>
          </w:tcPr>
          <w:p>
            <w:pPr>
              <w:keepNext w:val="0"/>
              <w:keepLines w:val="0"/>
              <w:pageBreakBefore w:val="0"/>
              <w:kinsoku/>
              <w:wordWrap/>
              <w:overflowPunct/>
              <w:topLinePunct w:val="0"/>
              <w:autoSpaceDE/>
              <w:autoSpaceDN/>
              <w:bidi w:val="0"/>
              <w:adjustRightInd/>
              <w:spacing w:line="520" w:lineRule="exact"/>
              <w:jc w:val="both"/>
              <w:textAlignment w:val="auto"/>
              <w:outlineLvl w:val="9"/>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制定滨海新区关于维护新就业形态劳动者权益实施办法</w:t>
            </w:r>
          </w:p>
        </w:tc>
        <w:tc>
          <w:tcPr>
            <w:tcW w:w="1706"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区人社局</w:t>
            </w:r>
          </w:p>
        </w:tc>
        <w:tc>
          <w:tcPr>
            <w:tcW w:w="2457" w:type="dxa"/>
            <w:vAlign w:val="center"/>
          </w:tcPr>
          <w:p>
            <w:pPr>
              <w:keepNext w:val="0"/>
              <w:keepLines w:val="0"/>
              <w:pageBreakBefore w:val="0"/>
              <w:kinsoku/>
              <w:wordWrap/>
              <w:overflowPunct/>
              <w:topLinePunct w:val="0"/>
              <w:autoSpaceDE/>
              <w:autoSpaceDN/>
              <w:bidi w:val="0"/>
              <w:adjustRightInd/>
              <w:spacing w:line="520" w:lineRule="exact"/>
              <w:jc w:val="center"/>
              <w:textAlignment w:val="auto"/>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2022.09</w:t>
            </w:r>
          </w:p>
        </w:tc>
      </w:tr>
    </w:tbl>
    <w:p>
      <w:pPr>
        <w:spacing w:line="580" w:lineRule="exact"/>
        <w:rPr>
          <w:rFonts w:hint="default" w:ascii="Times New Roman" w:hAnsi="Times New Roman" w:eastAsia="黑体" w:cs="Times New Roman"/>
          <w:sz w:val="24"/>
          <w:szCs w:val="24"/>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F2D22"/>
    <w:rsid w:val="7DFAC6F3"/>
    <w:rsid w:val="7ECFD7F8"/>
    <w:rsid w:val="7FF9A4BA"/>
    <w:rsid w:val="E7A96143"/>
    <w:rsid w:val="FBB5E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1217</Words>
  <Characters>1328</Characters>
  <Paragraphs>153</Paragraphs>
  <TotalTime>3</TotalTime>
  <ScaleCrop>false</ScaleCrop>
  <LinksUpToDate>false</LinksUpToDate>
  <CharactersWithSpaces>1352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2022-01-24T00:29:00Z</dcterms:created>
  <dc:creator>张殿武</dc:creator>
  <cp:lastModifiedBy>kylin</cp:lastModifiedBy>
  <cp:lastPrinted>2012-09-03T22:13:00Z</cp:lastPrinted>
  <dcterms:modified xsi:type="dcterms:W3CDTF">2022-05-19T11:18:59Z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