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80" w:lineRule="exact"/>
        <w:ind w:firstLine="0" w:firstLineChars="0"/>
        <w:jc w:val="left"/>
        <w:textAlignment w:val="auto"/>
        <w:rPr>
          <w:rFonts w:hint="default" w:ascii="Nimbus Roman No9 L" w:hAnsi="Nimbus Roman No9 L" w:eastAsia="黑体" w:cs="Nimbus Roman No9 L"/>
          <w:sz w:val="32"/>
          <w:szCs w:val="30"/>
        </w:rPr>
      </w:pPr>
      <w:r>
        <w:rPr>
          <w:rFonts w:hint="default" w:ascii="Nimbus Roman No9 L" w:hAnsi="Nimbus Roman No9 L" w:eastAsia="黑体" w:cs="Nimbus Roman No9 L"/>
          <w:sz w:val="32"/>
          <w:szCs w:val="30"/>
        </w:rPr>
        <w:t>附件3</w:t>
      </w:r>
    </w:p>
    <w:p>
      <w:pPr>
        <w:keepNext w:val="0"/>
        <w:keepLines w:val="0"/>
        <w:pageBreakBefore w:val="0"/>
        <w:widowControl w:val="0"/>
        <w:kinsoku/>
        <w:wordWrap/>
        <w:overflowPunct/>
        <w:topLinePunct w:val="0"/>
        <w:autoSpaceDE/>
        <w:autoSpaceDN/>
        <w:bidi w:val="0"/>
        <w:adjustRightInd w:val="0"/>
        <w:snapToGrid/>
        <w:spacing w:line="580" w:lineRule="exact"/>
        <w:ind w:firstLine="0" w:firstLineChars="0"/>
        <w:jc w:val="center"/>
        <w:textAlignment w:val="auto"/>
        <w:rPr>
          <w:rFonts w:hint="default" w:ascii="Nimbus Roman No9 L" w:hAnsi="Nimbus Roman No9 L" w:eastAsia="方正小标宋简体" w:cs="Nimbus Roman No9 L"/>
          <w:sz w:val="44"/>
          <w:szCs w:val="44"/>
        </w:rPr>
      </w:pPr>
    </w:p>
    <w:p>
      <w:pPr>
        <w:keepNext w:val="0"/>
        <w:keepLines w:val="0"/>
        <w:pageBreakBefore w:val="0"/>
        <w:widowControl w:val="0"/>
        <w:kinsoku/>
        <w:wordWrap/>
        <w:overflowPunct/>
        <w:topLinePunct w:val="0"/>
        <w:autoSpaceDE/>
        <w:autoSpaceDN/>
        <w:bidi w:val="0"/>
        <w:adjustRightInd w:val="0"/>
        <w:snapToGrid/>
        <w:spacing w:line="580" w:lineRule="exact"/>
        <w:ind w:firstLine="0" w:firstLineChars="0"/>
        <w:jc w:val="center"/>
        <w:textAlignment w:val="auto"/>
        <w:rPr>
          <w:rFonts w:hint="default" w:ascii="Nimbus Roman No9 L" w:hAnsi="Nimbus Roman No9 L" w:eastAsia="方正小标宋简体" w:cs="Nimbus Roman No9 L"/>
          <w:sz w:val="44"/>
          <w:szCs w:val="44"/>
        </w:rPr>
      </w:pPr>
      <w:r>
        <w:rPr>
          <w:rFonts w:hint="default" w:ascii="Nimbus Roman No9 L" w:hAnsi="Nimbus Roman No9 L" w:eastAsia="方正小标宋简体" w:cs="Nimbus Roman No9 L"/>
          <w:sz w:val="44"/>
          <w:szCs w:val="44"/>
        </w:rPr>
        <w:t>天津市滨海新区工业高质量</w:t>
      </w:r>
    </w:p>
    <w:p>
      <w:pPr>
        <w:keepNext w:val="0"/>
        <w:keepLines w:val="0"/>
        <w:pageBreakBefore w:val="0"/>
        <w:widowControl w:val="0"/>
        <w:kinsoku/>
        <w:wordWrap/>
        <w:overflowPunct/>
        <w:topLinePunct w:val="0"/>
        <w:autoSpaceDE/>
        <w:autoSpaceDN/>
        <w:bidi w:val="0"/>
        <w:adjustRightInd w:val="0"/>
        <w:snapToGrid/>
        <w:spacing w:line="580" w:lineRule="exact"/>
        <w:ind w:firstLine="0" w:firstLineChars="0"/>
        <w:jc w:val="center"/>
        <w:textAlignment w:val="auto"/>
        <w:rPr>
          <w:rFonts w:hint="default" w:ascii="Nimbus Roman No9 L" w:hAnsi="Nimbus Roman No9 L" w:cs="Nimbus Roman No9 L"/>
          <w:sz w:val="44"/>
          <w:szCs w:val="44"/>
        </w:rPr>
      </w:pPr>
      <w:r>
        <w:rPr>
          <w:rFonts w:hint="default" w:ascii="Nimbus Roman No9 L" w:hAnsi="Nimbus Roman No9 L" w:eastAsia="方正小标宋简体" w:cs="Nimbus Roman No9 L"/>
          <w:sz w:val="44"/>
          <w:szCs w:val="44"/>
        </w:rPr>
        <w:t>发展“十四五”规划</w:t>
      </w:r>
    </w:p>
    <w:p>
      <w:pPr>
        <w:spacing w:line="580" w:lineRule="exact"/>
        <w:ind w:firstLine="640"/>
        <w:rPr>
          <w:rFonts w:hint="default" w:ascii="Nimbus Roman No9 L" w:hAnsi="Nimbus Roman No9 L" w:cs="Nimbus Roman No9 L"/>
          <w:szCs w:val="32"/>
        </w:rPr>
      </w:pPr>
      <w:bookmarkStart w:id="0" w:name="_Toc61276422"/>
      <w:bookmarkStart w:id="1" w:name="_Toc56001965"/>
    </w:p>
    <w:p>
      <w:pPr>
        <w:pageBreakBefore w:val="0"/>
        <w:widowControl w:val="0"/>
        <w:kinsoku/>
        <w:wordWrap/>
        <w:overflowPunct/>
        <w:topLinePunct w:val="0"/>
        <w:autoSpaceDE/>
        <w:autoSpaceDN/>
        <w:bidi w:val="0"/>
        <w:adjustRightInd/>
        <w:snapToGrid/>
        <w:spacing w:line="580" w:lineRule="exact"/>
        <w:ind w:firstLine="640"/>
        <w:textAlignment w:val="auto"/>
        <w:rPr>
          <w:rFonts w:hint="default" w:ascii="Nimbus Roman No9 L" w:hAnsi="Nimbus Roman No9 L" w:cs="Nimbus Roman No9 L"/>
        </w:rPr>
      </w:pPr>
      <w:r>
        <w:rPr>
          <w:rFonts w:hint="default" w:ascii="Nimbus Roman No9 L" w:hAnsi="Nimbus Roman No9 L" w:cs="Nimbus Roman No9 L"/>
          <w:szCs w:val="32"/>
        </w:rPr>
        <w:t>“十四五”时期，是滨海新区在全面建成高质量小康社会基础上，</w:t>
      </w:r>
      <w:r>
        <w:rPr>
          <w:rFonts w:hint="default" w:ascii="Nimbus Roman No9 L" w:hAnsi="Nimbus Roman No9 L" w:cs="Nimbus Roman No9 L"/>
          <w:kern w:val="0"/>
          <w:szCs w:val="32"/>
          <w:lang w:val="zh-CN"/>
        </w:rPr>
        <w:t>把握全球新一轮科技革命和产业变革机遇，推动</w:t>
      </w:r>
      <w:r>
        <w:rPr>
          <w:rFonts w:hint="eastAsia" w:ascii="Nimbus Roman No9 L" w:hAnsi="Nimbus Roman No9 L" w:cs="Nimbus Roman No9 L"/>
          <w:kern w:val="0"/>
          <w:szCs w:val="32"/>
          <w:lang w:val="zh-CN"/>
        </w:rPr>
        <w:t>全</w:t>
      </w:r>
      <w:r>
        <w:rPr>
          <w:rFonts w:hint="default" w:ascii="Nimbus Roman No9 L" w:hAnsi="Nimbus Roman No9 L" w:cs="Nimbus Roman No9 L"/>
          <w:kern w:val="0"/>
          <w:szCs w:val="32"/>
          <w:lang w:val="zh-CN"/>
        </w:rPr>
        <w:t>区工业高质量发展，实现新旧动能顺畅接续转换</w:t>
      </w:r>
      <w:r>
        <w:rPr>
          <w:rFonts w:hint="default" w:ascii="Nimbus Roman No9 L" w:hAnsi="Nimbus Roman No9 L" w:cs="Nimbus Roman No9 L"/>
          <w:kern w:val="0"/>
          <w:szCs w:val="32"/>
        </w:rPr>
        <w:t>的关键时期。</w:t>
      </w:r>
      <w:r>
        <w:rPr>
          <w:rFonts w:hint="default" w:ascii="Nimbus Roman No9 L" w:hAnsi="Nimbus Roman No9 L" w:cs="Nimbus Roman No9 L"/>
        </w:rPr>
        <w:t>滨海新区要依托雄厚的工业基础和优越环境，抢抓新发展机遇、积极应对产业组织方式变革挑战，加快转变发展方式，担负起引领天津市乃至京津冀工业高质量发展的使命要求，助力建设生态、智慧、港产城融合的宜居宜业美丽滨海新城。</w:t>
      </w:r>
    </w:p>
    <w:p>
      <w:pPr>
        <w:pageBreakBefore w:val="0"/>
        <w:widowControl w:val="0"/>
        <w:kinsoku/>
        <w:wordWrap/>
        <w:overflowPunct/>
        <w:topLinePunct w:val="0"/>
        <w:autoSpaceDE/>
        <w:autoSpaceDN/>
        <w:bidi w:val="0"/>
        <w:adjustRightInd/>
        <w:snapToGrid/>
        <w:spacing w:line="580" w:lineRule="exact"/>
        <w:ind w:firstLine="640"/>
        <w:textAlignment w:val="auto"/>
        <w:rPr>
          <w:rFonts w:hint="default" w:ascii="Nimbus Roman No9 L" w:hAnsi="Nimbus Roman No9 L" w:cs="Nimbus Roman No9 L"/>
          <w:szCs w:val="32"/>
        </w:rPr>
      </w:pPr>
      <w:r>
        <w:rPr>
          <w:rFonts w:hint="default" w:ascii="Nimbus Roman No9 L" w:hAnsi="Nimbus Roman No9 L" w:cs="Nimbus Roman No9 L"/>
        </w:rPr>
        <w:t>本规划依据</w:t>
      </w:r>
      <w:r>
        <w:rPr>
          <w:rFonts w:hint="default" w:ascii="Nimbus Roman No9 L" w:hAnsi="Nimbus Roman No9 L" w:cs="Nimbus Roman No9 L"/>
          <w:kern w:val="0"/>
          <w:szCs w:val="32"/>
          <w:lang w:val="zh-CN"/>
        </w:rPr>
        <w:t>《天津市国民经济和社会发展第十四个五年规划和二</w:t>
      </w:r>
      <w:r>
        <w:rPr>
          <w:rFonts w:hint="default" w:ascii="Nimbus Roman No9 L" w:hAnsi="Nimbus Roman No9 L" w:eastAsia="仿宋_GB2312" w:cs="Nimbus Roman No9 L"/>
          <w:color w:val="000000"/>
          <w:sz w:val="32"/>
          <w:szCs w:val="32"/>
          <w:highlight w:val="none"/>
        </w:rPr>
        <w:t>〇</w:t>
      </w:r>
      <w:r>
        <w:rPr>
          <w:rFonts w:hint="default" w:ascii="Nimbus Roman No9 L" w:hAnsi="Nimbus Roman No9 L" w:cs="Nimbus Roman No9 L"/>
          <w:kern w:val="0"/>
          <w:szCs w:val="32"/>
          <w:lang w:val="zh-CN"/>
        </w:rPr>
        <w:t>三五年远景目标纲要》《天津市制造业高质量发展“十四五”规划》《天津市滨海新区国民经济和社会发展第十四个五年规划和二</w:t>
      </w:r>
      <w:r>
        <w:rPr>
          <w:rFonts w:hint="default" w:ascii="Nimbus Roman No9 L" w:hAnsi="Nimbus Roman No9 L" w:eastAsia="仿宋_GB2312" w:cs="Nimbus Roman No9 L"/>
          <w:color w:val="000000"/>
          <w:sz w:val="32"/>
          <w:szCs w:val="32"/>
          <w:highlight w:val="none"/>
        </w:rPr>
        <w:t>〇</w:t>
      </w:r>
      <w:r>
        <w:rPr>
          <w:rFonts w:hint="default" w:ascii="Nimbus Roman No9 L" w:hAnsi="Nimbus Roman No9 L" w:cs="Nimbus Roman No9 L"/>
          <w:kern w:val="0"/>
          <w:szCs w:val="32"/>
          <w:lang w:val="zh-CN"/>
        </w:rPr>
        <w:t>三五年远景目标纲要》</w:t>
      </w:r>
      <w:r>
        <w:rPr>
          <w:rFonts w:hint="default" w:ascii="Nimbus Roman No9 L" w:hAnsi="Nimbus Roman No9 L" w:cs="Nimbus Roman No9 L"/>
          <w:szCs w:val="32"/>
        </w:rPr>
        <w:t>编制。本规划是“十四五”时期滨海新区工业发展的指导文件和行动纲领，是未来五年滨海新区工业高质量发展的重要依据。</w:t>
      </w:r>
      <w:bookmarkStart w:id="2" w:name="_Toc61276423"/>
      <w:bookmarkStart w:id="3" w:name="_Toc64906414"/>
      <w:bookmarkStart w:id="4" w:name="_Toc15498"/>
    </w:p>
    <w:p>
      <w:pPr>
        <w:pageBreakBefore w:val="0"/>
        <w:widowControl w:val="0"/>
        <w:kinsoku/>
        <w:wordWrap/>
        <w:overflowPunct/>
        <w:topLinePunct w:val="0"/>
        <w:autoSpaceDE/>
        <w:autoSpaceDN/>
        <w:bidi w:val="0"/>
        <w:adjustRightInd/>
        <w:snapToGrid/>
        <w:spacing w:line="580" w:lineRule="exact"/>
        <w:ind w:firstLine="640"/>
        <w:textAlignment w:val="auto"/>
        <w:rPr>
          <w:rFonts w:hint="default" w:ascii="Nimbus Roman No9 L" w:hAnsi="Nimbus Roman No9 L" w:eastAsia="黑体" w:cs="Nimbus Roman No9 L"/>
        </w:rPr>
      </w:pPr>
      <w:r>
        <w:rPr>
          <w:rFonts w:hint="default" w:ascii="Nimbus Roman No9 L" w:hAnsi="Nimbus Roman No9 L" w:eastAsia="黑体" w:cs="Nimbus Roman No9 L"/>
        </w:rPr>
        <w:t>一、</w:t>
      </w:r>
      <w:bookmarkEnd w:id="2"/>
      <w:r>
        <w:rPr>
          <w:rFonts w:hint="default" w:ascii="Nimbus Roman No9 L" w:hAnsi="Nimbus Roman No9 L" w:eastAsia="黑体" w:cs="Nimbus Roman No9 L"/>
        </w:rPr>
        <w:t>稳步提升，高质量发展态势初显</w:t>
      </w:r>
      <w:bookmarkEnd w:id="3"/>
      <w:bookmarkEnd w:id="4"/>
    </w:p>
    <w:p>
      <w:pPr>
        <w:pStyle w:val="4"/>
        <w:pageBreakBefore w:val="0"/>
        <w:widowControl w:val="0"/>
        <w:kinsoku/>
        <w:wordWrap/>
        <w:overflowPunct/>
        <w:topLinePunct w:val="0"/>
        <w:autoSpaceDE/>
        <w:autoSpaceDN/>
        <w:bidi w:val="0"/>
        <w:adjustRightInd/>
        <w:snapToGrid/>
        <w:spacing w:line="580" w:lineRule="exact"/>
        <w:ind w:firstLine="640"/>
        <w:textAlignment w:val="auto"/>
        <w:rPr>
          <w:rFonts w:hint="default" w:ascii="Nimbus Roman No9 L" w:hAnsi="Nimbus Roman No9 L" w:cs="Nimbus Roman No9 L"/>
          <w:b w:val="0"/>
          <w:bCs w:val="0"/>
        </w:rPr>
      </w:pPr>
      <w:bookmarkStart w:id="5" w:name="_Toc64906415"/>
      <w:bookmarkStart w:id="6" w:name="_Toc4028"/>
      <w:bookmarkStart w:id="7" w:name="_Toc61276426"/>
      <w:bookmarkStart w:id="8" w:name="_Toc61276427"/>
      <w:r>
        <w:rPr>
          <w:rFonts w:hint="default" w:ascii="Nimbus Roman No9 L" w:hAnsi="Nimbus Roman No9 L" w:cs="Nimbus Roman No9 L"/>
          <w:b w:val="0"/>
          <w:bCs w:val="0"/>
        </w:rPr>
        <w:t>（一）发展成就</w:t>
      </w:r>
      <w:bookmarkEnd w:id="5"/>
      <w:bookmarkEnd w:id="6"/>
    </w:p>
    <w:p>
      <w:pPr>
        <w:pageBreakBefore w:val="0"/>
        <w:widowControl w:val="0"/>
        <w:kinsoku/>
        <w:wordWrap/>
        <w:overflowPunct/>
        <w:topLinePunct w:val="0"/>
        <w:autoSpaceDE/>
        <w:autoSpaceDN/>
        <w:bidi w:val="0"/>
        <w:adjustRightInd/>
        <w:snapToGrid/>
        <w:spacing w:line="580" w:lineRule="exact"/>
        <w:ind w:firstLine="640"/>
        <w:textAlignment w:val="auto"/>
        <w:rPr>
          <w:rFonts w:hint="default" w:ascii="Nimbus Roman No9 L" w:hAnsi="Nimbus Roman No9 L" w:cs="Nimbus Roman No9 L"/>
          <w:snapToGrid w:val="0"/>
        </w:rPr>
      </w:pPr>
      <w:r>
        <w:rPr>
          <w:rFonts w:hint="default" w:ascii="Nimbus Roman No9 L" w:hAnsi="Nimbus Roman No9 L" w:cs="Nimbus Roman No9 L"/>
          <w:snapToGrid w:val="0"/>
        </w:rPr>
        <w:t>“十三五”时期是滨海新区工业发展的转型调整期，全区工业以新发展理念为引领，以供给侧结构性改革为主线，秉承“二次创业”精神，坚持稳增长、调结构、换动能，全力推进全国先进制造研发基地建设，加快构建以智能科技为引领的现代工业产业体系，工业高质量发展态势初步显现。</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b/>
          <w:bCs/>
          <w:snapToGrid w:val="0"/>
        </w:rPr>
      </w:pPr>
      <w:r>
        <w:rPr>
          <w:rFonts w:hint="default" w:ascii="Nimbus Roman No9 L" w:hAnsi="Nimbus Roman No9 L" w:eastAsia="Times New Roman" w:cs="Nimbus Roman No9 L"/>
          <w:b/>
          <w:bCs/>
          <w:szCs w:val="32"/>
        </w:rPr>
        <w:t>1.</w:t>
      </w:r>
      <w:r>
        <w:rPr>
          <w:rFonts w:hint="default" w:ascii="Nimbus Roman No9 L" w:hAnsi="Nimbus Roman No9 L" w:cs="Nimbus Roman No9 L"/>
          <w:b/>
          <w:bCs/>
          <w:snapToGrid w:val="0"/>
        </w:rPr>
        <w:t>工业经济稳步发展，初步形成“1+3+4”产业体系</w:t>
      </w:r>
    </w:p>
    <w:p>
      <w:pPr>
        <w:pageBreakBefore w:val="0"/>
        <w:widowControl w:val="0"/>
        <w:kinsoku/>
        <w:wordWrap/>
        <w:overflowPunct/>
        <w:topLinePunct w:val="0"/>
        <w:autoSpaceDE/>
        <w:autoSpaceDN/>
        <w:bidi w:val="0"/>
        <w:adjustRightInd/>
        <w:snapToGrid/>
        <w:spacing w:line="580" w:lineRule="exact"/>
        <w:ind w:firstLine="640"/>
        <w:textAlignment w:val="auto"/>
        <w:rPr>
          <w:rFonts w:hint="default" w:ascii="Nimbus Roman No9 L" w:hAnsi="Nimbus Roman No9 L" w:cs="Nimbus Roman No9 L"/>
          <w:snapToGrid w:val="0"/>
        </w:rPr>
      </w:pPr>
      <w:r>
        <w:rPr>
          <w:rFonts w:hint="default" w:ascii="Nimbus Roman No9 L" w:hAnsi="Nimbus Roman No9 L" w:cs="Nimbus Roman No9 L"/>
          <w:snapToGrid w:val="0"/>
        </w:rPr>
        <w:t>“十三五”期间工业增加值年均增长3.4%，2020年占全市比重61.4%，</w:t>
      </w:r>
      <w:r>
        <w:rPr>
          <w:rFonts w:hint="default" w:ascii="Nimbus Roman No9 L" w:hAnsi="Nimbus Roman No9 L" w:cs="Nimbus Roman No9 L"/>
          <w:szCs w:val="36"/>
        </w:rPr>
        <w:t>工业战略性新兴产业增加值约占规模以上工业增加值的</w:t>
      </w:r>
      <w:r>
        <w:rPr>
          <w:rFonts w:hint="default" w:ascii="Nimbus Roman No9 L" w:hAnsi="Nimbus Roman No9 L" w:cs="Nimbus Roman No9 L"/>
          <w:snapToGrid w:val="0"/>
        </w:rPr>
        <w:t>27%，“1+3+4”现代工业产业体系初步形成。智能科技产业引领作用初步显现，电子信息产业产值全市占比75%，获批全国唯一网络信息安全产品和服务集群，信息安全产业入围工信部先进制造业产业集群，天地伟业、飞腾、天津超算中心入围工信部新一代人工智能产业创新重点任务揭榜单位，紫光云、零氪科技等7家企业入选工信部大数据产业发展试点示范项目。三大战略性新兴产业不断壮大，生物医药产业入选国家战略性新兴产业集群，以化学药和现代中药为支撑，生物药、医疗器械、医疗数据服务“多点开花”，成功研制国内首个埃博拉疫苗，康希诺新冠疫苗进入正式投产；新能源产业</w:t>
      </w:r>
      <w:r>
        <w:rPr>
          <w:rFonts w:hint="default" w:ascii="Nimbus Roman No9 L" w:hAnsi="Nimbus Roman No9 L" w:cs="Nimbus Roman No9 L"/>
          <w:szCs w:val="36"/>
        </w:rPr>
        <w:t>入选国家创新型产业集群试点</w:t>
      </w:r>
      <w:r>
        <w:rPr>
          <w:rFonts w:hint="default" w:ascii="Nimbus Roman No9 L" w:hAnsi="Nimbus Roman No9 L" w:cs="Nimbus Roman No9 L"/>
          <w:snapToGrid w:val="0"/>
        </w:rPr>
        <w:t>，动力电池产业集群入围工信部先进制造业集群，风电、太阳能等领域协同发展；新材料产业发展位势提升，先进化工材料转型升级，半导体材料、新能源材料等关键战略材料不断突破。四大优势产业加速发展，汽车产业规模不断壮大，</w:t>
      </w:r>
      <w:r>
        <w:rPr>
          <w:rFonts w:hint="default" w:ascii="Nimbus Roman No9 L" w:hAnsi="Nimbus Roman No9 L" w:cs="Nimbus Roman No9 L"/>
          <w:szCs w:val="36"/>
        </w:rPr>
        <w:t>整车产能达到150万辆，一汽丰田、恒大新能源汽车生产基地开工</w:t>
      </w:r>
      <w:r>
        <w:rPr>
          <w:rFonts w:hint="default" w:ascii="Nimbus Roman No9 L" w:hAnsi="Nimbus Roman No9 L" w:cs="Nimbus Roman No9 L"/>
          <w:snapToGrid w:val="0"/>
        </w:rPr>
        <w:t>；装备制造产业高端发展，形成以智能制造装备、轨道交通装备、海洋装备为主的高端装备制造发展格局，</w:t>
      </w:r>
      <w:r>
        <w:rPr>
          <w:rFonts w:hint="default" w:ascii="Nimbus Roman No9 L" w:hAnsi="Nimbus Roman No9 L" w:cs="Nimbus Roman No9 L"/>
          <w:szCs w:val="36"/>
        </w:rPr>
        <w:t>海工装备制造、海洋工程总承包和服务实力位居全国前列</w:t>
      </w:r>
      <w:r>
        <w:rPr>
          <w:rFonts w:hint="default" w:ascii="Nimbus Roman No9 L" w:hAnsi="Nimbus Roman No9 L" w:cs="Nimbus Roman No9 L"/>
          <w:snapToGrid w:val="0"/>
        </w:rPr>
        <w:t>；</w:t>
      </w:r>
      <w:r>
        <w:rPr>
          <w:rFonts w:hint="default" w:ascii="Nimbus Roman No9 L" w:hAnsi="Nimbus Roman No9 L" w:cs="Nimbus Roman No9 L"/>
          <w:szCs w:val="36"/>
        </w:rPr>
        <w:t>航空航天产业形成“三机一箭一星一站”产业格局</w:t>
      </w:r>
      <w:r>
        <w:rPr>
          <w:rFonts w:hint="default" w:ascii="Nimbus Roman No9 L" w:hAnsi="Nimbus Roman No9 L" w:cs="Nimbus Roman No9 L"/>
          <w:snapToGrid w:val="0"/>
        </w:rPr>
        <w:t>，</w:t>
      </w:r>
      <w:r>
        <w:rPr>
          <w:rFonts w:hint="default" w:ascii="Nimbus Roman No9 L" w:hAnsi="Nimbus Roman No9 L" w:cs="Nimbus Roman No9 L"/>
          <w:szCs w:val="36"/>
        </w:rPr>
        <w:t>空客A320飞机累计交付超500架，A350宽体机完成和交付中心落户，</w:t>
      </w:r>
      <w:r>
        <w:rPr>
          <w:rFonts w:hint="default" w:ascii="Nimbus Roman No9 L" w:hAnsi="Nimbus Roman No9 L" w:cs="Nimbus Roman No9 L"/>
          <w:snapToGrid w:val="0"/>
        </w:rPr>
        <w:t>获批国家首批民用无人驾驶航空试验区；石油化工国家新型示范化产业基地获批五星级基地，“两化”搬迁、中石化LNG等一批重大项目顺利实施，石化产业转型升级深入推进。</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b/>
          <w:bCs/>
          <w:snapToGrid w:val="0"/>
        </w:rPr>
      </w:pPr>
      <w:r>
        <w:rPr>
          <w:rFonts w:hint="default" w:ascii="Nimbus Roman No9 L" w:hAnsi="Nimbus Roman No9 L" w:eastAsia="Times New Roman" w:cs="Nimbus Roman No9 L"/>
          <w:b/>
          <w:bCs/>
          <w:szCs w:val="32"/>
        </w:rPr>
        <w:t>2.</w:t>
      </w:r>
      <w:r>
        <w:rPr>
          <w:rFonts w:hint="default" w:ascii="Nimbus Roman No9 L" w:hAnsi="Nimbus Roman No9 L" w:cs="Nimbus Roman No9 L"/>
          <w:b/>
          <w:bCs/>
          <w:snapToGrid w:val="0"/>
        </w:rPr>
        <w:t>转型升级步伐加快，产业发展质量不断提升</w:t>
      </w:r>
    </w:p>
    <w:p>
      <w:pPr>
        <w:pageBreakBefore w:val="0"/>
        <w:widowControl w:val="0"/>
        <w:kinsoku/>
        <w:wordWrap/>
        <w:overflowPunct/>
        <w:topLinePunct w:val="0"/>
        <w:autoSpaceDE/>
        <w:autoSpaceDN/>
        <w:bidi w:val="0"/>
        <w:adjustRightInd/>
        <w:snapToGrid/>
        <w:spacing w:line="580" w:lineRule="exact"/>
        <w:ind w:firstLine="640"/>
        <w:textAlignment w:val="auto"/>
        <w:rPr>
          <w:rFonts w:hint="default" w:ascii="Nimbus Roman No9 L" w:hAnsi="Nimbus Roman No9 L" w:cs="Nimbus Roman No9 L"/>
          <w:snapToGrid w:val="0"/>
        </w:rPr>
      </w:pPr>
      <w:r>
        <w:rPr>
          <w:rFonts w:hint="default" w:ascii="Nimbus Roman No9 L" w:hAnsi="Nimbus Roman No9 L" w:cs="Nimbus Roman No9 L"/>
          <w:snapToGrid w:val="0"/>
        </w:rPr>
        <w:t>以顶层设计为牵引，加速推进工业智能化、绿色化、服务化、品牌化发展，</w:t>
      </w:r>
      <w:r>
        <w:rPr>
          <w:rFonts w:hint="default" w:ascii="Nimbus Roman No9 L" w:hAnsi="Nimbus Roman No9 L" w:cs="Nimbus Roman No9 L"/>
          <w:szCs w:val="32"/>
        </w:rPr>
        <w:t>成功获批国家2018年“工业稳增长和转型升级成效明显市（州）”</w:t>
      </w:r>
      <w:r>
        <w:rPr>
          <w:rFonts w:hint="default" w:ascii="Nimbus Roman No9 L" w:hAnsi="Nimbus Roman No9 L" w:cs="Nimbus Roman No9 L"/>
          <w:snapToGrid w:val="0"/>
        </w:rPr>
        <w:t>。智能制造加速推进，806个项目获得市区两级共20亿元的智能制造专项资金支持，133家企业获批两化融合管理体系贯标试点，建成数字车间/智能工厂32个，天河工程仿真云服务平台入选全国首批服务型制造示范平台名单。绿色制造水平提升，积极推动“节能诊断”“清洁生产”，大力推广绿色技术，累计获评国家级绿色园区2个、绿色工厂49个、绿色供应链管理示范企业11家。两业融合步伐加快，天津经济开发区入选首批两业融合试点区，两业融合新业态不断涌现，智能工厂、柔性化定制等新业态陆续落地应用。质量品牌建设初见成效，围绕重点领域开展质量提升行动，制造业产品质量合格率连续三年保持在98%以上，天津港保税区“空港航空”区域品牌入选全国区域品牌价值评价百强榜。</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b/>
          <w:bCs/>
          <w:snapToGrid w:val="0"/>
        </w:rPr>
      </w:pPr>
      <w:r>
        <w:rPr>
          <w:rFonts w:hint="default" w:ascii="Nimbus Roman No9 L" w:hAnsi="Nimbus Roman No9 L" w:cs="Nimbus Roman No9 L"/>
          <w:b/>
          <w:bCs/>
          <w:snapToGrid w:val="0"/>
        </w:rPr>
        <w:t>3.“串、补、强”深入推进，优质企业加速汇集</w:t>
      </w:r>
    </w:p>
    <w:p>
      <w:pPr>
        <w:pageBreakBefore w:val="0"/>
        <w:widowControl w:val="0"/>
        <w:kinsoku/>
        <w:wordWrap/>
        <w:overflowPunct/>
        <w:topLinePunct w:val="0"/>
        <w:autoSpaceDE/>
        <w:autoSpaceDN/>
        <w:bidi w:val="0"/>
        <w:adjustRightInd/>
        <w:snapToGrid/>
        <w:spacing w:line="580" w:lineRule="exact"/>
        <w:ind w:firstLine="640"/>
        <w:textAlignment w:val="auto"/>
        <w:rPr>
          <w:rFonts w:hint="default" w:ascii="Nimbus Roman No9 L" w:hAnsi="Nimbus Roman No9 L" w:cs="Nimbus Roman No9 L"/>
          <w:snapToGrid w:val="0"/>
        </w:rPr>
      </w:pPr>
      <w:r>
        <w:rPr>
          <w:rFonts w:hint="default" w:ascii="Nimbus Roman No9 L" w:hAnsi="Nimbus Roman No9 L" w:cs="Nimbus Roman No9 L"/>
          <w:snapToGrid w:val="0"/>
        </w:rPr>
        <w:t>落实天津市“串链补链强链”工程，推动实施“接链、促需、护企”专项行动，聚焦产业链关键环节，引育壮大优质企业。龙头企业持续保持领先地位，2020年规模以上工业企业完成产值8890亿元，百强工业企业全年完成产值占全区工业总产值的超过75%，维斯塔斯、一汽丰田等龙头企业持续保持高速增长。专精特新和单项冠军企业涌现，南大通用、瑞普生物等20家企业入选国家级专精特新企业，天汽模、金桥焊材、天地伟业、利安隆4家企业入选国家级单项冠军企业（产品）。科技型企业创新能力增强，上市科技企业达到28家，国家高新技术企业达到3270家，飞腾CPU+麒麟OS操作系统关键核心技术取得重大突破，“天河三号”百亿次超级计算机原型机通过验收，重组埃博拉病毒疫苗等高端产品填补国内空白。民营企业贡献不断增强，民营企业户数占市场主体总量过半，前沿新兴领域涌现了深之蓝、科大讯飞等大量优质的高科技民营企业。</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b/>
          <w:bCs/>
          <w:snapToGrid w:val="0"/>
        </w:rPr>
      </w:pPr>
      <w:r>
        <w:rPr>
          <w:rFonts w:hint="default" w:ascii="Nimbus Roman No9 L" w:hAnsi="Nimbus Roman No9 L" w:cs="Nimbus Roman No9 L"/>
          <w:b/>
          <w:bCs/>
          <w:snapToGrid w:val="0"/>
        </w:rPr>
        <w:t>4.技术创新体系逐渐完善，产业创新能力不断增强</w:t>
      </w:r>
    </w:p>
    <w:p>
      <w:pPr>
        <w:pageBreakBefore w:val="0"/>
        <w:widowControl w:val="0"/>
        <w:kinsoku/>
        <w:wordWrap/>
        <w:overflowPunct/>
        <w:topLinePunct w:val="0"/>
        <w:autoSpaceDE/>
        <w:autoSpaceDN/>
        <w:bidi w:val="0"/>
        <w:adjustRightInd/>
        <w:snapToGrid/>
        <w:spacing w:line="580" w:lineRule="exact"/>
        <w:ind w:firstLine="640"/>
        <w:textAlignment w:val="auto"/>
        <w:rPr>
          <w:rFonts w:hint="default" w:ascii="Nimbus Roman No9 L" w:hAnsi="Nimbus Roman No9 L" w:eastAsia="楷体_GB2312" w:cs="Nimbus Roman No9 L"/>
          <w:b/>
          <w:bCs/>
        </w:rPr>
      </w:pPr>
      <w:r>
        <w:rPr>
          <w:rFonts w:hint="default" w:ascii="Nimbus Roman No9 L" w:hAnsi="Nimbus Roman No9 L" w:cs="Nimbus Roman No9 L"/>
          <w:snapToGrid w:val="0"/>
        </w:rPr>
        <w:t>创新驱动作用不断增强，依托高新技术企业、高端科研机构和高能级创新平台，培育一批重大技术成果。企业创新主体作用持续增强，有效发明专利达到1.1万件，“杀手锏”产品220余项，新增国家级企业技术中心20家，9家企业入选“十三五”技术中心建设优秀案例，中冶天工入选国家技术创新示范企业认定名单。高能级产业创新平台陆续搭建，</w:t>
      </w:r>
      <w:r>
        <w:rPr>
          <w:rFonts w:hint="default" w:ascii="Nimbus Roman No9 L" w:hAnsi="Nimbus Roman No9 L" w:cs="Nimbus Roman No9 L"/>
          <w:szCs w:val="36"/>
          <w:lang w:val="zh-TW"/>
        </w:rPr>
        <w:t>市级以上研发机构518家，</w:t>
      </w:r>
      <w:r>
        <w:rPr>
          <w:rFonts w:hint="default" w:ascii="Nimbus Roman No9 L" w:hAnsi="Nimbus Roman No9 L" w:cs="Nimbus Roman No9 L"/>
          <w:snapToGrid w:val="0"/>
        </w:rPr>
        <w:t>新一代超级计算机、国家合成生物技术创新中心、先进计算产业创新中心、先进操作系统创新中心等多家高能级平台获批建设，清华大学电子信息研究院、中科院战略创新研究院等一批高水平科研机构落户。</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b/>
          <w:bCs/>
          <w:snapToGrid w:val="0"/>
        </w:rPr>
      </w:pPr>
      <w:r>
        <w:rPr>
          <w:rFonts w:hint="default" w:ascii="Nimbus Roman No9 L" w:hAnsi="Nimbus Roman No9 L" w:cs="Nimbus Roman No9 L"/>
          <w:b/>
          <w:bCs/>
          <w:snapToGrid w:val="0"/>
        </w:rPr>
        <w:t>5.园区治理扎实推进，以开发区为主阵地特色发展</w:t>
      </w:r>
    </w:p>
    <w:p>
      <w:pPr>
        <w:pageBreakBefore w:val="0"/>
        <w:widowControl w:val="0"/>
        <w:kinsoku/>
        <w:wordWrap/>
        <w:overflowPunct/>
        <w:topLinePunct w:val="0"/>
        <w:autoSpaceDE/>
        <w:autoSpaceDN/>
        <w:bidi w:val="0"/>
        <w:adjustRightInd/>
        <w:snapToGrid/>
        <w:spacing w:line="580" w:lineRule="exact"/>
        <w:ind w:firstLine="640"/>
        <w:textAlignment w:val="auto"/>
        <w:rPr>
          <w:rFonts w:hint="default" w:ascii="Nimbus Roman No9 L" w:hAnsi="Nimbus Roman No9 L" w:cs="Nimbus Roman No9 L"/>
          <w:snapToGrid w:val="0"/>
        </w:rPr>
      </w:pPr>
      <w:r>
        <w:rPr>
          <w:rFonts w:hint="default" w:ascii="Nimbus Roman No9 L" w:hAnsi="Nimbus Roman No9 L" w:cs="Nimbus Roman No9 L"/>
          <w:szCs w:val="32"/>
        </w:rPr>
        <w:t>扎实推进园区围城治理，对17个工业园区进行了综合治理，保</w:t>
      </w:r>
      <w:r>
        <w:rPr>
          <w:rFonts w:hint="default" w:ascii="Nimbus Roman No9 L" w:hAnsi="Nimbus Roman No9 L" w:cs="Nimbus Roman No9 L"/>
          <w:snapToGrid w:val="0"/>
        </w:rPr>
        <w:t>留5个国家级、2个市级园区和6个区级园区，撤消1个区级园区，对3个有关园区进行整合。五大开发区特色发展深入推进，累计形成8家国家级新型工业化产业示范基地，全市占比超过2/3；特色主题园区培育工作初步开展，经开区南港化工新材料主题园、保税区生物医药制造谷和氢能产业园、滨海高新区信创谷等特色园区建设有序推进。街镇工业园区深化整合，坚持“以强扶弱”“以大带小”，通过合作共建方式推动滨海物流加工区、胡家园产业园区、港西工业区、古林工业区、小王庄工业区、营城工业集聚区等6个区级园区与4个国家级开发区深化整合，推进街道工业园区与开发区协同发展。</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b/>
          <w:bCs/>
          <w:snapToGrid w:val="0"/>
        </w:rPr>
      </w:pPr>
      <w:r>
        <w:rPr>
          <w:rFonts w:hint="default" w:ascii="Nimbus Roman No9 L" w:hAnsi="Nimbus Roman No9 L" w:cs="Nimbus Roman No9 L"/>
          <w:b/>
          <w:bCs/>
          <w:snapToGrid w:val="0"/>
        </w:rPr>
        <w:t>6.京津冀产业协同扎实推进，对外开放水平不断提升</w:t>
      </w:r>
    </w:p>
    <w:p>
      <w:pPr>
        <w:pageBreakBefore w:val="0"/>
        <w:widowControl w:val="0"/>
        <w:kinsoku/>
        <w:wordWrap/>
        <w:overflowPunct/>
        <w:topLinePunct w:val="0"/>
        <w:autoSpaceDE/>
        <w:autoSpaceDN/>
        <w:bidi w:val="0"/>
        <w:adjustRightInd/>
        <w:snapToGrid/>
        <w:spacing w:line="580" w:lineRule="exact"/>
        <w:ind w:firstLine="640"/>
        <w:textAlignment w:val="auto"/>
        <w:rPr>
          <w:rFonts w:hint="default" w:ascii="Nimbus Roman No9 L" w:hAnsi="Nimbus Roman No9 L" w:cs="Nimbus Roman No9 L"/>
          <w:snapToGrid w:val="0"/>
        </w:rPr>
      </w:pPr>
      <w:r>
        <w:rPr>
          <w:rFonts w:hint="default" w:ascii="Nimbus Roman No9 L" w:hAnsi="Nimbus Roman No9 L" w:cs="Nimbus Roman No9 L"/>
          <w:snapToGrid w:val="0"/>
        </w:rPr>
        <w:t>主动融入双循环发展新格局，京津联动、资源共享的京津冀跨区域产业协同模式初获成效。非首都功能疏解取得明显进展，滨海—中关村科技园、中欧先进制造产业园、未来科技城京津合作示范区、北方航空物流基地、南港化工新材料基地等重点载体平台建设深入推进，累计引进北京项目3283个，协议投资额达9100亿元。对外开放水平不断提升，丰田新能源工厂、三星片式陶瓷电容器等外资项目落地，三星动力电池、雀巢等一批企业持续增资扩能，埃及苏伊士经贸合作区、中英生物医药技术转化与产业化基地、天津中欧智能制造研究院等国际产业创新平台载体基本建成。</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b/>
          <w:bCs/>
          <w:snapToGrid w:val="0"/>
        </w:rPr>
      </w:pPr>
      <w:r>
        <w:rPr>
          <w:rFonts w:hint="default" w:ascii="Nimbus Roman No9 L" w:hAnsi="Nimbus Roman No9 L" w:cs="Nimbus Roman No9 L"/>
          <w:b/>
          <w:bCs/>
          <w:snapToGrid w:val="0"/>
        </w:rPr>
        <w:t>7.产业服务理念意识不断升级，营商环境持续改善</w:t>
      </w:r>
    </w:p>
    <w:p>
      <w:pPr>
        <w:pageBreakBefore w:val="0"/>
        <w:widowControl w:val="0"/>
        <w:kinsoku/>
        <w:wordWrap/>
        <w:overflowPunct/>
        <w:topLinePunct w:val="0"/>
        <w:autoSpaceDE/>
        <w:autoSpaceDN/>
        <w:bidi w:val="0"/>
        <w:adjustRightInd/>
        <w:snapToGrid/>
        <w:spacing w:line="580" w:lineRule="exact"/>
        <w:ind w:firstLine="640"/>
        <w:textAlignment w:val="auto"/>
        <w:rPr>
          <w:rFonts w:hint="default" w:ascii="Nimbus Roman No9 L" w:hAnsi="Nimbus Roman No9 L" w:cs="Nimbus Roman No9 L"/>
          <w:szCs w:val="32"/>
        </w:rPr>
      </w:pPr>
      <w:r>
        <w:rPr>
          <w:rFonts w:hint="default" w:ascii="Nimbus Roman No9 L" w:hAnsi="Nimbus Roman No9 L" w:cs="Nimbus Roman No9 L"/>
          <w:szCs w:val="32"/>
        </w:rPr>
        <w:t>面向产业创新发展新需求，滨海新区逐渐转变产业发展方式，聚焦民营企业、科技型企业、高端人才,加大政策供给，不断优化营商环境。产业发展模式转变，强化提升服务意识，深入落实一个规划、一个基金、一个联盟、一套政策体系的“四个一”新要求，提出“专家+管家”式服务，高新区通过政府购买服务发放“双创红包”，开发区开发“双创通3.0”提供政务服务。民营经济利好政策和专项资金支持力度加大，深入落实“津八条”，制定出台“滨海50条”，制定促进民营经济发展三年实施方案，加大对民营企业上市、中小企业股改上市挂牌的扶持力度，拓宽民营经济融资渠道。科技型企业培育和服务工作深入开展，制定发布滨海新区高企倍增、中小企业融资发展若干措施，开展“一企一策”帮扶、“双万双服”活动。高端人才引育和服务力度持续增强，落实“海河英才计划”，实施“131”创新型人才计划，陆续成立了信创、海水淡化、海洋装备、精细化工和新材料、生物制造等10个产业（人才）联盟，天津市无人机和新材料、互联网新经济、生物医药3个人才创新创业联盟落户，引进人才超过1000名，</w:t>
      </w:r>
      <w:r>
        <w:rPr>
          <w:rFonts w:hint="default" w:ascii="Nimbus Roman No9 L" w:hAnsi="Nimbus Roman No9 L" w:cs="Nimbus Roman No9 L"/>
          <w:szCs w:val="36"/>
        </w:rPr>
        <w:t>驻区两院院士、特贴专家、突出贡献专家等高层次人才达到1123人</w:t>
      </w:r>
      <w:r>
        <w:rPr>
          <w:rFonts w:hint="default" w:ascii="Nimbus Roman No9 L" w:hAnsi="Nimbus Roman No9 L" w:cs="Nimbus Roman No9 L"/>
          <w:szCs w:val="32"/>
        </w:rPr>
        <w:t>。</w:t>
      </w:r>
    </w:p>
    <w:p>
      <w:pPr>
        <w:pageBreakBefore w:val="0"/>
        <w:widowControl w:val="0"/>
        <w:kinsoku/>
        <w:wordWrap/>
        <w:overflowPunct/>
        <w:topLinePunct w:val="0"/>
        <w:autoSpaceDE/>
        <w:autoSpaceDN/>
        <w:bidi w:val="0"/>
        <w:adjustRightInd/>
        <w:snapToGrid/>
        <w:spacing w:line="580" w:lineRule="exact"/>
        <w:ind w:firstLine="640"/>
        <w:textAlignment w:val="auto"/>
        <w:rPr>
          <w:rFonts w:hint="default" w:ascii="Nimbus Roman No9 L" w:hAnsi="Nimbus Roman No9 L" w:cs="Nimbus Roman No9 L"/>
        </w:rPr>
      </w:pPr>
      <w:r>
        <w:rPr>
          <w:rFonts w:hint="default" w:ascii="Nimbus Roman No9 L" w:hAnsi="Nimbus Roman No9 L" w:cs="Nimbus Roman No9 L"/>
          <w:szCs w:val="32"/>
        </w:rPr>
        <w:t>“十三五”期间，滨海新区工业发展取得了一定成就，同时也要看到当前存在和未来面临一些问题。受经济结构调整、国际环境不稳定性增加等多种因素影响，工业发展步伐放</w:t>
      </w:r>
      <w:r>
        <w:rPr>
          <w:rFonts w:hint="default" w:ascii="Nimbus Roman No9 L" w:hAnsi="Nimbus Roman No9 L" w:cs="Nimbus Roman No9 L"/>
        </w:rPr>
        <w:t>缓、基础地位弱化，工业增加值全市占比由2015年的78.15%下降到2020年的61.4%。主要问题呈现在以下几个方面。</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rPr>
      </w:pPr>
      <w:r>
        <w:rPr>
          <w:rFonts w:hint="default" w:ascii="Nimbus Roman No9 L" w:hAnsi="Nimbus Roman No9 L" w:cs="Nimbus Roman No9 L"/>
          <w:b/>
          <w:bCs/>
        </w:rPr>
        <w:t>一是工业发展实力有待提升。</w:t>
      </w:r>
      <w:r>
        <w:rPr>
          <w:rFonts w:hint="default" w:ascii="Nimbus Roman No9 L" w:hAnsi="Nimbus Roman No9 L" w:cs="Nimbus Roman No9 L"/>
        </w:rPr>
        <w:t>对标全国先进制造研发基地定位要求，滨海新区工业发展水平亟待提高。部分产业链条短、关键环节缺失、配套水平较低，研发设计、生产性服务业发展滞后，产业链总体水平不高。缺少具有国际竞争力的领军企业，主要产品和服务技术含量较低，企业市场竞争力不强。优势产业虽多，但布局分散、特色不强，能够代表国际先进水平的工业集群尚未形成。</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rPr>
      </w:pPr>
      <w:r>
        <w:rPr>
          <w:rFonts w:hint="default" w:ascii="Nimbus Roman No9 L" w:hAnsi="Nimbus Roman No9 L" w:cs="Nimbus Roman No9 L"/>
          <w:b/>
          <w:bCs/>
        </w:rPr>
        <w:t>二是产业创新动力尚需增强。</w:t>
      </w:r>
      <w:r>
        <w:rPr>
          <w:rFonts w:hint="default" w:ascii="Nimbus Roman No9 L" w:hAnsi="Nimbus Roman No9 L" w:cs="Nimbus Roman No9 L"/>
        </w:rPr>
        <w:t>引领未来发展的新兴业态涌现较少，新动能孕育生态营造不足。市场主体以大中型国企、外企为主，且多集中传统领域，创新发展意愿和带动作用不强；民营经济贡献相对较少，活力偏弱。产业创新生态不健全，产学研合作不够紧密，科技资源的开放共享程度较低，科技成果转化不畅，创新对经济增长的引领支持作用弱。面向前沿，机器人、石墨烯、智能网联汽车等引领未来发展的新赛道新业态涌现较少，未来产业培育不足。</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rPr>
      </w:pPr>
      <w:r>
        <w:rPr>
          <w:rFonts w:hint="default" w:ascii="Nimbus Roman No9 L" w:hAnsi="Nimbus Roman No9 L" w:cs="Nimbus Roman No9 L"/>
          <w:b/>
          <w:bCs/>
        </w:rPr>
        <w:t>三是产业促进工作招法传统。</w:t>
      </w:r>
      <w:r>
        <w:rPr>
          <w:rFonts w:hint="default" w:ascii="Nimbus Roman No9 L" w:hAnsi="Nimbus Roman No9 L" w:cs="Nimbus Roman No9 L"/>
        </w:rPr>
        <w:t>对比先进地区，产业促进方式创新不足，未能适应新兴产业发展要求。缺少引导各工业园区发展的实质性举措，园区主导产业同质化，全区产业布局统筹不足。政府主导推进产业组织工作，通过土地供给、政策优惠招引“大项目”，后续发展持续性弱。产业政策多为“零散补缺”“热点跟踪”，缺少立足全局的系统性规划，新兴产业发展所须的生态培育、场景搭建、制度供给不足。</w:t>
      </w:r>
    </w:p>
    <w:p>
      <w:pPr>
        <w:pageBreakBefore w:val="0"/>
        <w:widowControl w:val="0"/>
        <w:kinsoku/>
        <w:wordWrap/>
        <w:overflowPunct/>
        <w:topLinePunct w:val="0"/>
        <w:autoSpaceDE/>
        <w:autoSpaceDN/>
        <w:bidi w:val="0"/>
        <w:adjustRightInd/>
        <w:snapToGrid/>
        <w:spacing w:line="580" w:lineRule="exact"/>
        <w:ind w:firstLine="640"/>
        <w:textAlignment w:val="auto"/>
        <w:rPr>
          <w:rFonts w:hint="default" w:ascii="Nimbus Roman No9 L" w:hAnsi="Nimbus Roman No9 L" w:cs="Nimbus Roman No9 L"/>
        </w:rPr>
      </w:pPr>
      <w:r>
        <w:rPr>
          <w:rFonts w:hint="default" w:ascii="Nimbus Roman No9 L" w:hAnsi="Nimbus Roman No9 L" w:cs="Nimbus Roman No9 L"/>
        </w:rPr>
        <w:t>究其原因，在于工业发展路径依赖严重，外源式增长模式占据主导，内生性增长动力尚未形成。发展初期，滨海新区紧抓住工业全球化机遇，依托政策优势强力引入外来资本和技术，实现快速崛起。一直以来，滨海新区过渡依靠外源经济增长，忽视本地产业生态构建，研发设计等生产性服务业发育不足，对工业企业提升发展支撑不足，导致外引企业根植性弱、内生企业培育壮大缓慢。随着要素成本优势和政策红利弱化，外源经济增长后劲不足，内生动力尚未形成，工业对区域经济增长的支撑作用不断减弱。</w:t>
      </w:r>
    </w:p>
    <w:p>
      <w:pPr>
        <w:pStyle w:val="4"/>
        <w:pageBreakBefore w:val="0"/>
        <w:widowControl w:val="0"/>
        <w:kinsoku/>
        <w:wordWrap/>
        <w:overflowPunct/>
        <w:topLinePunct w:val="0"/>
        <w:autoSpaceDE/>
        <w:autoSpaceDN/>
        <w:bidi w:val="0"/>
        <w:adjustRightInd/>
        <w:snapToGrid/>
        <w:spacing w:line="580" w:lineRule="exact"/>
        <w:ind w:firstLine="640"/>
        <w:textAlignment w:val="auto"/>
        <w:rPr>
          <w:rFonts w:hint="default" w:ascii="Nimbus Roman No9 L" w:hAnsi="Nimbus Roman No9 L" w:cs="Nimbus Roman No9 L"/>
          <w:b w:val="0"/>
          <w:bCs w:val="0"/>
        </w:rPr>
      </w:pPr>
      <w:bookmarkStart w:id="9" w:name="_Toc64906416"/>
      <w:bookmarkStart w:id="10" w:name="_Toc12583"/>
      <w:r>
        <w:rPr>
          <w:rFonts w:hint="default" w:ascii="Nimbus Roman No9 L" w:hAnsi="Nimbus Roman No9 L" w:cs="Nimbus Roman No9 L"/>
          <w:b w:val="0"/>
          <w:bCs w:val="0"/>
        </w:rPr>
        <w:t>（二）面临形势</w:t>
      </w:r>
      <w:bookmarkEnd w:id="7"/>
      <w:bookmarkEnd w:id="9"/>
      <w:bookmarkEnd w:id="10"/>
    </w:p>
    <w:p>
      <w:pPr>
        <w:pageBreakBefore w:val="0"/>
        <w:widowControl w:val="0"/>
        <w:kinsoku/>
        <w:wordWrap/>
        <w:overflowPunct/>
        <w:topLinePunct w:val="0"/>
        <w:autoSpaceDE/>
        <w:autoSpaceDN/>
        <w:bidi w:val="0"/>
        <w:adjustRightInd/>
        <w:snapToGrid/>
        <w:spacing w:line="580" w:lineRule="exact"/>
        <w:ind w:firstLine="640"/>
        <w:textAlignment w:val="auto"/>
        <w:rPr>
          <w:rFonts w:hint="default" w:ascii="Nimbus Roman No9 L" w:hAnsi="Nimbus Roman No9 L" w:cs="Nimbus Roman No9 L"/>
        </w:rPr>
      </w:pPr>
      <w:r>
        <w:rPr>
          <w:rFonts w:hint="default" w:ascii="Nimbus Roman No9 L" w:hAnsi="Nimbus Roman No9 L" w:cs="Nimbus Roman No9 L"/>
        </w:rPr>
        <w:t>“十四五”时期，是我国迈入制造强国行列的关键五年，也是滨海新区基本建成全国先进制造研发基地中心区的重要攻坚期。</w:t>
      </w:r>
      <w:r>
        <w:rPr>
          <w:rFonts w:hint="default" w:ascii="Nimbus Roman No9 L" w:hAnsi="Nimbus Roman No9 L" w:cs="Nimbus Roman No9 L"/>
          <w:szCs w:val="32"/>
        </w:rPr>
        <w:t>工业发展的内外部条件深刻变化，国际环境不稳定不确定因素增加，</w:t>
      </w:r>
      <w:r>
        <w:rPr>
          <w:rFonts w:hint="default" w:ascii="Nimbus Roman No9 L" w:hAnsi="Nimbus Roman No9 L" w:cs="Nimbus Roman No9 L"/>
          <w:kern w:val="0"/>
          <w:szCs w:val="32"/>
          <w:lang w:val="zh-CN"/>
        </w:rPr>
        <w:t>我国提出坚定不移建设制造强国，天津市作出坚持制造业立市重要部署，对“十四五”时期滨海新区工业发展提出更高要求。从产业趋势看，在</w:t>
      </w:r>
      <w:r>
        <w:rPr>
          <w:rFonts w:hint="default" w:ascii="Nimbus Roman No9 L" w:hAnsi="Nimbus Roman No9 L" w:cs="Nimbus Roman No9 L"/>
        </w:rPr>
        <w:t>新时期新阶段，</w:t>
      </w:r>
      <w:r>
        <w:rPr>
          <w:rFonts w:hint="default" w:ascii="Nimbus Roman No9 L" w:hAnsi="Nimbus Roman No9 L" w:cs="Nimbus Roman No9 L"/>
          <w:kern w:val="0"/>
          <w:szCs w:val="32"/>
          <w:lang w:val="zh-CN"/>
        </w:rPr>
        <w:t>工业经济加速向新经济演进，产业形态和发展规律发生变化，工业发展路径和产业促进方式亟待调整。未来五年，滨海新区工业发展要适应新要求、顺应新趋势。</w:t>
      </w:r>
    </w:p>
    <w:p>
      <w:pPr>
        <w:pageBreakBefore w:val="0"/>
        <w:widowControl w:val="0"/>
        <w:kinsoku/>
        <w:wordWrap/>
        <w:overflowPunct/>
        <w:topLinePunct w:val="0"/>
        <w:autoSpaceDE/>
        <w:autoSpaceDN/>
        <w:bidi w:val="0"/>
        <w:adjustRightInd/>
        <w:snapToGrid/>
        <w:spacing w:line="580" w:lineRule="exact"/>
        <w:ind w:firstLine="640"/>
        <w:textAlignment w:val="auto"/>
        <w:rPr>
          <w:rFonts w:hint="default" w:ascii="Nimbus Roman No9 L" w:hAnsi="Nimbus Roman No9 L" w:cs="Nimbus Roman No9 L"/>
          <w:bCs/>
          <w:szCs w:val="32"/>
        </w:rPr>
      </w:pPr>
      <w:r>
        <w:rPr>
          <w:rFonts w:hint="default" w:ascii="Nimbus Roman No9 L" w:hAnsi="Nimbus Roman No9 L" w:cs="Nimbus Roman No9 L"/>
          <w:kern w:val="0"/>
          <w:szCs w:val="32"/>
          <w:lang w:val="zh-CN"/>
        </w:rPr>
        <w:t>我国提出构建“双循环”新发展格局，坚持“制造强国”战略，要求滨海新区将工业高质量发展摆在核心位置。随着中美战略博弈升级、新型冠状病毒肺炎疫情常态化，国际环境不</w:t>
      </w:r>
      <w:r>
        <w:rPr>
          <w:rFonts w:hint="default" w:ascii="Nimbus Roman No9 L" w:hAnsi="Nimbus Roman No9 L" w:cs="Nimbus Roman No9 L"/>
          <w:bCs/>
          <w:szCs w:val="32"/>
        </w:rPr>
        <w:t>稳定不确定因素增加，保障产业链供应链稳定、实现关键核心技术自主可控愈发重要，我国提出构建以国内大循环为主体、国内国际双循环相互促进的新发展格局。在此背景下，十九届五中全会明确提出，坚持把创新摆在各项任务首位，把发展经济着力点放在实体经济上，坚定不移建设“制造强国、质量强国、网络强国、数字中国”，加速推进产业基础高级化和产业链现代化，</w:t>
      </w:r>
      <w:r>
        <w:rPr>
          <w:rFonts w:hint="default" w:ascii="Nimbus Roman No9 L" w:hAnsi="Nimbus Roman No9 L" w:cs="Nimbus Roman No9 L"/>
          <w:color w:val="333333"/>
          <w:shd w:val="clear" w:color="auto" w:fill="FFFFFF"/>
        </w:rPr>
        <w:t>加快推动绿色低碳发展，支持有条件的地方率先达到碳排放峰值</w:t>
      </w:r>
      <w:r>
        <w:rPr>
          <w:rFonts w:hint="default" w:ascii="Nimbus Roman No9 L" w:hAnsi="Nimbus Roman No9 L" w:cs="Nimbus Roman No9 L"/>
          <w:bCs/>
          <w:szCs w:val="32"/>
        </w:rPr>
        <w:t>。“十四五”时期，滨海新区要将工业高质量发展摆在核心位置，着力推动产业链供应链安全稳定和自主可控，积极构建绿色工业体系，巩固壮大实体经济发展根基。</w:t>
      </w:r>
    </w:p>
    <w:p>
      <w:pPr>
        <w:pageBreakBefore w:val="0"/>
        <w:widowControl w:val="0"/>
        <w:kinsoku/>
        <w:wordWrap/>
        <w:overflowPunct/>
        <w:topLinePunct w:val="0"/>
        <w:autoSpaceDE/>
        <w:autoSpaceDN/>
        <w:bidi w:val="0"/>
        <w:adjustRightInd/>
        <w:snapToGrid/>
        <w:spacing w:line="580" w:lineRule="exact"/>
        <w:ind w:firstLine="640"/>
        <w:textAlignment w:val="auto"/>
        <w:rPr>
          <w:rFonts w:hint="default" w:ascii="Nimbus Roman No9 L" w:hAnsi="Nimbus Roman No9 L" w:cs="Nimbus Roman No9 L"/>
          <w:bCs/>
          <w:szCs w:val="32"/>
        </w:rPr>
      </w:pPr>
      <w:r>
        <w:rPr>
          <w:rFonts w:hint="default" w:ascii="Nimbus Roman No9 L" w:hAnsi="Nimbus Roman No9 L" w:cs="Nimbus Roman No9 L"/>
          <w:bCs/>
          <w:szCs w:val="32"/>
        </w:rPr>
        <w:t>京津冀协同发展进入深化实施阶段，天津全国先进制造研发基地建设全面推进，要求滨海新区承担起打造世界级先进制造集群的重要使命。随着我国进入城市化时代，中心城市引领都市圈、城市群成为带动经济高质量发展的重要增长极，京津冀协同发展战略着力打造京津冀城市群、环首都都市圈，赋予天津市“一基地三区”功能定位。未来五年，是天津基本建成全国先进制造研发基地的最重要五年，工业高质量发展的引领带动作用要显著增强。为加快形成规模化的战略性新兴产业集群，京津冀三地工业和信息化部门签署了《进一步加强产业协同发展备忘录》，提出要瞄准新一代信息技术等领域，围绕创新链做强产业链，推进三地企业和关联产业间协同发展，联手打造世界级先进制造产业集群。滨海新区作为天津工业发展“领头羊”，要联动京、冀，担负起打造世界级先进制造业集群建设的重要使命，推进全国先进制造研发基地建设。</w:t>
      </w:r>
    </w:p>
    <w:p>
      <w:pPr>
        <w:pageBreakBefore w:val="0"/>
        <w:widowControl w:val="0"/>
        <w:kinsoku/>
        <w:wordWrap/>
        <w:overflowPunct/>
        <w:topLinePunct w:val="0"/>
        <w:autoSpaceDE/>
        <w:autoSpaceDN/>
        <w:bidi w:val="0"/>
        <w:adjustRightInd/>
        <w:snapToGrid/>
        <w:spacing w:line="580" w:lineRule="exact"/>
        <w:ind w:firstLine="640"/>
        <w:textAlignment w:val="auto"/>
        <w:rPr>
          <w:rFonts w:hint="default" w:ascii="Nimbus Roman No9 L" w:hAnsi="Nimbus Roman No9 L" w:cs="Nimbus Roman No9 L"/>
          <w:bCs/>
          <w:szCs w:val="32"/>
        </w:rPr>
      </w:pPr>
      <w:r>
        <w:rPr>
          <w:rFonts w:hint="default" w:ascii="Nimbus Roman No9 L" w:hAnsi="Nimbus Roman No9 L" w:cs="Nimbus Roman No9 L"/>
          <w:bCs/>
          <w:szCs w:val="32"/>
        </w:rPr>
        <w:t>天津市提出“制造业立市”，重构双城发展格局，要求滨海新区加强先进制造功能、加速推动工业高质量发展。天津市坚持“制造业立市”，围绕制造业高质量发展，提出构建新体系、打造新动能、发展新智造、布局新基建、培育新主体等“五新”举措，指明滨海新区工业高质量发展方向。为提升城市发展空间，天津提出塑造“津城”“滨城”双城发展格局，“滨城”战略的实质是加快推动滨海新区高质量发展,以滨海新区突围实现天津破局，这就要求滨海新区强化先进制造功能、发挥区域个性优势、增强城市综合配套能力。未来五年，滨海新区要深入实施“滨城”战略，紧跟天津市制造业高质量发展方向，向海挖掘新动能，着力构建现代工业产业体系，增强产业创新能力，推进工业与数字经济、与服务业融合发展。</w:t>
      </w:r>
    </w:p>
    <w:p>
      <w:pPr>
        <w:pageBreakBefore w:val="0"/>
        <w:widowControl w:val="0"/>
        <w:kinsoku/>
        <w:wordWrap/>
        <w:overflowPunct/>
        <w:topLinePunct w:val="0"/>
        <w:autoSpaceDE/>
        <w:autoSpaceDN/>
        <w:bidi w:val="0"/>
        <w:adjustRightInd/>
        <w:snapToGrid/>
        <w:spacing w:line="580" w:lineRule="exact"/>
        <w:ind w:firstLine="640"/>
        <w:textAlignment w:val="auto"/>
        <w:rPr>
          <w:rFonts w:hint="default" w:ascii="Nimbus Roman No9 L" w:hAnsi="Nimbus Roman No9 L" w:cs="Nimbus Roman No9 L"/>
          <w:bCs/>
          <w:szCs w:val="32"/>
        </w:rPr>
      </w:pPr>
      <w:r>
        <w:rPr>
          <w:rFonts w:hint="default" w:ascii="Nimbus Roman No9 L" w:hAnsi="Nimbus Roman No9 L" w:cs="Nimbus Roman No9 L"/>
          <w:bCs/>
          <w:szCs w:val="32"/>
        </w:rPr>
        <w:t>新时期新阶段，</w:t>
      </w:r>
      <w:bookmarkStart w:id="11" w:name="_Hlk62318457"/>
      <w:r>
        <w:rPr>
          <w:rFonts w:hint="default" w:ascii="Nimbus Roman No9 L" w:hAnsi="Nimbus Roman No9 L" w:cs="Nimbus Roman No9 L"/>
          <w:bCs/>
          <w:szCs w:val="32"/>
        </w:rPr>
        <w:t>工业经济向新经济转</w:t>
      </w:r>
      <w:bookmarkStart w:id="90" w:name="_GoBack"/>
      <w:bookmarkEnd w:id="90"/>
      <w:r>
        <w:rPr>
          <w:rFonts w:hint="default" w:ascii="Nimbus Roman No9 L" w:hAnsi="Nimbus Roman No9 L" w:cs="Nimbus Roman No9 L"/>
          <w:bCs/>
          <w:szCs w:val="32"/>
        </w:rPr>
        <w:t>变，跨界融合、爆发式增长成为最鲜明特征</w:t>
      </w:r>
      <w:bookmarkEnd w:id="11"/>
      <w:r>
        <w:rPr>
          <w:rFonts w:hint="default" w:ascii="Nimbus Roman No9 L" w:hAnsi="Nimbus Roman No9 L" w:cs="Nimbus Roman No9 L"/>
          <w:bCs/>
          <w:szCs w:val="32"/>
        </w:rPr>
        <w:t>。随着新一轮科技革命和产业变革加速演进，以人工智能、生命科学等为代表的颠覆性技术在全球创新高地爆发并广泛渗透到各个领域。新兴技术推动产业价值链不断分解和融合，</w:t>
      </w:r>
      <w:r>
        <w:rPr>
          <w:rFonts w:hint="default" w:ascii="Nimbus Roman No9 L" w:hAnsi="Nimbus Roman No9 L" w:cs="Nimbus Roman No9 L"/>
          <w:szCs w:val="32"/>
        </w:rPr>
        <w:t>产业边界逐渐模糊，产业数字化、智能化转型趋势明显，</w:t>
      </w:r>
      <w:r>
        <w:rPr>
          <w:rFonts w:hint="default" w:ascii="Nimbus Roman No9 L" w:hAnsi="Nimbus Roman No9 L" w:cs="Nimbus Roman No9 L"/>
        </w:rPr>
        <w:t>催生出</w:t>
      </w:r>
      <w:r>
        <w:rPr>
          <w:rFonts w:hint="default" w:ascii="Nimbus Roman No9 L" w:hAnsi="Nimbus Roman No9 L" w:cs="Nimbus Roman No9 L"/>
          <w:szCs w:val="32"/>
        </w:rPr>
        <w:t>数字经济、智能经济、海洋经济等</w:t>
      </w:r>
      <w:r>
        <w:rPr>
          <w:rFonts w:hint="default" w:ascii="Nimbus Roman No9 L" w:hAnsi="Nimbus Roman No9 L" w:cs="Nimbus Roman No9 L"/>
        </w:rPr>
        <w:t>具有爆发式成长潜力的新业态。</w:t>
      </w:r>
      <w:r>
        <w:rPr>
          <w:rFonts w:hint="default" w:ascii="Nimbus Roman No9 L" w:hAnsi="Nimbus Roman No9 L" w:cs="Nimbus Roman No9 L"/>
          <w:bCs/>
          <w:szCs w:val="32"/>
        </w:rPr>
        <w:t>智能网联汽车、智慧医疗、5G+工业互联网等新业态涌现，</w:t>
      </w:r>
      <w:r>
        <w:rPr>
          <w:rFonts w:hint="default" w:ascii="Nimbus Roman No9 L" w:hAnsi="Nimbus Roman No9 L" w:cs="Nimbus Roman No9 L"/>
        </w:rPr>
        <w:t>海洋经济成为各国争相抢占的科技制高点，新赛道</w:t>
      </w:r>
      <w:r>
        <w:rPr>
          <w:rFonts w:hint="default" w:ascii="Nimbus Roman No9 L" w:hAnsi="Nimbus Roman No9 L" w:cs="Nimbus Roman No9 L"/>
          <w:bCs/>
          <w:szCs w:val="32"/>
        </w:rPr>
        <w:t>成为新时期区域经济发展的重要动能。在这样的趋势下，滨海新区要立足区域个性，率先布局适宜区域发展的新赛道，把握爆发式成长机遇。</w:t>
      </w:r>
    </w:p>
    <w:p>
      <w:pPr>
        <w:pageBreakBefore w:val="0"/>
        <w:widowControl w:val="0"/>
        <w:kinsoku/>
        <w:wordWrap/>
        <w:overflowPunct/>
        <w:topLinePunct w:val="0"/>
        <w:autoSpaceDE/>
        <w:autoSpaceDN/>
        <w:bidi w:val="0"/>
        <w:adjustRightInd/>
        <w:snapToGrid/>
        <w:spacing w:line="580" w:lineRule="exact"/>
        <w:ind w:firstLine="640"/>
        <w:textAlignment w:val="auto"/>
        <w:rPr>
          <w:rFonts w:hint="default" w:ascii="Nimbus Roman No9 L" w:hAnsi="Nimbus Roman No9 L" w:cs="Nimbus Roman No9 L"/>
          <w:bCs/>
          <w:szCs w:val="32"/>
        </w:rPr>
      </w:pPr>
      <w:r>
        <w:rPr>
          <w:rFonts w:hint="default" w:ascii="Nimbus Roman No9 L" w:hAnsi="Nimbus Roman No9 L" w:cs="Nimbus Roman No9 L"/>
          <w:bCs/>
          <w:szCs w:val="32"/>
        </w:rPr>
        <w:t>随着工业经济形态和</w:t>
      </w:r>
      <w:bookmarkStart w:id="12" w:name="_Hlk62318501"/>
      <w:r>
        <w:rPr>
          <w:rFonts w:hint="default" w:ascii="Nimbus Roman No9 L" w:hAnsi="Nimbus Roman No9 L" w:cs="Nimbus Roman No9 L"/>
          <w:bCs/>
          <w:szCs w:val="32"/>
        </w:rPr>
        <w:t>产业规律变化，业界共治、产业促进机构等新模式成为区域工业发展的重要抓手</w:t>
      </w:r>
      <w:bookmarkEnd w:id="12"/>
      <w:r>
        <w:rPr>
          <w:rFonts w:hint="default" w:ascii="Nimbus Roman No9 L" w:hAnsi="Nimbus Roman No9 L" w:cs="Nimbus Roman No9 L"/>
          <w:bCs/>
          <w:szCs w:val="32"/>
        </w:rPr>
        <w:t>。工业经济形态从产业集聚、集群向产业生态转变，以政府为单一主体的传统产业组织方式逐渐难以满足新兴产业发展需求。上海、成都等先进地区开始率先探索主体多元的业界共治新型治理模式，集政府、专业机构、平台组织、头部企业等多方资源与一体的产业促进机构不断出现。工信部更以产业促进机构为抓手，开展先进制造业集群竞赛，培育一批有竞争力的先进制造业集群。“十四五”时期，滨海新区要紧紧把握工业发展规律，积极探索业界共治引领的产业促进新模式，营造良好产业生态。</w:t>
      </w:r>
    </w:p>
    <w:p>
      <w:pPr>
        <w:pageBreakBefore w:val="0"/>
        <w:widowControl w:val="0"/>
        <w:kinsoku/>
        <w:wordWrap/>
        <w:overflowPunct/>
        <w:topLinePunct w:val="0"/>
        <w:autoSpaceDE/>
        <w:autoSpaceDN/>
        <w:bidi w:val="0"/>
        <w:adjustRightInd/>
        <w:snapToGrid/>
        <w:spacing w:line="580" w:lineRule="exact"/>
        <w:ind w:firstLine="640"/>
        <w:textAlignment w:val="auto"/>
        <w:rPr>
          <w:rFonts w:hint="default" w:ascii="Nimbus Roman No9 L" w:hAnsi="Nimbus Roman No9 L" w:cs="Nimbus Roman No9 L"/>
          <w:bCs/>
          <w:szCs w:val="32"/>
        </w:rPr>
      </w:pPr>
      <w:r>
        <w:rPr>
          <w:rFonts w:hint="default" w:ascii="Nimbus Roman No9 L" w:hAnsi="Nimbus Roman No9 L" w:cs="Nimbus Roman No9 L"/>
          <w:bCs/>
          <w:szCs w:val="32"/>
        </w:rPr>
        <w:t>“十四五”时期，是滨海新区实现工业高质量发展的重要攻坚期。面向新趋势新要求，要坚决破除路径依赖，及时转变发展方式，探索工业高质量发展路径，做到“两个落实、三个顺应”：落实“制造强国”“制造强市”战略部署，发挥工业基础雄厚优势，突出工业高质量发展的核心地位；落实京津冀协同发展国家重大战略，加快全国先进制造研发基地中心区建设，承担起打造世界级先进制造集群的重要使命；顺应工业智能化、数字化、服务化发展趋势，加速存量产业转型升级，提升产业链现代化水平；顺应产业跨界融合趋势，培育新赛道新业态，奠定未来引领优势；顺应工业形态和规律变化趋势，探索产业促进新模式，营造良好产业生态。</w:t>
      </w:r>
      <w:bookmarkStart w:id="13" w:name="_Toc64906417"/>
      <w:bookmarkStart w:id="14" w:name="_Toc8337"/>
    </w:p>
    <w:p>
      <w:pPr>
        <w:pageBreakBefore w:val="0"/>
        <w:widowControl w:val="0"/>
        <w:kinsoku/>
        <w:wordWrap/>
        <w:overflowPunct/>
        <w:topLinePunct w:val="0"/>
        <w:autoSpaceDE/>
        <w:autoSpaceDN/>
        <w:bidi w:val="0"/>
        <w:adjustRightInd/>
        <w:snapToGrid/>
        <w:spacing w:line="580" w:lineRule="exact"/>
        <w:ind w:firstLine="640"/>
        <w:textAlignment w:val="auto"/>
        <w:outlineLvl w:val="0"/>
        <w:rPr>
          <w:rFonts w:hint="default" w:ascii="Nimbus Roman No9 L" w:hAnsi="Nimbus Roman No9 L" w:eastAsia="黑体" w:cs="Nimbus Roman No9 L"/>
          <w:szCs w:val="32"/>
        </w:rPr>
      </w:pPr>
      <w:r>
        <w:rPr>
          <w:rFonts w:hint="default" w:ascii="Nimbus Roman No9 L" w:hAnsi="Nimbus Roman No9 L" w:eastAsia="黑体" w:cs="Nimbus Roman No9 L"/>
          <w:szCs w:val="32"/>
        </w:rPr>
        <w:t>二、凝聚共识，明确总体思路目标</w:t>
      </w:r>
      <w:bookmarkEnd w:id="8"/>
      <w:bookmarkEnd w:id="13"/>
      <w:bookmarkEnd w:id="14"/>
    </w:p>
    <w:p>
      <w:pPr>
        <w:pStyle w:val="4"/>
        <w:pageBreakBefore w:val="0"/>
        <w:widowControl w:val="0"/>
        <w:kinsoku/>
        <w:wordWrap/>
        <w:overflowPunct/>
        <w:topLinePunct w:val="0"/>
        <w:autoSpaceDE/>
        <w:autoSpaceDN/>
        <w:bidi w:val="0"/>
        <w:adjustRightInd/>
        <w:snapToGrid/>
        <w:spacing w:line="580" w:lineRule="exact"/>
        <w:ind w:firstLine="640"/>
        <w:textAlignment w:val="auto"/>
        <w:rPr>
          <w:rFonts w:hint="default" w:ascii="Nimbus Roman No9 L" w:hAnsi="Nimbus Roman No9 L" w:cs="Nimbus Roman No9 L"/>
          <w:b w:val="0"/>
          <w:bCs w:val="0"/>
        </w:rPr>
      </w:pPr>
      <w:bookmarkStart w:id="15" w:name="_Toc61276428"/>
      <w:bookmarkStart w:id="16" w:name="_Toc64906418"/>
      <w:bookmarkStart w:id="17" w:name="_Toc10559"/>
      <w:r>
        <w:rPr>
          <w:rFonts w:hint="default" w:ascii="Nimbus Roman No9 L" w:hAnsi="Nimbus Roman No9 L" w:cs="Nimbus Roman No9 L"/>
          <w:b w:val="0"/>
          <w:bCs w:val="0"/>
        </w:rPr>
        <w:t>（一）</w:t>
      </w:r>
      <w:bookmarkEnd w:id="15"/>
      <w:r>
        <w:rPr>
          <w:rFonts w:hint="default" w:ascii="Nimbus Roman No9 L" w:hAnsi="Nimbus Roman No9 L" w:cs="Nimbus Roman No9 L"/>
          <w:b w:val="0"/>
          <w:bCs w:val="0"/>
        </w:rPr>
        <w:t>发展思路</w:t>
      </w:r>
      <w:bookmarkEnd w:id="16"/>
      <w:bookmarkEnd w:id="17"/>
    </w:p>
    <w:p>
      <w:pPr>
        <w:pageBreakBefore w:val="0"/>
        <w:widowControl w:val="0"/>
        <w:kinsoku/>
        <w:wordWrap/>
        <w:overflowPunct/>
        <w:topLinePunct w:val="0"/>
        <w:autoSpaceDE/>
        <w:autoSpaceDN/>
        <w:bidi w:val="0"/>
        <w:adjustRightInd/>
        <w:snapToGrid/>
        <w:spacing w:line="580" w:lineRule="exact"/>
        <w:ind w:firstLine="640"/>
        <w:textAlignment w:val="auto"/>
        <w:rPr>
          <w:rFonts w:hint="default" w:ascii="Nimbus Roman No9 L" w:hAnsi="Nimbus Roman No9 L" w:cs="Nimbus Roman No9 L"/>
        </w:rPr>
      </w:pPr>
      <w:r>
        <w:rPr>
          <w:rFonts w:hint="default" w:ascii="Nimbus Roman No9 L" w:hAnsi="Nimbus Roman No9 L" w:cs="Nimbus Roman No9 L"/>
        </w:rPr>
        <w:t>坚持以习近平新时代中国特色社会主义思想为指导，全面贯彻党的十九大和十九届二中、三中、四中、五中全会精神，以习近平总书记对天津工作提出的“三个着力”重要要求和一系列重要指示批示精神为元为纲，牢固树立新发展理念，落实“制造业立市”“制造强区”战略部署，以“滨城”建设为统领，以推动高质量发展为主题，以深化供给侧结构性改革为主线，以信创产业为主攻方向，以培育具有竞争力的先进制造业集群为突破点，着力构建“1+3+4”和海洋经济为特色的现代化工业体系，加速布局跨界融合的新赛道新业态，深入推进工业高端化、智能化、服务化、绿色化发展，积极探索以产业生态为核心、以业界共治为抓手、以新基建新场景为支撑的产业促进新模式，统筹推进产业基础高级化和产业链现代化，加快建设全国先进制造研发基地中心区，引领天津市工业高质量发展。</w:t>
      </w:r>
    </w:p>
    <w:p>
      <w:pPr>
        <w:pStyle w:val="4"/>
        <w:pageBreakBefore w:val="0"/>
        <w:widowControl w:val="0"/>
        <w:kinsoku/>
        <w:wordWrap/>
        <w:overflowPunct/>
        <w:topLinePunct w:val="0"/>
        <w:autoSpaceDE/>
        <w:autoSpaceDN/>
        <w:bidi w:val="0"/>
        <w:adjustRightInd/>
        <w:snapToGrid/>
        <w:spacing w:line="580" w:lineRule="exact"/>
        <w:ind w:firstLine="640"/>
        <w:textAlignment w:val="auto"/>
        <w:rPr>
          <w:rFonts w:hint="default" w:ascii="Nimbus Roman No9 L" w:hAnsi="Nimbus Roman No9 L" w:cs="Nimbus Roman No9 L"/>
          <w:b w:val="0"/>
          <w:bCs w:val="0"/>
        </w:rPr>
      </w:pPr>
      <w:bookmarkStart w:id="18" w:name="_Toc64906419"/>
      <w:bookmarkStart w:id="19" w:name="_Toc21664"/>
      <w:bookmarkStart w:id="20" w:name="_Toc61276429"/>
      <w:r>
        <w:rPr>
          <w:rFonts w:hint="default" w:ascii="Nimbus Roman No9 L" w:hAnsi="Nimbus Roman No9 L" w:cs="Nimbus Roman No9 L"/>
          <w:b w:val="0"/>
          <w:bCs w:val="0"/>
        </w:rPr>
        <w:t>（二）发展路径</w:t>
      </w:r>
      <w:bookmarkEnd w:id="18"/>
      <w:bookmarkEnd w:id="19"/>
      <w:bookmarkEnd w:id="20"/>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rPr>
      </w:pPr>
      <w:r>
        <w:rPr>
          <w:rFonts w:hint="default" w:ascii="Nimbus Roman No9 L" w:hAnsi="Nimbus Roman No9 L" w:cs="Nimbus Roman No9 L"/>
          <w:b/>
          <w:bCs/>
        </w:rPr>
        <w:t>内生发展，增强产业创新动力。</w:t>
      </w:r>
      <w:r>
        <w:rPr>
          <w:rFonts w:hint="default" w:ascii="Nimbus Roman No9 L" w:hAnsi="Nimbus Roman No9 L" w:cs="Nimbus Roman No9 L"/>
        </w:rPr>
        <w:t>强化创新驱动作用，把创新作为产业培育壮大核心动力，提升产业创新能力；坚持摆脱路径依赖，营造活跃的产业生态，优化产业创新发展环境；加强企业主体培育，激发民营经济活力，培育一批根植性强、发展后劲足、具有国际影响力的创新主体。</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rPr>
      </w:pPr>
      <w:r>
        <w:rPr>
          <w:rFonts w:hint="default" w:ascii="Nimbus Roman No9 L" w:hAnsi="Nimbus Roman No9 L" w:cs="Nimbus Roman No9 L"/>
          <w:b/>
          <w:bCs/>
        </w:rPr>
        <w:t>融合发展，激发高质量新动能。</w:t>
      </w:r>
      <w:r>
        <w:rPr>
          <w:rFonts w:hint="default" w:ascii="Nimbus Roman No9 L" w:hAnsi="Nimbus Roman No9 L" w:cs="Nimbus Roman No9 L"/>
        </w:rPr>
        <w:t>把握工业经济向新经济演进趋势，前瞻布局跨界融合催生的新赛道新业态，培育新的经济增长点；推进工业与信息技术、现代服务业深度融合，充分运用新技术为优势产业赋能；锚定“碳达峰、碳中和”目标，加快重点行业和重点领域绿色化改造，提升工业智能化、服务化、绿色化水平。</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szCs w:val="32"/>
        </w:rPr>
      </w:pPr>
      <w:r>
        <w:rPr>
          <w:rFonts w:hint="default" w:ascii="Nimbus Roman No9 L" w:hAnsi="Nimbus Roman No9 L" w:cs="Nimbus Roman No9 L"/>
          <w:b/>
          <w:bCs/>
        </w:rPr>
        <w:t>统筹发展，提升产业服务能级。</w:t>
      </w:r>
      <w:r>
        <w:rPr>
          <w:rFonts w:hint="default" w:ascii="Nimbus Roman No9 L" w:hAnsi="Nimbus Roman No9 L" w:cs="Nimbus Roman No9 L"/>
          <w:szCs w:val="32"/>
        </w:rPr>
        <w:t>统筹推进产业基础高级化和产业链现代化，围绕产业链部署创新链,围绕创新链布局产业链；统筹优化全区工业布局，加快港产城融合发展，推进五大开发区和街镇园区协调发展，梯次布局若干特色主题园；统筹推进工业经济高质量发展，发挥产业（人才）联盟作用，探索新型产业促进模式，转变工业发展方式。</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rPr>
      </w:pPr>
      <w:r>
        <w:rPr>
          <w:rFonts w:hint="default" w:ascii="Nimbus Roman No9 L" w:hAnsi="Nimbus Roman No9 L" w:cs="Nimbus Roman No9 L"/>
          <w:b/>
          <w:bCs/>
        </w:rPr>
        <w:t>开放发展，促进高端要素融通。</w:t>
      </w:r>
      <w:r>
        <w:rPr>
          <w:rFonts w:hint="default" w:ascii="Nimbus Roman No9 L" w:hAnsi="Nimbus Roman No9 L" w:cs="Nimbus Roman No9 L"/>
        </w:rPr>
        <w:t>紧抓京津冀协同发展战略机遇，积极承接北京非首都功能疏解，加强产业创新平台共建共享，协同打造世界级先进制造业集群；立足“双循环”新发展格局，大力拓展国内市场需求，扩大对外链接合作深度，提升产业创新资源全球配置能力。</w:t>
      </w:r>
    </w:p>
    <w:p>
      <w:pPr>
        <w:pStyle w:val="4"/>
        <w:pageBreakBefore w:val="0"/>
        <w:widowControl w:val="0"/>
        <w:kinsoku/>
        <w:wordWrap/>
        <w:overflowPunct/>
        <w:topLinePunct w:val="0"/>
        <w:autoSpaceDE/>
        <w:autoSpaceDN/>
        <w:bidi w:val="0"/>
        <w:adjustRightInd/>
        <w:snapToGrid/>
        <w:spacing w:line="580" w:lineRule="exact"/>
        <w:ind w:firstLine="640"/>
        <w:textAlignment w:val="auto"/>
        <w:rPr>
          <w:rFonts w:hint="default" w:ascii="Nimbus Roman No9 L" w:hAnsi="Nimbus Roman No9 L" w:cs="Nimbus Roman No9 L"/>
          <w:b w:val="0"/>
          <w:bCs w:val="0"/>
        </w:rPr>
      </w:pPr>
      <w:bookmarkStart w:id="21" w:name="_Toc64906420"/>
      <w:bookmarkStart w:id="22" w:name="_Toc25521"/>
      <w:r>
        <w:rPr>
          <w:rFonts w:hint="default" w:ascii="Nimbus Roman No9 L" w:hAnsi="Nimbus Roman No9 L" w:cs="Nimbus Roman No9 L"/>
          <w:b w:val="0"/>
          <w:bCs w:val="0"/>
        </w:rPr>
        <w:t>（三）发展目标</w:t>
      </w:r>
      <w:bookmarkEnd w:id="21"/>
      <w:bookmarkEnd w:id="22"/>
    </w:p>
    <w:p>
      <w:pPr>
        <w:pageBreakBefore w:val="0"/>
        <w:widowControl w:val="0"/>
        <w:kinsoku/>
        <w:wordWrap/>
        <w:overflowPunct/>
        <w:topLinePunct w:val="0"/>
        <w:autoSpaceDE/>
        <w:autoSpaceDN/>
        <w:bidi w:val="0"/>
        <w:adjustRightInd/>
        <w:snapToGrid/>
        <w:spacing w:line="580" w:lineRule="exact"/>
        <w:ind w:firstLine="640"/>
        <w:textAlignment w:val="auto"/>
        <w:rPr>
          <w:rFonts w:hint="default" w:ascii="Nimbus Roman No9 L" w:hAnsi="Nimbus Roman No9 L" w:cs="Nimbus Roman No9 L"/>
        </w:rPr>
      </w:pPr>
      <w:r>
        <w:rPr>
          <w:rFonts w:hint="default" w:ascii="Nimbus Roman No9 L" w:hAnsi="Nimbus Roman No9 L" w:cs="Nimbus Roman No9 L"/>
        </w:rPr>
        <w:t>到2025年，基本建成全国先进制造研发基地中心区，工业发展质量效益持续提升，内生动力更加强劲。</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rPr>
      </w:pPr>
      <w:r>
        <w:rPr>
          <w:rFonts w:hint="default" w:ascii="Nimbus Roman No9 L" w:hAnsi="Nimbus Roman No9 L" w:cs="Nimbus Roman No9 L"/>
          <w:b/>
          <w:bCs/>
        </w:rPr>
        <w:t>产业集群形成国际影响力。</w:t>
      </w:r>
      <w:r>
        <w:rPr>
          <w:rFonts w:hint="default" w:ascii="Nimbus Roman No9 L" w:hAnsi="Nimbus Roman No9 L" w:cs="Nimbus Roman No9 L"/>
        </w:rPr>
        <w:t>工业规模稳步发展，工业增加值增速保持在合理区间；培育形成具有世界级竞争力的先进制造集群，研发制造能力强大，产业价值链占据高端，辐射带动作用明显；“1+3+4”和海洋经济为特色的现代工业体系全面形成，产业链高级化和现代化水平不断提升；新赛道布局成效初显，形成引领世界发展趋势的原创性新兴产业。</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rPr>
      </w:pPr>
      <w:r>
        <w:rPr>
          <w:rFonts w:hint="default" w:ascii="Nimbus Roman No9 L" w:hAnsi="Nimbus Roman No9 L" w:cs="Nimbus Roman No9 L"/>
          <w:b/>
          <w:bCs/>
        </w:rPr>
        <w:t>创新主体能级和活力显著增强。</w:t>
      </w:r>
      <w:r>
        <w:rPr>
          <w:rFonts w:hint="default" w:ascii="Nimbus Roman No9 L" w:hAnsi="Nimbus Roman No9 L" w:cs="Nimbus Roman No9 L"/>
        </w:rPr>
        <w:t>科技型企业能级明显提升，育成一批具有国际影响力的创新型领军企业，国高新、国科小企业群体不断壮大；高成长企业加速聚集，哪吒、瞪羚、独角兽等新物种群体性集聚；专精特新和单项冠军企业蓬勃发展，形成若干创新引领的排头兵企业；民营企业贡献不断增强，民营经济增加值占地区生产总值比重提升。</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rPr>
      </w:pPr>
      <w:r>
        <w:rPr>
          <w:rFonts w:hint="default" w:ascii="Nimbus Roman No9 L" w:hAnsi="Nimbus Roman No9 L" w:cs="Nimbus Roman No9 L"/>
          <w:b/>
          <w:bCs/>
        </w:rPr>
        <w:t>产业创新发展取得明显成效。</w:t>
      </w:r>
      <w:r>
        <w:rPr>
          <w:rFonts w:hint="default" w:ascii="Nimbus Roman No9 L" w:hAnsi="Nimbus Roman No9 L" w:cs="Nimbus Roman No9 L"/>
        </w:rPr>
        <w:t>产业创新生态不断优化，政产学研用协同创新体系不断完善，建成一批高能级创新平台，育成一批服务能力强、带动作用大的产业促进机构；产业创新能力不断增强，成功突破一批“卡脖子”关键技术，形成一批拥有自主知识产权的高新技术产品，工业企业研发投入占比提高。</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b/>
          <w:bCs/>
        </w:rPr>
      </w:pPr>
      <w:r>
        <w:rPr>
          <w:rFonts w:hint="default" w:ascii="Nimbus Roman No9 L" w:hAnsi="Nimbus Roman No9 L" w:cs="Nimbus Roman No9 L"/>
          <w:b/>
          <w:bCs/>
        </w:rPr>
        <w:t>工业转型升级催生发展新动能。</w:t>
      </w:r>
      <w:r>
        <w:rPr>
          <w:rFonts w:hint="default" w:ascii="Nimbus Roman No9 L" w:hAnsi="Nimbus Roman No9 L" w:cs="Nimbus Roman No9 L"/>
        </w:rPr>
        <w:t>工业与信息技术融合水平显著提升，数字化制造基本实现，网络化制造全面推广，形成一批具有较强示范作用的标杆性场景；两业融合发展迈出新步伐，服务型制造深度应用；绿色发展水平不断提高，国家级绿色园区、绿色工厂建设深入推进，万元工业增加值能耗降幅完成国家任务。</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rPr>
      </w:pPr>
      <w:r>
        <w:rPr>
          <w:rFonts w:hint="default" w:ascii="Nimbus Roman No9 L" w:hAnsi="Nimbus Roman No9 L" w:cs="Nimbus Roman No9 L"/>
          <w:b/>
          <w:bCs/>
        </w:rPr>
        <w:t>空间布局优化土地效能提升。</w:t>
      </w:r>
      <w:r>
        <w:rPr>
          <w:rFonts w:hint="default" w:ascii="Nimbus Roman No9 L" w:hAnsi="Nimbus Roman No9 L" w:cs="Nimbus Roman No9 L"/>
        </w:rPr>
        <w:t>“一核两带多片区”的工业发展空间格局基本形成，五大开发区与街道园区协调发展；打造一批有主题、有灵魂的特色园区，“港、产、城、科、人、文”融合发展深入推进；土地资源节约集约高效利用深入推进，工业用地产出效率显著提升。</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rPr>
      </w:pPr>
      <w:r>
        <w:rPr>
          <w:rFonts w:hint="default" w:ascii="Nimbus Roman No9 L" w:hAnsi="Nimbus Roman No9 L" w:cs="Nimbus Roman No9 L"/>
          <w:b/>
          <w:bCs/>
        </w:rPr>
        <w:t>开放合作取得更高水平新突破。</w:t>
      </w:r>
      <w:r>
        <w:rPr>
          <w:rFonts w:hint="default" w:ascii="Nimbus Roman No9 L" w:hAnsi="Nimbus Roman No9 L" w:cs="Nimbus Roman No9 L"/>
        </w:rPr>
        <w:t>全面融入“双循环”新发展格局，在全国、全球范围内配置资源能力进一步增强，开放型经济优势更加突出，实现外贸进出口总额稳步增长；京津冀协同发展深入推进，滨海-中关村科技园等重点京津冀合作载体建设取得明显成效，大力承接北京非首都功能项目。</w:t>
      </w:r>
    </w:p>
    <w:p>
      <w:pPr>
        <w:pageBreakBefore w:val="0"/>
        <w:widowControl w:val="0"/>
        <w:kinsoku/>
        <w:wordWrap/>
        <w:overflowPunct/>
        <w:topLinePunct w:val="0"/>
        <w:autoSpaceDE/>
        <w:autoSpaceDN/>
        <w:bidi w:val="0"/>
        <w:adjustRightInd/>
        <w:snapToGrid/>
        <w:spacing w:line="580" w:lineRule="exact"/>
        <w:ind w:firstLine="0" w:firstLineChars="0"/>
        <w:jc w:val="center"/>
        <w:textAlignment w:val="auto"/>
        <w:rPr>
          <w:rFonts w:hint="default" w:ascii="Nimbus Roman No9 L" w:hAnsi="Nimbus Roman No9 L" w:cs="Nimbus Roman No9 L"/>
          <w:b/>
        </w:rPr>
      </w:pPr>
      <w:r>
        <w:rPr>
          <w:rFonts w:hint="default" w:ascii="Nimbus Roman No9 L" w:hAnsi="Nimbus Roman No9 L" w:cs="Nimbus Roman No9 L"/>
          <w:b/>
        </w:rPr>
        <w:t>表1 天津滨海新区“十四五”重点指标体系</w:t>
      </w:r>
    </w:p>
    <w:tbl>
      <w:tblPr>
        <w:tblStyle w:val="15"/>
        <w:tblW w:w="81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5"/>
        <w:gridCol w:w="4385"/>
        <w:gridCol w:w="1418"/>
        <w:gridCol w:w="14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tblHeader/>
          <w:jc w:val="center"/>
        </w:trPr>
        <w:tc>
          <w:tcPr>
            <w:tcW w:w="855"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b/>
                <w:bCs/>
                <w:sz w:val="24"/>
                <w:szCs w:val="24"/>
              </w:rPr>
              <w:t>类别</w:t>
            </w:r>
          </w:p>
        </w:tc>
        <w:tc>
          <w:tcPr>
            <w:tcW w:w="4385"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b/>
                <w:bCs/>
                <w:sz w:val="24"/>
                <w:szCs w:val="24"/>
              </w:rPr>
              <w:t>指标名称</w:t>
            </w:r>
          </w:p>
        </w:tc>
        <w:tc>
          <w:tcPr>
            <w:tcW w:w="1418"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b/>
                <w:bCs/>
                <w:sz w:val="24"/>
                <w:szCs w:val="24"/>
              </w:rPr>
              <w:t>2020年</w:t>
            </w:r>
          </w:p>
        </w:tc>
        <w:tc>
          <w:tcPr>
            <w:tcW w:w="1499"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b/>
                <w:bCs/>
                <w:sz w:val="24"/>
                <w:szCs w:val="24"/>
              </w:rPr>
              <w:t>2025年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blHeader/>
          <w:jc w:val="center"/>
        </w:trPr>
        <w:tc>
          <w:tcPr>
            <w:tcW w:w="855" w:type="dxa"/>
            <w:vMerge w:val="restart"/>
            <w:vAlign w:val="center"/>
          </w:tcPr>
          <w:p>
            <w:pPr>
              <w:spacing w:line="240" w:lineRule="auto"/>
              <w:ind w:firstLine="0" w:firstLineChars="0"/>
              <w:rPr>
                <w:rFonts w:hint="default" w:ascii="Nimbus Roman No9 L" w:hAnsi="Nimbus Roman No9 L" w:cs="Nimbus Roman No9 L"/>
                <w:b/>
                <w:bCs/>
                <w:sz w:val="24"/>
                <w:szCs w:val="24"/>
              </w:rPr>
            </w:pPr>
            <w:r>
              <w:rPr>
                <w:rFonts w:hint="default" w:ascii="Nimbus Roman No9 L" w:hAnsi="Nimbus Roman No9 L" w:cs="Nimbus Roman No9 L"/>
                <w:b/>
                <w:bCs/>
                <w:sz w:val="24"/>
                <w:szCs w:val="24"/>
              </w:rPr>
              <w:t>产业</w:t>
            </w:r>
          </w:p>
          <w:p>
            <w:pPr>
              <w:spacing w:line="240" w:lineRule="auto"/>
              <w:ind w:firstLine="0" w:firstLineChars="0"/>
              <w:rPr>
                <w:rFonts w:hint="default" w:ascii="Nimbus Roman No9 L" w:hAnsi="Nimbus Roman No9 L" w:cs="Nimbus Roman No9 L"/>
                <w:b/>
                <w:bCs/>
                <w:sz w:val="24"/>
                <w:szCs w:val="24"/>
              </w:rPr>
            </w:pPr>
            <w:r>
              <w:rPr>
                <w:rFonts w:hint="default" w:ascii="Nimbus Roman No9 L" w:hAnsi="Nimbus Roman No9 L" w:cs="Nimbus Roman No9 L"/>
                <w:b/>
                <w:bCs/>
                <w:sz w:val="24"/>
                <w:szCs w:val="24"/>
              </w:rPr>
              <w:t>集群</w:t>
            </w:r>
          </w:p>
        </w:tc>
        <w:tc>
          <w:tcPr>
            <w:tcW w:w="4385" w:type="dxa"/>
            <w:shd w:val="clear" w:color="auto" w:fill="auto"/>
            <w:vAlign w:val="center"/>
          </w:tcPr>
          <w:p>
            <w:pPr>
              <w:spacing w:line="240" w:lineRule="auto"/>
              <w:ind w:firstLine="0" w:firstLineChars="0"/>
              <w:rPr>
                <w:rFonts w:hint="default" w:ascii="Nimbus Roman No9 L" w:hAnsi="Nimbus Roman No9 L" w:cs="Nimbus Roman No9 L"/>
                <w:sz w:val="24"/>
                <w:szCs w:val="24"/>
              </w:rPr>
            </w:pPr>
            <w:r>
              <w:rPr>
                <w:rFonts w:hint="default" w:ascii="Nimbus Roman No9 L" w:hAnsi="Nimbus Roman No9 L" w:cs="Nimbus Roman No9 L"/>
                <w:sz w:val="24"/>
                <w:szCs w:val="24"/>
              </w:rPr>
              <w:t>工业增加值增长率（%）</w:t>
            </w:r>
          </w:p>
        </w:tc>
        <w:tc>
          <w:tcPr>
            <w:tcW w:w="1418"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2左右</w:t>
            </w:r>
          </w:p>
        </w:tc>
        <w:tc>
          <w:tcPr>
            <w:tcW w:w="1499"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6.5以上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blHeader/>
          <w:jc w:val="center"/>
        </w:trPr>
        <w:tc>
          <w:tcPr>
            <w:tcW w:w="855" w:type="dxa"/>
            <w:vMerge w:val="continue"/>
            <w:vAlign w:val="center"/>
          </w:tcPr>
          <w:p>
            <w:pPr>
              <w:spacing w:line="240" w:lineRule="auto"/>
              <w:ind w:firstLine="0" w:firstLineChars="0"/>
              <w:rPr>
                <w:rFonts w:hint="default" w:ascii="Nimbus Roman No9 L" w:hAnsi="Nimbus Roman No9 L" w:cs="Nimbus Roman No9 L"/>
                <w:sz w:val="24"/>
                <w:szCs w:val="24"/>
              </w:rPr>
            </w:pPr>
          </w:p>
        </w:tc>
        <w:tc>
          <w:tcPr>
            <w:tcW w:w="4385" w:type="dxa"/>
            <w:shd w:val="clear" w:color="auto" w:fill="auto"/>
            <w:vAlign w:val="center"/>
          </w:tcPr>
          <w:p>
            <w:pPr>
              <w:spacing w:line="240" w:lineRule="auto"/>
              <w:ind w:firstLine="0" w:firstLineChars="0"/>
              <w:rPr>
                <w:rFonts w:hint="default" w:ascii="Nimbus Roman No9 L" w:hAnsi="Nimbus Roman No9 L" w:cs="Nimbus Roman No9 L"/>
                <w:sz w:val="24"/>
                <w:szCs w:val="24"/>
              </w:rPr>
            </w:pPr>
            <w:r>
              <w:rPr>
                <w:rFonts w:hint="default" w:ascii="Nimbus Roman No9 L" w:hAnsi="Nimbus Roman No9 L" w:cs="Nimbus Roman No9 L"/>
                <w:sz w:val="24"/>
                <w:szCs w:val="24"/>
              </w:rPr>
              <w:t>制造业增加值占地区生产总值比重（%）</w:t>
            </w:r>
          </w:p>
        </w:tc>
        <w:tc>
          <w:tcPr>
            <w:tcW w:w="1418"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22</w:t>
            </w:r>
          </w:p>
        </w:tc>
        <w:tc>
          <w:tcPr>
            <w:tcW w:w="1499"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25以上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8" w:hRule="atLeast"/>
          <w:tblHeader/>
          <w:jc w:val="center"/>
        </w:trPr>
        <w:tc>
          <w:tcPr>
            <w:tcW w:w="855" w:type="dxa"/>
            <w:vMerge w:val="continue"/>
            <w:vAlign w:val="center"/>
          </w:tcPr>
          <w:p>
            <w:pPr>
              <w:spacing w:line="240" w:lineRule="auto"/>
              <w:ind w:firstLine="0" w:firstLineChars="0"/>
              <w:rPr>
                <w:rFonts w:hint="default" w:ascii="Nimbus Roman No9 L" w:hAnsi="Nimbus Roman No9 L" w:cs="Nimbus Roman No9 L"/>
                <w:sz w:val="24"/>
                <w:szCs w:val="24"/>
              </w:rPr>
            </w:pPr>
          </w:p>
        </w:tc>
        <w:tc>
          <w:tcPr>
            <w:tcW w:w="4385" w:type="dxa"/>
            <w:shd w:val="clear" w:color="auto" w:fill="auto"/>
            <w:vAlign w:val="center"/>
          </w:tcPr>
          <w:p>
            <w:pPr>
              <w:spacing w:line="240" w:lineRule="auto"/>
              <w:ind w:firstLine="0" w:firstLineChars="0"/>
              <w:rPr>
                <w:rFonts w:hint="default" w:ascii="Nimbus Roman No9 L" w:hAnsi="Nimbus Roman No9 L" w:cs="Nimbus Roman No9 L"/>
                <w:sz w:val="24"/>
                <w:szCs w:val="24"/>
              </w:rPr>
            </w:pPr>
            <w:r>
              <w:rPr>
                <w:rFonts w:hint="default" w:ascii="Nimbus Roman No9 L" w:hAnsi="Nimbus Roman No9 L" w:cs="Nimbus Roman No9 L"/>
                <w:sz w:val="24"/>
                <w:szCs w:val="24"/>
              </w:rPr>
              <w:t>工业战略性新兴产业增加值占规上工业比重（%）</w:t>
            </w:r>
          </w:p>
        </w:tc>
        <w:tc>
          <w:tcPr>
            <w:tcW w:w="1418"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27</w:t>
            </w:r>
          </w:p>
        </w:tc>
        <w:tc>
          <w:tcPr>
            <w:tcW w:w="1499"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41以上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6" w:hRule="atLeast"/>
          <w:tblHeader/>
          <w:jc w:val="center"/>
        </w:trPr>
        <w:tc>
          <w:tcPr>
            <w:tcW w:w="855" w:type="dxa"/>
            <w:vMerge w:val="continue"/>
            <w:vAlign w:val="center"/>
          </w:tcPr>
          <w:p>
            <w:pPr>
              <w:spacing w:line="240" w:lineRule="auto"/>
              <w:ind w:firstLine="0" w:firstLineChars="0"/>
              <w:rPr>
                <w:rFonts w:hint="default" w:ascii="Nimbus Roman No9 L" w:hAnsi="Nimbus Roman No9 L" w:cs="Nimbus Roman No9 L"/>
                <w:sz w:val="24"/>
                <w:szCs w:val="24"/>
              </w:rPr>
            </w:pPr>
          </w:p>
        </w:tc>
        <w:tc>
          <w:tcPr>
            <w:tcW w:w="4385" w:type="dxa"/>
            <w:shd w:val="clear" w:color="auto" w:fill="auto"/>
            <w:vAlign w:val="center"/>
          </w:tcPr>
          <w:p>
            <w:pPr>
              <w:spacing w:line="240" w:lineRule="auto"/>
              <w:ind w:firstLine="0" w:firstLineChars="0"/>
              <w:rPr>
                <w:rFonts w:hint="default" w:ascii="Nimbus Roman No9 L" w:hAnsi="Nimbus Roman No9 L" w:cs="Nimbus Roman No9 L"/>
                <w:sz w:val="24"/>
                <w:szCs w:val="24"/>
              </w:rPr>
            </w:pPr>
            <w:r>
              <w:rPr>
                <w:rFonts w:hint="default" w:ascii="Nimbus Roman No9 L" w:hAnsi="Nimbus Roman No9 L" w:cs="Nimbus Roman No9 L"/>
                <w:sz w:val="24"/>
                <w:szCs w:val="24"/>
              </w:rPr>
              <w:t>高技术产业（制造业）增加值占规上工业比重（%）</w:t>
            </w:r>
          </w:p>
        </w:tc>
        <w:tc>
          <w:tcPr>
            <w:tcW w:w="1418"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17.5</w:t>
            </w:r>
          </w:p>
        </w:tc>
        <w:tc>
          <w:tcPr>
            <w:tcW w:w="1499"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32以上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blHeader/>
          <w:jc w:val="center"/>
        </w:trPr>
        <w:tc>
          <w:tcPr>
            <w:tcW w:w="855" w:type="dxa"/>
            <w:vMerge w:val="continue"/>
            <w:vAlign w:val="center"/>
          </w:tcPr>
          <w:p>
            <w:pPr>
              <w:spacing w:line="240" w:lineRule="auto"/>
              <w:ind w:firstLine="0" w:firstLineChars="0"/>
              <w:rPr>
                <w:rFonts w:hint="default" w:ascii="Nimbus Roman No9 L" w:hAnsi="Nimbus Roman No9 L" w:cs="Nimbus Roman No9 L"/>
                <w:sz w:val="24"/>
                <w:szCs w:val="24"/>
              </w:rPr>
            </w:pPr>
          </w:p>
        </w:tc>
        <w:tc>
          <w:tcPr>
            <w:tcW w:w="4385" w:type="dxa"/>
            <w:shd w:val="clear" w:color="auto" w:fill="auto"/>
            <w:vAlign w:val="center"/>
          </w:tcPr>
          <w:p>
            <w:pPr>
              <w:spacing w:line="240" w:lineRule="auto"/>
              <w:ind w:firstLine="0" w:firstLineChars="0"/>
              <w:rPr>
                <w:rFonts w:hint="default" w:ascii="Nimbus Roman No9 L" w:hAnsi="Nimbus Roman No9 L" w:cs="Nimbus Roman No9 L"/>
                <w:sz w:val="24"/>
                <w:szCs w:val="24"/>
              </w:rPr>
            </w:pPr>
            <w:r>
              <w:rPr>
                <w:rFonts w:hint="default" w:ascii="Nimbus Roman No9 L" w:hAnsi="Nimbus Roman No9 L" w:cs="Nimbus Roman No9 L"/>
                <w:sz w:val="24"/>
                <w:szCs w:val="24"/>
              </w:rPr>
              <w:t>天津市特色主题园区（个）</w:t>
            </w:r>
          </w:p>
        </w:tc>
        <w:tc>
          <w:tcPr>
            <w:tcW w:w="1418"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0</w:t>
            </w:r>
          </w:p>
        </w:tc>
        <w:tc>
          <w:tcPr>
            <w:tcW w:w="1499"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blHeader/>
          <w:jc w:val="center"/>
        </w:trPr>
        <w:tc>
          <w:tcPr>
            <w:tcW w:w="855" w:type="dxa"/>
            <w:vMerge w:val="restart"/>
            <w:vAlign w:val="center"/>
          </w:tcPr>
          <w:p>
            <w:pPr>
              <w:spacing w:line="240" w:lineRule="auto"/>
              <w:ind w:firstLine="0" w:firstLineChars="0"/>
              <w:rPr>
                <w:rFonts w:hint="default" w:ascii="Nimbus Roman No9 L" w:hAnsi="Nimbus Roman No9 L" w:cs="Nimbus Roman No9 L"/>
                <w:b/>
                <w:bCs/>
                <w:sz w:val="24"/>
                <w:szCs w:val="24"/>
              </w:rPr>
            </w:pPr>
            <w:r>
              <w:rPr>
                <w:rFonts w:hint="default" w:ascii="Nimbus Roman No9 L" w:hAnsi="Nimbus Roman No9 L" w:cs="Nimbus Roman No9 L"/>
                <w:b/>
                <w:bCs/>
                <w:sz w:val="24"/>
                <w:szCs w:val="24"/>
              </w:rPr>
              <w:t>企业</w:t>
            </w:r>
          </w:p>
          <w:p>
            <w:pPr>
              <w:spacing w:line="240" w:lineRule="auto"/>
              <w:ind w:firstLine="0" w:firstLineChars="0"/>
              <w:rPr>
                <w:rFonts w:hint="default" w:ascii="Nimbus Roman No9 L" w:hAnsi="Nimbus Roman No9 L" w:cs="Nimbus Roman No9 L"/>
                <w:sz w:val="24"/>
                <w:szCs w:val="24"/>
              </w:rPr>
            </w:pPr>
            <w:r>
              <w:rPr>
                <w:rFonts w:hint="default" w:ascii="Nimbus Roman No9 L" w:hAnsi="Nimbus Roman No9 L" w:cs="Nimbus Roman No9 L"/>
                <w:b/>
                <w:bCs/>
                <w:sz w:val="24"/>
                <w:szCs w:val="24"/>
              </w:rPr>
              <w:t>培育</w:t>
            </w:r>
          </w:p>
        </w:tc>
        <w:tc>
          <w:tcPr>
            <w:tcW w:w="4385" w:type="dxa"/>
            <w:vAlign w:val="center"/>
          </w:tcPr>
          <w:p>
            <w:pPr>
              <w:spacing w:line="240" w:lineRule="auto"/>
              <w:ind w:firstLine="0" w:firstLineChars="0"/>
              <w:rPr>
                <w:rFonts w:hint="default" w:ascii="Nimbus Roman No9 L" w:hAnsi="Nimbus Roman No9 L" w:cs="Nimbus Roman No9 L"/>
                <w:sz w:val="24"/>
                <w:szCs w:val="24"/>
              </w:rPr>
            </w:pPr>
            <w:r>
              <w:rPr>
                <w:rFonts w:hint="default" w:ascii="Nimbus Roman No9 L" w:hAnsi="Nimbus Roman No9 L" w:cs="Nimbus Roman No9 L"/>
                <w:sz w:val="24"/>
                <w:szCs w:val="24"/>
              </w:rPr>
              <w:t>国家级高新技术企业数（家）</w:t>
            </w:r>
          </w:p>
        </w:tc>
        <w:tc>
          <w:tcPr>
            <w:tcW w:w="1418"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3270</w:t>
            </w:r>
          </w:p>
        </w:tc>
        <w:tc>
          <w:tcPr>
            <w:tcW w:w="1499"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5800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blHeader/>
          <w:jc w:val="center"/>
        </w:trPr>
        <w:tc>
          <w:tcPr>
            <w:tcW w:w="855" w:type="dxa"/>
            <w:vMerge w:val="continue"/>
            <w:vAlign w:val="center"/>
          </w:tcPr>
          <w:p>
            <w:pPr>
              <w:spacing w:line="240" w:lineRule="auto"/>
              <w:ind w:firstLine="0" w:firstLineChars="0"/>
              <w:rPr>
                <w:rFonts w:hint="default" w:ascii="Nimbus Roman No9 L" w:hAnsi="Nimbus Roman No9 L" w:cs="Nimbus Roman No9 L"/>
                <w:sz w:val="24"/>
                <w:szCs w:val="24"/>
              </w:rPr>
            </w:pPr>
          </w:p>
        </w:tc>
        <w:tc>
          <w:tcPr>
            <w:tcW w:w="4385" w:type="dxa"/>
            <w:vAlign w:val="center"/>
          </w:tcPr>
          <w:p>
            <w:pPr>
              <w:spacing w:line="240" w:lineRule="auto"/>
              <w:ind w:firstLine="0" w:firstLineChars="0"/>
              <w:rPr>
                <w:rFonts w:hint="default" w:ascii="Nimbus Roman No9 L" w:hAnsi="Nimbus Roman No9 L" w:cs="Nimbus Roman No9 L"/>
                <w:sz w:val="24"/>
                <w:szCs w:val="24"/>
              </w:rPr>
            </w:pPr>
            <w:r>
              <w:rPr>
                <w:rFonts w:hint="default" w:ascii="Nimbus Roman No9 L" w:hAnsi="Nimbus Roman No9 L" w:cs="Nimbus Roman No9 L"/>
                <w:sz w:val="24"/>
                <w:szCs w:val="24"/>
              </w:rPr>
              <w:t>国家级专精特新企业数（家）</w:t>
            </w:r>
          </w:p>
        </w:tc>
        <w:tc>
          <w:tcPr>
            <w:tcW w:w="1418"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20</w:t>
            </w:r>
          </w:p>
        </w:tc>
        <w:tc>
          <w:tcPr>
            <w:tcW w:w="1499"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blHeader/>
          <w:jc w:val="center"/>
        </w:trPr>
        <w:tc>
          <w:tcPr>
            <w:tcW w:w="855" w:type="dxa"/>
            <w:vMerge w:val="continue"/>
            <w:vAlign w:val="center"/>
          </w:tcPr>
          <w:p>
            <w:pPr>
              <w:spacing w:line="240" w:lineRule="auto"/>
              <w:ind w:firstLine="0" w:firstLineChars="0"/>
              <w:rPr>
                <w:rFonts w:hint="default" w:ascii="Nimbus Roman No9 L" w:hAnsi="Nimbus Roman No9 L" w:cs="Nimbus Roman No9 L"/>
                <w:sz w:val="24"/>
                <w:szCs w:val="24"/>
              </w:rPr>
            </w:pPr>
          </w:p>
        </w:tc>
        <w:tc>
          <w:tcPr>
            <w:tcW w:w="4385" w:type="dxa"/>
            <w:vAlign w:val="center"/>
          </w:tcPr>
          <w:p>
            <w:pPr>
              <w:spacing w:line="240" w:lineRule="auto"/>
              <w:ind w:firstLine="0" w:firstLineChars="0"/>
              <w:rPr>
                <w:rFonts w:hint="default" w:ascii="Nimbus Roman No9 L" w:hAnsi="Nimbus Roman No9 L" w:cs="Nimbus Roman No9 L"/>
                <w:sz w:val="24"/>
                <w:szCs w:val="24"/>
              </w:rPr>
            </w:pPr>
            <w:r>
              <w:rPr>
                <w:rFonts w:hint="default" w:ascii="Nimbus Roman No9 L" w:hAnsi="Nimbus Roman No9 L" w:cs="Nimbus Roman No9 L"/>
                <w:sz w:val="24"/>
                <w:szCs w:val="24"/>
              </w:rPr>
              <w:t>国家级单项冠军企业、产品数（家）</w:t>
            </w:r>
          </w:p>
        </w:tc>
        <w:tc>
          <w:tcPr>
            <w:tcW w:w="1418"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4</w:t>
            </w:r>
          </w:p>
        </w:tc>
        <w:tc>
          <w:tcPr>
            <w:tcW w:w="1499"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tblHeader/>
          <w:jc w:val="center"/>
        </w:trPr>
        <w:tc>
          <w:tcPr>
            <w:tcW w:w="855" w:type="dxa"/>
            <w:vMerge w:val="restart"/>
            <w:vAlign w:val="center"/>
          </w:tcPr>
          <w:p>
            <w:pPr>
              <w:spacing w:line="240" w:lineRule="auto"/>
              <w:ind w:firstLine="0" w:firstLineChars="0"/>
              <w:rPr>
                <w:rFonts w:hint="default" w:ascii="Nimbus Roman No9 L" w:hAnsi="Nimbus Roman No9 L" w:cs="Nimbus Roman No9 L"/>
                <w:b/>
                <w:bCs/>
                <w:sz w:val="24"/>
                <w:szCs w:val="24"/>
              </w:rPr>
            </w:pPr>
            <w:r>
              <w:rPr>
                <w:rFonts w:hint="default" w:ascii="Nimbus Roman No9 L" w:hAnsi="Nimbus Roman No9 L" w:cs="Nimbus Roman No9 L"/>
                <w:b/>
                <w:bCs/>
                <w:sz w:val="24"/>
                <w:szCs w:val="24"/>
              </w:rPr>
              <w:t>创新</w:t>
            </w:r>
          </w:p>
          <w:p>
            <w:pPr>
              <w:spacing w:line="240" w:lineRule="auto"/>
              <w:ind w:firstLine="0" w:firstLineChars="0"/>
              <w:rPr>
                <w:rFonts w:hint="default" w:ascii="Nimbus Roman No9 L" w:hAnsi="Nimbus Roman No9 L" w:cs="Nimbus Roman No9 L"/>
                <w:b/>
                <w:bCs/>
                <w:sz w:val="24"/>
                <w:szCs w:val="24"/>
              </w:rPr>
            </w:pPr>
            <w:r>
              <w:rPr>
                <w:rFonts w:hint="default" w:ascii="Nimbus Roman No9 L" w:hAnsi="Nimbus Roman No9 L" w:cs="Nimbus Roman No9 L"/>
                <w:b/>
                <w:bCs/>
                <w:sz w:val="24"/>
                <w:szCs w:val="24"/>
              </w:rPr>
              <w:t>发展</w:t>
            </w:r>
          </w:p>
        </w:tc>
        <w:tc>
          <w:tcPr>
            <w:tcW w:w="4385" w:type="dxa"/>
            <w:vAlign w:val="center"/>
          </w:tcPr>
          <w:p>
            <w:pPr>
              <w:spacing w:line="240" w:lineRule="auto"/>
              <w:ind w:firstLine="0" w:firstLineChars="0"/>
              <w:rPr>
                <w:rFonts w:hint="default" w:ascii="Nimbus Roman No9 L" w:hAnsi="Nimbus Roman No9 L" w:cs="Nimbus Roman No9 L"/>
                <w:sz w:val="24"/>
                <w:szCs w:val="24"/>
              </w:rPr>
            </w:pPr>
            <w:r>
              <w:rPr>
                <w:rFonts w:hint="default" w:ascii="Nimbus Roman No9 L" w:hAnsi="Nimbus Roman No9 L" w:cs="Nimbus Roman No9 L"/>
                <w:sz w:val="24"/>
                <w:szCs w:val="24"/>
              </w:rPr>
              <w:t>规模以上工业企业研发经费占营业收入比重（%）</w:t>
            </w:r>
          </w:p>
        </w:tc>
        <w:tc>
          <w:tcPr>
            <w:tcW w:w="1418"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完成市级下达任务</w:t>
            </w:r>
          </w:p>
        </w:tc>
        <w:tc>
          <w:tcPr>
            <w:tcW w:w="1499"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完成市级下达任务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blHeader/>
          <w:jc w:val="center"/>
        </w:trPr>
        <w:tc>
          <w:tcPr>
            <w:tcW w:w="855" w:type="dxa"/>
            <w:vMerge w:val="continue"/>
            <w:vAlign w:val="center"/>
          </w:tcPr>
          <w:p>
            <w:pPr>
              <w:spacing w:line="240" w:lineRule="auto"/>
              <w:ind w:firstLine="0" w:firstLineChars="0"/>
              <w:rPr>
                <w:rFonts w:hint="default" w:ascii="Nimbus Roman No9 L" w:hAnsi="Nimbus Roman No9 L" w:cs="Nimbus Roman No9 L"/>
                <w:b/>
                <w:bCs/>
                <w:sz w:val="24"/>
                <w:szCs w:val="24"/>
              </w:rPr>
            </w:pPr>
          </w:p>
        </w:tc>
        <w:tc>
          <w:tcPr>
            <w:tcW w:w="4385" w:type="dxa"/>
            <w:vAlign w:val="center"/>
          </w:tcPr>
          <w:p>
            <w:pPr>
              <w:spacing w:line="240" w:lineRule="auto"/>
              <w:ind w:firstLine="0" w:firstLineChars="0"/>
              <w:rPr>
                <w:rFonts w:hint="default" w:ascii="Nimbus Roman No9 L" w:hAnsi="Nimbus Roman No9 L" w:cs="Nimbus Roman No9 L"/>
                <w:sz w:val="24"/>
                <w:szCs w:val="24"/>
              </w:rPr>
            </w:pPr>
            <w:r>
              <w:rPr>
                <w:rFonts w:hint="default" w:ascii="Nimbus Roman No9 L" w:hAnsi="Nimbus Roman No9 L" w:cs="Nimbus Roman No9 L"/>
                <w:sz w:val="24"/>
                <w:szCs w:val="24"/>
              </w:rPr>
              <w:t>国家级企业技术中心（家）</w:t>
            </w:r>
          </w:p>
        </w:tc>
        <w:tc>
          <w:tcPr>
            <w:tcW w:w="1418"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34</w:t>
            </w:r>
          </w:p>
        </w:tc>
        <w:tc>
          <w:tcPr>
            <w:tcW w:w="1499"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40左右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blHeader/>
          <w:jc w:val="center"/>
        </w:trPr>
        <w:tc>
          <w:tcPr>
            <w:tcW w:w="855" w:type="dxa"/>
            <w:vMerge w:val="continue"/>
            <w:vAlign w:val="center"/>
          </w:tcPr>
          <w:p>
            <w:pPr>
              <w:spacing w:line="240" w:lineRule="auto"/>
              <w:ind w:firstLine="0" w:firstLineChars="0"/>
              <w:rPr>
                <w:rFonts w:hint="default" w:ascii="Nimbus Roman No9 L" w:hAnsi="Nimbus Roman No9 L" w:cs="Nimbus Roman No9 L"/>
                <w:b/>
                <w:bCs/>
                <w:sz w:val="24"/>
                <w:szCs w:val="24"/>
              </w:rPr>
            </w:pPr>
          </w:p>
        </w:tc>
        <w:tc>
          <w:tcPr>
            <w:tcW w:w="4385" w:type="dxa"/>
            <w:vAlign w:val="center"/>
          </w:tcPr>
          <w:p>
            <w:pPr>
              <w:spacing w:line="240" w:lineRule="auto"/>
              <w:ind w:firstLine="0" w:firstLineChars="0"/>
              <w:rPr>
                <w:rFonts w:hint="default" w:ascii="Nimbus Roman No9 L" w:hAnsi="Nimbus Roman No9 L" w:cs="Nimbus Roman No9 L"/>
                <w:sz w:val="24"/>
                <w:szCs w:val="24"/>
              </w:rPr>
            </w:pPr>
            <w:r>
              <w:rPr>
                <w:rFonts w:hint="default" w:ascii="Nimbus Roman No9 L" w:hAnsi="Nimbus Roman No9 L" w:cs="Nimbus Roman No9 L"/>
                <w:sz w:val="24"/>
                <w:szCs w:val="24"/>
              </w:rPr>
              <w:t>市级以上制造业创新中心（家）</w:t>
            </w:r>
          </w:p>
        </w:tc>
        <w:tc>
          <w:tcPr>
            <w:tcW w:w="1418"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7</w:t>
            </w:r>
          </w:p>
        </w:tc>
        <w:tc>
          <w:tcPr>
            <w:tcW w:w="1499"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blHeader/>
          <w:jc w:val="center"/>
        </w:trPr>
        <w:tc>
          <w:tcPr>
            <w:tcW w:w="855" w:type="dxa"/>
            <w:vMerge w:val="continue"/>
            <w:vAlign w:val="center"/>
          </w:tcPr>
          <w:p>
            <w:pPr>
              <w:spacing w:line="240" w:lineRule="auto"/>
              <w:ind w:firstLine="0" w:firstLineChars="0"/>
              <w:rPr>
                <w:rFonts w:hint="default" w:ascii="Nimbus Roman No9 L" w:hAnsi="Nimbus Roman No9 L" w:cs="Nimbus Roman No9 L"/>
                <w:b/>
                <w:bCs/>
                <w:sz w:val="24"/>
                <w:szCs w:val="24"/>
              </w:rPr>
            </w:pPr>
          </w:p>
        </w:tc>
        <w:tc>
          <w:tcPr>
            <w:tcW w:w="4385" w:type="dxa"/>
            <w:vAlign w:val="center"/>
          </w:tcPr>
          <w:p>
            <w:pPr>
              <w:spacing w:line="240" w:lineRule="auto"/>
              <w:ind w:firstLine="0" w:firstLineChars="0"/>
              <w:rPr>
                <w:rFonts w:hint="default" w:ascii="Nimbus Roman No9 L" w:hAnsi="Nimbus Roman No9 L" w:cs="Nimbus Roman No9 L"/>
                <w:sz w:val="24"/>
                <w:szCs w:val="24"/>
              </w:rPr>
            </w:pPr>
            <w:r>
              <w:rPr>
                <w:rFonts w:hint="default" w:ascii="Nimbus Roman No9 L" w:hAnsi="Nimbus Roman No9 L" w:cs="Nimbus Roman No9 L"/>
                <w:sz w:val="24"/>
                <w:szCs w:val="24"/>
              </w:rPr>
              <w:t>市级以上工业设计中心（家）</w:t>
            </w:r>
          </w:p>
        </w:tc>
        <w:tc>
          <w:tcPr>
            <w:tcW w:w="1418"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5</w:t>
            </w:r>
          </w:p>
        </w:tc>
        <w:tc>
          <w:tcPr>
            <w:tcW w:w="1499"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tblHeader/>
          <w:jc w:val="center"/>
        </w:trPr>
        <w:tc>
          <w:tcPr>
            <w:tcW w:w="855"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b/>
                <w:bCs/>
                <w:sz w:val="24"/>
                <w:szCs w:val="24"/>
              </w:rPr>
              <w:t>类别</w:t>
            </w:r>
          </w:p>
        </w:tc>
        <w:tc>
          <w:tcPr>
            <w:tcW w:w="4385"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b/>
                <w:bCs/>
                <w:sz w:val="24"/>
                <w:szCs w:val="24"/>
              </w:rPr>
              <w:t>指标名称</w:t>
            </w:r>
          </w:p>
        </w:tc>
        <w:tc>
          <w:tcPr>
            <w:tcW w:w="1418"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b/>
                <w:bCs/>
                <w:sz w:val="24"/>
                <w:szCs w:val="24"/>
              </w:rPr>
              <w:t>2020年</w:t>
            </w:r>
          </w:p>
        </w:tc>
        <w:tc>
          <w:tcPr>
            <w:tcW w:w="1499"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b/>
                <w:bCs/>
                <w:sz w:val="24"/>
                <w:szCs w:val="24"/>
              </w:rPr>
              <w:t>2025年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blHeader/>
          <w:jc w:val="center"/>
        </w:trPr>
        <w:tc>
          <w:tcPr>
            <w:tcW w:w="855" w:type="dxa"/>
            <w:vMerge w:val="restart"/>
            <w:vAlign w:val="center"/>
          </w:tcPr>
          <w:p>
            <w:pPr>
              <w:spacing w:line="240" w:lineRule="auto"/>
              <w:ind w:firstLine="0" w:firstLineChars="0"/>
              <w:rPr>
                <w:rFonts w:hint="default" w:ascii="Nimbus Roman No9 L" w:hAnsi="Nimbus Roman No9 L" w:cs="Nimbus Roman No9 L"/>
                <w:b/>
                <w:bCs/>
                <w:sz w:val="24"/>
                <w:szCs w:val="24"/>
              </w:rPr>
            </w:pPr>
            <w:r>
              <w:rPr>
                <w:rFonts w:hint="default" w:ascii="Nimbus Roman No9 L" w:hAnsi="Nimbus Roman No9 L" w:cs="Nimbus Roman No9 L"/>
                <w:b/>
                <w:bCs/>
                <w:sz w:val="24"/>
                <w:szCs w:val="24"/>
              </w:rPr>
              <w:t>转型</w:t>
            </w:r>
          </w:p>
          <w:p>
            <w:pPr>
              <w:spacing w:line="240" w:lineRule="auto"/>
              <w:ind w:firstLine="0" w:firstLineChars="0"/>
              <w:rPr>
                <w:rFonts w:hint="default" w:ascii="Nimbus Roman No9 L" w:hAnsi="Nimbus Roman No9 L" w:cs="Nimbus Roman No9 L"/>
                <w:b/>
                <w:bCs/>
                <w:sz w:val="24"/>
                <w:szCs w:val="24"/>
              </w:rPr>
            </w:pPr>
            <w:r>
              <w:rPr>
                <w:rFonts w:hint="default" w:ascii="Nimbus Roman No9 L" w:hAnsi="Nimbus Roman No9 L" w:cs="Nimbus Roman No9 L"/>
                <w:b/>
                <w:bCs/>
                <w:sz w:val="24"/>
                <w:szCs w:val="24"/>
              </w:rPr>
              <w:t>升级</w:t>
            </w:r>
          </w:p>
        </w:tc>
        <w:tc>
          <w:tcPr>
            <w:tcW w:w="4385" w:type="dxa"/>
            <w:vAlign w:val="center"/>
          </w:tcPr>
          <w:p>
            <w:pPr>
              <w:spacing w:line="240" w:lineRule="auto"/>
              <w:ind w:firstLine="0" w:firstLineChars="0"/>
              <w:rPr>
                <w:rFonts w:hint="default" w:ascii="Nimbus Roman No9 L" w:hAnsi="Nimbus Roman No9 L" w:cs="Nimbus Roman No9 L"/>
                <w:sz w:val="24"/>
                <w:szCs w:val="24"/>
              </w:rPr>
            </w:pPr>
            <w:r>
              <w:rPr>
                <w:rFonts w:hint="default" w:ascii="Nimbus Roman No9 L" w:hAnsi="Nimbus Roman No9 L" w:cs="Nimbus Roman No9 L"/>
                <w:sz w:val="24"/>
                <w:szCs w:val="24"/>
              </w:rPr>
              <w:t>关键业务环节全面数字化的企业比例占比（%）</w:t>
            </w:r>
          </w:p>
        </w:tc>
        <w:tc>
          <w:tcPr>
            <w:tcW w:w="1418"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完成市级下达任务</w:t>
            </w:r>
          </w:p>
        </w:tc>
        <w:tc>
          <w:tcPr>
            <w:tcW w:w="1499"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完成市级下达任务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blHeader/>
          <w:jc w:val="center"/>
        </w:trPr>
        <w:tc>
          <w:tcPr>
            <w:tcW w:w="855" w:type="dxa"/>
            <w:vMerge w:val="continue"/>
            <w:vAlign w:val="center"/>
          </w:tcPr>
          <w:p>
            <w:pPr>
              <w:spacing w:line="240" w:lineRule="auto"/>
              <w:ind w:firstLine="0" w:firstLineChars="0"/>
              <w:rPr>
                <w:rFonts w:hint="default" w:ascii="Nimbus Roman No9 L" w:hAnsi="Nimbus Roman No9 L" w:cs="Nimbus Roman No9 L"/>
                <w:b/>
                <w:bCs/>
                <w:sz w:val="24"/>
                <w:szCs w:val="24"/>
              </w:rPr>
            </w:pPr>
          </w:p>
        </w:tc>
        <w:tc>
          <w:tcPr>
            <w:tcW w:w="4385" w:type="dxa"/>
            <w:vAlign w:val="center"/>
          </w:tcPr>
          <w:p>
            <w:pPr>
              <w:spacing w:line="240" w:lineRule="auto"/>
              <w:ind w:firstLine="0" w:firstLineChars="0"/>
              <w:rPr>
                <w:rFonts w:hint="default" w:ascii="Nimbus Roman No9 L" w:hAnsi="Nimbus Roman No9 L" w:cs="Nimbus Roman No9 L"/>
                <w:sz w:val="24"/>
                <w:szCs w:val="24"/>
              </w:rPr>
            </w:pPr>
            <w:r>
              <w:rPr>
                <w:rFonts w:hint="default" w:ascii="Nimbus Roman No9 L" w:hAnsi="Nimbus Roman No9 L" w:cs="Nimbus Roman No9 L"/>
                <w:sz w:val="24"/>
                <w:szCs w:val="24"/>
              </w:rPr>
              <w:t>两化融合发展指数</w:t>
            </w:r>
          </w:p>
        </w:tc>
        <w:tc>
          <w:tcPr>
            <w:tcW w:w="1418"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完成市级下达任务</w:t>
            </w:r>
          </w:p>
        </w:tc>
        <w:tc>
          <w:tcPr>
            <w:tcW w:w="1499"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完成市级下达任务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blHeader/>
          <w:jc w:val="center"/>
        </w:trPr>
        <w:tc>
          <w:tcPr>
            <w:tcW w:w="855" w:type="dxa"/>
            <w:vMerge w:val="continue"/>
            <w:vAlign w:val="center"/>
          </w:tcPr>
          <w:p>
            <w:pPr>
              <w:spacing w:line="240" w:lineRule="auto"/>
              <w:ind w:firstLine="0" w:firstLineChars="0"/>
              <w:rPr>
                <w:rFonts w:hint="default" w:ascii="Nimbus Roman No9 L" w:hAnsi="Nimbus Roman No9 L" w:cs="Nimbus Roman No9 L"/>
                <w:b/>
                <w:bCs/>
                <w:sz w:val="24"/>
                <w:szCs w:val="24"/>
              </w:rPr>
            </w:pPr>
          </w:p>
        </w:tc>
        <w:tc>
          <w:tcPr>
            <w:tcW w:w="4385" w:type="dxa"/>
            <w:vAlign w:val="center"/>
          </w:tcPr>
          <w:p>
            <w:pPr>
              <w:spacing w:line="240" w:lineRule="auto"/>
              <w:ind w:firstLine="0" w:firstLineChars="0"/>
              <w:rPr>
                <w:rFonts w:hint="default" w:ascii="Nimbus Roman No9 L" w:hAnsi="Nimbus Roman No9 L" w:cs="Nimbus Roman No9 L"/>
                <w:sz w:val="24"/>
                <w:szCs w:val="24"/>
              </w:rPr>
            </w:pPr>
            <w:r>
              <w:rPr>
                <w:rFonts w:hint="default" w:ascii="Nimbus Roman No9 L" w:hAnsi="Nimbus Roman No9 L" w:cs="Nimbus Roman No9 L"/>
                <w:sz w:val="24"/>
                <w:szCs w:val="24"/>
              </w:rPr>
              <w:t>高技术服务业及以互联网和相关服务业为代表的现代新兴服务业增加值占全区服务业增加值比重（%）</w:t>
            </w:r>
          </w:p>
        </w:tc>
        <w:tc>
          <w:tcPr>
            <w:tcW w:w="1418"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35.7</w:t>
            </w:r>
          </w:p>
        </w:tc>
        <w:tc>
          <w:tcPr>
            <w:tcW w:w="1499"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44以上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blHeader/>
          <w:jc w:val="center"/>
        </w:trPr>
        <w:tc>
          <w:tcPr>
            <w:tcW w:w="855" w:type="dxa"/>
            <w:vMerge w:val="continue"/>
            <w:vAlign w:val="center"/>
          </w:tcPr>
          <w:p>
            <w:pPr>
              <w:spacing w:line="240" w:lineRule="auto"/>
              <w:ind w:firstLine="0" w:firstLineChars="0"/>
              <w:rPr>
                <w:rFonts w:hint="default" w:ascii="Nimbus Roman No9 L" w:hAnsi="Nimbus Roman No9 L" w:cs="Nimbus Roman No9 L"/>
                <w:b/>
                <w:bCs/>
                <w:sz w:val="24"/>
                <w:szCs w:val="24"/>
              </w:rPr>
            </w:pPr>
          </w:p>
        </w:tc>
        <w:tc>
          <w:tcPr>
            <w:tcW w:w="4385" w:type="dxa"/>
            <w:vAlign w:val="center"/>
          </w:tcPr>
          <w:p>
            <w:pPr>
              <w:spacing w:line="240" w:lineRule="auto"/>
              <w:ind w:firstLine="0" w:firstLineChars="0"/>
              <w:rPr>
                <w:rFonts w:hint="default" w:ascii="Nimbus Roman No9 L" w:hAnsi="Nimbus Roman No9 L" w:cs="Nimbus Roman No9 L"/>
                <w:sz w:val="24"/>
                <w:szCs w:val="24"/>
              </w:rPr>
            </w:pPr>
            <w:r>
              <w:rPr>
                <w:rFonts w:hint="default" w:ascii="Nimbus Roman No9 L" w:hAnsi="Nimbus Roman No9 L" w:cs="Nimbus Roman No9 L"/>
                <w:sz w:val="24"/>
                <w:szCs w:val="24"/>
              </w:rPr>
              <w:t>国家级绿色工厂（家）</w:t>
            </w:r>
          </w:p>
        </w:tc>
        <w:tc>
          <w:tcPr>
            <w:tcW w:w="1418"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24</w:t>
            </w:r>
          </w:p>
        </w:tc>
        <w:tc>
          <w:tcPr>
            <w:tcW w:w="1499"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blHeader/>
          <w:jc w:val="center"/>
        </w:trPr>
        <w:tc>
          <w:tcPr>
            <w:tcW w:w="855" w:type="dxa"/>
            <w:vMerge w:val="continue"/>
            <w:vAlign w:val="center"/>
          </w:tcPr>
          <w:p>
            <w:pPr>
              <w:spacing w:line="240" w:lineRule="auto"/>
              <w:ind w:firstLine="0" w:firstLineChars="0"/>
              <w:rPr>
                <w:rFonts w:hint="default" w:ascii="Nimbus Roman No9 L" w:hAnsi="Nimbus Roman No9 L" w:cs="Nimbus Roman No9 L"/>
                <w:b/>
                <w:bCs/>
                <w:sz w:val="24"/>
                <w:szCs w:val="24"/>
              </w:rPr>
            </w:pPr>
          </w:p>
        </w:tc>
        <w:tc>
          <w:tcPr>
            <w:tcW w:w="4385" w:type="dxa"/>
            <w:vAlign w:val="center"/>
          </w:tcPr>
          <w:p>
            <w:pPr>
              <w:spacing w:line="240" w:lineRule="auto"/>
              <w:ind w:firstLine="0" w:firstLineChars="0"/>
              <w:rPr>
                <w:rFonts w:hint="default" w:ascii="Nimbus Roman No9 L" w:hAnsi="Nimbus Roman No9 L" w:cs="Nimbus Roman No9 L"/>
                <w:sz w:val="24"/>
                <w:szCs w:val="24"/>
              </w:rPr>
            </w:pPr>
            <w:r>
              <w:rPr>
                <w:rFonts w:hint="default" w:ascii="Nimbus Roman No9 L" w:hAnsi="Nimbus Roman No9 L" w:cs="Nimbus Roman No9 L"/>
                <w:sz w:val="24"/>
                <w:szCs w:val="24"/>
              </w:rPr>
              <w:t>国家级绿色园区（家）</w:t>
            </w:r>
          </w:p>
        </w:tc>
        <w:tc>
          <w:tcPr>
            <w:tcW w:w="1418"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2</w:t>
            </w:r>
          </w:p>
        </w:tc>
        <w:tc>
          <w:tcPr>
            <w:tcW w:w="1499"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blHeader/>
          <w:jc w:val="center"/>
        </w:trPr>
        <w:tc>
          <w:tcPr>
            <w:tcW w:w="855" w:type="dxa"/>
            <w:vMerge w:val="continue"/>
            <w:vAlign w:val="center"/>
          </w:tcPr>
          <w:p>
            <w:pPr>
              <w:spacing w:line="240" w:lineRule="auto"/>
              <w:ind w:firstLine="0" w:firstLineChars="0"/>
              <w:rPr>
                <w:rFonts w:hint="default" w:ascii="Nimbus Roman No9 L" w:hAnsi="Nimbus Roman No9 L" w:cs="Nimbus Roman No9 L"/>
                <w:b/>
                <w:bCs/>
                <w:sz w:val="24"/>
                <w:szCs w:val="24"/>
              </w:rPr>
            </w:pPr>
          </w:p>
        </w:tc>
        <w:tc>
          <w:tcPr>
            <w:tcW w:w="4385" w:type="dxa"/>
            <w:vAlign w:val="center"/>
          </w:tcPr>
          <w:p>
            <w:pPr>
              <w:spacing w:line="240" w:lineRule="auto"/>
              <w:ind w:firstLine="0" w:firstLineChars="0"/>
              <w:rPr>
                <w:rFonts w:hint="default" w:ascii="Nimbus Roman No9 L" w:hAnsi="Nimbus Roman No9 L" w:cs="Nimbus Roman No9 L"/>
                <w:sz w:val="24"/>
                <w:szCs w:val="24"/>
              </w:rPr>
            </w:pPr>
            <w:r>
              <w:rPr>
                <w:rFonts w:hint="default" w:ascii="Nimbus Roman No9 L" w:hAnsi="Nimbus Roman No9 L" w:cs="Nimbus Roman No9 L"/>
                <w:sz w:val="24"/>
                <w:szCs w:val="24"/>
              </w:rPr>
              <w:t>规模以上企业单位工业增加值能耗降幅（%）</w:t>
            </w:r>
          </w:p>
        </w:tc>
        <w:tc>
          <w:tcPr>
            <w:tcW w:w="1418"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完成市级下达任务</w:t>
            </w:r>
          </w:p>
        </w:tc>
        <w:tc>
          <w:tcPr>
            <w:tcW w:w="1499"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完成市级下达任务</w:t>
            </w:r>
          </w:p>
        </w:tc>
      </w:tr>
    </w:tbl>
    <w:p>
      <w:pPr>
        <w:pageBreakBefore w:val="0"/>
        <w:widowControl w:val="0"/>
        <w:kinsoku/>
        <w:wordWrap/>
        <w:overflowPunct/>
        <w:topLinePunct w:val="0"/>
        <w:autoSpaceDE/>
        <w:autoSpaceDN/>
        <w:bidi w:val="0"/>
        <w:adjustRightInd/>
        <w:snapToGrid/>
        <w:spacing w:line="580" w:lineRule="exact"/>
        <w:ind w:firstLine="640"/>
        <w:textAlignment w:val="auto"/>
        <w:rPr>
          <w:rFonts w:hint="default" w:ascii="Nimbus Roman No9 L" w:hAnsi="Nimbus Roman No9 L" w:cs="Nimbus Roman No9 L"/>
        </w:rPr>
      </w:pPr>
      <w:r>
        <w:rPr>
          <w:rFonts w:hint="default" w:ascii="Nimbus Roman No9 L" w:hAnsi="Nimbus Roman No9 L" w:cs="Nimbus Roman No9 L"/>
          <w:szCs w:val="32"/>
        </w:rPr>
        <w:t>到2035年，</w:t>
      </w:r>
      <w:r>
        <w:rPr>
          <w:rFonts w:hint="default" w:ascii="Nimbus Roman No9 L" w:hAnsi="Nimbus Roman No9 L" w:cs="Nimbus Roman No9 L"/>
        </w:rPr>
        <w:t>成为具有全球影响力的先进制造研发基地中心区，</w:t>
      </w:r>
      <w:r>
        <w:rPr>
          <w:rFonts w:hint="default" w:ascii="Nimbus Roman No9 L" w:hAnsi="Nimbus Roman No9 L" w:cs="Nimbus Roman No9 L"/>
          <w:szCs w:val="32"/>
        </w:rPr>
        <w:t>先进制造业集群国际竞争力不断提升，</w:t>
      </w:r>
      <w:r>
        <w:rPr>
          <w:rFonts w:hint="default" w:ascii="Nimbus Roman No9 L" w:hAnsi="Nimbus Roman No9 L" w:cs="Nimbus Roman No9 L"/>
        </w:rPr>
        <w:t>创新型领军企业全球竞争力显著增强，产业创新生态不断成熟，</w:t>
      </w:r>
      <w:r>
        <w:rPr>
          <w:rFonts w:hint="default" w:ascii="Nimbus Roman No9 L" w:hAnsi="Nimbus Roman No9 L" w:cs="Nimbus Roman No9 L"/>
          <w:szCs w:val="32"/>
        </w:rPr>
        <w:t>产业创新能力居于全国前列，重点领域发展取得重大突破</w:t>
      </w:r>
      <w:r>
        <w:rPr>
          <w:rFonts w:hint="default" w:ascii="Nimbus Roman No9 L" w:hAnsi="Nimbus Roman No9 L" w:cs="Nimbus Roman No9 L"/>
        </w:rPr>
        <w:t>，现代工业体系基本完善</w:t>
      </w:r>
      <w:bookmarkEnd w:id="0"/>
      <w:bookmarkEnd w:id="1"/>
      <w:bookmarkStart w:id="23" w:name="_Toc7827"/>
      <w:bookmarkStart w:id="24" w:name="_Toc64906421"/>
      <w:bookmarkStart w:id="25" w:name="_Toc56001991"/>
    </w:p>
    <w:p>
      <w:pPr>
        <w:pageBreakBefore w:val="0"/>
        <w:widowControl w:val="0"/>
        <w:kinsoku/>
        <w:wordWrap/>
        <w:overflowPunct/>
        <w:topLinePunct w:val="0"/>
        <w:autoSpaceDE/>
        <w:autoSpaceDN/>
        <w:bidi w:val="0"/>
        <w:adjustRightInd/>
        <w:snapToGrid/>
        <w:spacing w:line="580" w:lineRule="exact"/>
        <w:ind w:firstLine="640"/>
        <w:textAlignment w:val="auto"/>
        <w:outlineLvl w:val="0"/>
        <w:rPr>
          <w:rFonts w:hint="default" w:ascii="Nimbus Roman No9 L" w:hAnsi="Nimbus Roman No9 L" w:eastAsia="黑体" w:cs="Nimbus Roman No9 L"/>
          <w:szCs w:val="32"/>
        </w:rPr>
      </w:pPr>
      <w:r>
        <w:rPr>
          <w:rFonts w:hint="default" w:ascii="Nimbus Roman No9 L" w:hAnsi="Nimbus Roman No9 L" w:eastAsia="黑体" w:cs="Nimbus Roman No9 L"/>
          <w:szCs w:val="32"/>
        </w:rPr>
        <w:t>三、动能升级，构建现代工业体系</w:t>
      </w:r>
      <w:bookmarkEnd w:id="23"/>
      <w:bookmarkEnd w:id="24"/>
    </w:p>
    <w:p>
      <w:pPr>
        <w:pageBreakBefore w:val="0"/>
        <w:widowControl w:val="0"/>
        <w:kinsoku/>
        <w:wordWrap/>
        <w:overflowPunct/>
        <w:topLinePunct w:val="0"/>
        <w:autoSpaceDE/>
        <w:autoSpaceDN/>
        <w:bidi w:val="0"/>
        <w:adjustRightInd/>
        <w:snapToGrid/>
        <w:spacing w:line="580" w:lineRule="exact"/>
        <w:ind w:firstLine="640"/>
        <w:textAlignment w:val="auto"/>
        <w:rPr>
          <w:rFonts w:hint="default" w:ascii="Nimbus Roman No9 L" w:hAnsi="Nimbus Roman No9 L" w:cs="Nimbus Roman No9 L"/>
        </w:rPr>
      </w:pPr>
      <w:r>
        <w:rPr>
          <w:rFonts w:hint="default" w:ascii="Nimbus Roman No9 L" w:hAnsi="Nimbus Roman No9 L" w:cs="Nimbus Roman No9 L"/>
        </w:rPr>
        <w:t>立足全国先进制造研发基地中心区定位，围绕推动工业高质量发展根本要求，紧抓新产业新赛道发展机会，以串联关键环节、补齐薄弱环节、强化优势环节为导向，集中攻坚重点产业链，着力强化智能科技引领作用，推进生物医药、新能源、新材料等战略性新兴产业培育壮大，引导高端装备制造、汽车、航空航天、石油化工等优势产业升级转型，立足区域个性重点发展海洋经济特色产业，前瞻布局“5G+工业互联网”等X个具有爆发式成长潜力的新赛道，构建“1+3+4”和海洋经济为特色的现代工业体系。</w:t>
      </w:r>
    </w:p>
    <w:p>
      <w:pPr>
        <w:pStyle w:val="4"/>
        <w:pageBreakBefore w:val="0"/>
        <w:widowControl w:val="0"/>
        <w:kinsoku/>
        <w:wordWrap/>
        <w:overflowPunct/>
        <w:topLinePunct w:val="0"/>
        <w:autoSpaceDE/>
        <w:autoSpaceDN/>
        <w:bidi w:val="0"/>
        <w:adjustRightInd/>
        <w:snapToGrid/>
        <w:spacing w:line="580" w:lineRule="exact"/>
        <w:ind w:firstLine="640"/>
        <w:textAlignment w:val="auto"/>
        <w:rPr>
          <w:rFonts w:hint="default" w:ascii="Nimbus Roman No9 L" w:hAnsi="Nimbus Roman No9 L" w:cs="Nimbus Roman No9 L"/>
          <w:b w:val="0"/>
          <w:bCs w:val="0"/>
        </w:rPr>
      </w:pPr>
      <w:bookmarkStart w:id="26" w:name="_Toc8859"/>
      <w:bookmarkStart w:id="27" w:name="_Toc64906422"/>
      <w:r>
        <w:rPr>
          <w:rFonts w:hint="default" w:ascii="Nimbus Roman No9 L" w:hAnsi="Nimbus Roman No9 L" w:cs="Nimbus Roman No9 L"/>
          <w:b w:val="0"/>
          <w:bCs w:val="0"/>
        </w:rPr>
        <w:t>（一）聚焦发展一大引领产业</w:t>
      </w:r>
      <w:bookmarkEnd w:id="26"/>
      <w:bookmarkEnd w:id="27"/>
    </w:p>
    <w:p>
      <w:pPr>
        <w:pStyle w:val="5"/>
        <w:pageBreakBefore w:val="0"/>
        <w:widowControl w:val="0"/>
        <w:kinsoku/>
        <w:wordWrap/>
        <w:overflowPunct/>
        <w:topLinePunct w:val="0"/>
        <w:autoSpaceDE/>
        <w:autoSpaceDN/>
        <w:bidi w:val="0"/>
        <w:adjustRightInd/>
        <w:snapToGrid/>
        <w:spacing w:line="580" w:lineRule="exact"/>
        <w:ind w:firstLine="640"/>
        <w:textAlignment w:val="auto"/>
        <w:rPr>
          <w:rFonts w:hint="default" w:ascii="Nimbus Roman No9 L" w:hAnsi="Nimbus Roman No9 L" w:cs="Nimbus Roman No9 L"/>
          <w:b w:val="0"/>
        </w:rPr>
      </w:pPr>
      <w:r>
        <w:rPr>
          <w:rFonts w:hint="default" w:ascii="Nimbus Roman No9 L" w:hAnsi="Nimbus Roman No9 L" w:cs="Nimbus Roman No9 L"/>
          <w:b w:val="0"/>
        </w:rPr>
        <w:t>聚焦发展一大引领产业——智能科技产业。把握实体经济与信息技术深度融合的时代特征，依托滨海新区雄厚的信息技术和先进制造产业基础，以构建产业生态为导向，以扩大和深化智能应用为抓手，以信息技术创新应用为主攻方向，做大做强新一代信息技术优势产业链，加快人工智能核心产品研发，强化5G应用场景布局，锻长板、补短板，推动智能科技产业链供应链安全稳定，打造以新一代信息技术为引领、以人工智能为核心、以5G通信为支撑的智能科技产业体系，建成具有全国影响力的智能科技产业领航区。</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b/>
          <w:szCs w:val="32"/>
        </w:rPr>
      </w:pPr>
      <w:r>
        <w:rPr>
          <w:rFonts w:hint="default" w:ascii="Nimbus Roman No9 L" w:hAnsi="Nimbus Roman No9 L" w:cs="Nimbus Roman No9 L"/>
          <w:b/>
          <w:bCs/>
          <w:szCs w:val="32"/>
        </w:rPr>
        <w:t>新一代信息技术。</w:t>
      </w:r>
      <w:r>
        <w:rPr>
          <w:rFonts w:hint="default" w:ascii="Nimbus Roman No9 L" w:hAnsi="Nimbus Roman No9 L" w:cs="Nimbus Roman No9 L"/>
          <w:bCs/>
          <w:szCs w:val="32"/>
        </w:rPr>
        <w:t>坚持自主可控，以实现率先突破为目标，推进领军企业依托高能级创新平台开展技术协同攻关，重点发展集成电路、基础软件、信息安全与服务、大数据和云计算产业，全力构筑信创产业发展高地。做强集成电路研发设计，推进飞腾CPU（中央处理器）、清华紫光集成电路产业园等项目实施，着力突破28纳米以下集成电路设计、制造、封装及测试技术，提升国产芯片的应用适配能力，扩大</w:t>
      </w:r>
      <w:r>
        <w:rPr>
          <w:rFonts w:hint="default" w:ascii="Nimbus Roman No9 L" w:hAnsi="Nimbus Roman No9 L" w:cs="Nimbus Roman No9 L"/>
        </w:rPr>
        <w:t>12英寸集成电路产能</w:t>
      </w:r>
      <w:r>
        <w:rPr>
          <w:rFonts w:hint="default" w:ascii="Nimbus Roman No9 L" w:hAnsi="Nimbus Roman No9 L" w:cs="Nimbus Roman No9 L"/>
          <w:bCs/>
          <w:szCs w:val="32"/>
        </w:rPr>
        <w:t>。做优基础软件，支持操作系统领军企业牵头建设先进操作系统创新中心，加强数据库产品研发，引入中间件领域龙头企业。做实信息安全与服务，推进安全软件龙头企业平台化转型，带动下一代防火墙、信息安全运维等产品和服务发展。加速大数据和云计算布局，突破弹性计算、资源监控管理等大数据关键技术，支持云计算龙头企业布局高性能的公有云、私有云、专业云。到2025</w:t>
      </w:r>
      <w:r>
        <w:rPr>
          <w:rFonts w:hint="default" w:ascii="Nimbus Roman No9 L" w:hAnsi="Nimbus Roman No9 L" w:cs="Nimbus Roman No9 L"/>
        </w:rPr>
        <w:t>年，实现新一代信息技术产业产值2200亿元，年均增长8.5%。</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szCs w:val="32"/>
        </w:rPr>
      </w:pPr>
      <w:r>
        <w:rPr>
          <w:rFonts w:hint="default" w:ascii="Nimbus Roman No9 L" w:hAnsi="Nimbus Roman No9 L" w:cs="Nimbus Roman No9 L"/>
          <w:b/>
          <w:bCs/>
          <w:szCs w:val="32"/>
        </w:rPr>
        <w:t>人工智能。</w:t>
      </w:r>
      <w:r>
        <w:rPr>
          <w:rFonts w:hint="default" w:ascii="Nimbus Roman No9 L" w:hAnsi="Nimbus Roman No9 L" w:cs="Nimbus Roman No9 L"/>
          <w:szCs w:val="32"/>
        </w:rPr>
        <w:t>强化场景驱动作用，推动基础软硬件、智能终端、智能应用三位一体发展，充分发挥人工智能创新引领与赋能作用。基础软硬件方面，发挥新一代人工智能发展战略研究院等创新平台作用，集聚国内外相关领域创新创业资源，加快推进天河3号E级高性能计算机系统研制等项目进展，在人工智能平台架构、芯片、核心算法、模式识别、大数据处理等共性关键技术上形成突破并实现转化。智能终端方面，加大领军企业引育，进一步扩大智能语音交互终端、智能安防终端、可穿戴设备等产品规模。智能应用方面，支持人工智能企业与各行业领域对接合作，发挥天津市滨海新区新一代人工智能产业联盟作用，加快建设智慧交通与物流、智能医疗、智慧政务、智能家居等场景，到2025年，国家新一代人工智能试验区建设取得显著阶段性成效。</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szCs w:val="32"/>
        </w:rPr>
      </w:pPr>
      <w:r>
        <w:rPr>
          <w:rFonts w:hint="default" w:ascii="Nimbus Roman No9 L" w:hAnsi="Nimbus Roman No9 L" w:cs="Nimbus Roman No9 L"/>
          <w:b/>
          <w:bCs/>
          <w:szCs w:val="32"/>
        </w:rPr>
        <w:t>5G。</w:t>
      </w:r>
      <w:r>
        <w:rPr>
          <w:rFonts w:hint="default" w:ascii="Nimbus Roman No9 L" w:hAnsi="Nimbus Roman No9 L" w:cs="Nimbus Roman No9 L"/>
          <w:szCs w:val="32"/>
        </w:rPr>
        <w:t>以场景应用为牵引，依托5G基站基础，打造核心器件、基站、应用支撑服务组成的优势产业链条。加快推进诺思射频芯片产业基地、立联信中国新工厂等项目建设，重点支持5G基带芯片、终端核心射频器件、智能传感器、关键材料、天线、模组等关键产品的研发和生产。加快开展5G应用示范工程，着力引进一批创新能力强、行业影响大的龙头企业，推动5G与交通、医疗、娱乐等领域的融合。到2025年，成为5G全域应用示范区。</w:t>
      </w:r>
    </w:p>
    <w:p>
      <w:pPr>
        <w:pStyle w:val="4"/>
        <w:pageBreakBefore w:val="0"/>
        <w:widowControl w:val="0"/>
        <w:kinsoku/>
        <w:wordWrap/>
        <w:overflowPunct/>
        <w:topLinePunct w:val="0"/>
        <w:autoSpaceDE/>
        <w:autoSpaceDN/>
        <w:bidi w:val="0"/>
        <w:adjustRightInd/>
        <w:snapToGrid/>
        <w:spacing w:line="580" w:lineRule="exact"/>
        <w:ind w:firstLine="640"/>
        <w:textAlignment w:val="auto"/>
        <w:rPr>
          <w:rFonts w:hint="default" w:ascii="Nimbus Roman No9 L" w:hAnsi="Nimbus Roman No9 L" w:cs="Nimbus Roman No9 L"/>
          <w:b w:val="0"/>
          <w:bCs w:val="0"/>
        </w:rPr>
      </w:pPr>
      <w:bookmarkStart w:id="28" w:name="_Toc64906423"/>
      <w:bookmarkStart w:id="29" w:name="_Toc29100"/>
      <w:r>
        <w:rPr>
          <w:rFonts w:hint="default" w:ascii="Nimbus Roman No9 L" w:hAnsi="Nimbus Roman No9 L" w:cs="Nimbus Roman No9 L"/>
          <w:b w:val="0"/>
          <w:bCs w:val="0"/>
        </w:rPr>
        <w:t>（二）培育壮大三大战略性新兴产业</w:t>
      </w:r>
      <w:bookmarkEnd w:id="28"/>
      <w:bookmarkEnd w:id="29"/>
    </w:p>
    <w:p>
      <w:pPr>
        <w:pageBreakBefore w:val="0"/>
        <w:widowControl w:val="0"/>
        <w:kinsoku/>
        <w:wordWrap/>
        <w:overflowPunct/>
        <w:topLinePunct w:val="0"/>
        <w:autoSpaceDE/>
        <w:autoSpaceDN/>
        <w:bidi w:val="0"/>
        <w:adjustRightInd/>
        <w:snapToGrid/>
        <w:spacing w:line="580" w:lineRule="exact"/>
        <w:ind w:firstLine="643"/>
        <w:textAlignment w:val="auto"/>
        <w:outlineLvl w:val="2"/>
        <w:rPr>
          <w:rFonts w:hint="default" w:ascii="Nimbus Roman No9 L" w:hAnsi="Nimbus Roman No9 L" w:cs="Nimbus Roman No9 L"/>
          <w:b/>
          <w:bCs/>
          <w:szCs w:val="32"/>
        </w:rPr>
      </w:pPr>
      <w:r>
        <w:rPr>
          <w:rFonts w:hint="default" w:ascii="Nimbus Roman No9 L" w:hAnsi="Nimbus Roman No9 L" w:cs="Nimbus Roman No9 L"/>
          <w:b/>
          <w:bCs/>
          <w:szCs w:val="32"/>
        </w:rPr>
        <w:t>1.生物医药</w:t>
      </w:r>
    </w:p>
    <w:p>
      <w:pPr>
        <w:pageBreakBefore w:val="0"/>
        <w:widowControl w:val="0"/>
        <w:kinsoku/>
        <w:wordWrap/>
        <w:overflowPunct/>
        <w:topLinePunct w:val="0"/>
        <w:autoSpaceDE/>
        <w:autoSpaceDN/>
        <w:bidi w:val="0"/>
        <w:adjustRightInd/>
        <w:snapToGrid/>
        <w:spacing w:line="580" w:lineRule="exact"/>
        <w:ind w:firstLine="640"/>
        <w:textAlignment w:val="auto"/>
        <w:rPr>
          <w:rFonts w:hint="default" w:ascii="Nimbus Roman No9 L" w:hAnsi="Nimbus Roman No9 L" w:cs="Nimbus Roman No9 L"/>
          <w:szCs w:val="32"/>
        </w:rPr>
      </w:pPr>
      <w:r>
        <w:rPr>
          <w:rFonts w:hint="default" w:ascii="Nimbus Roman No9 L" w:hAnsi="Nimbus Roman No9 L" w:cs="Nimbus Roman No9 L"/>
          <w:szCs w:val="32"/>
        </w:rPr>
        <w:t>积极应对后疫情时代医疗健康自主创新发展要求，以服务不断升级的国民健康需求为根本，发挥国家生物产业基地产业创新资源汇集优势和研发平台带动作用，以增强自主创新能力为核心，强化领军企业创新主体地位，释放高能级平台创新效能，加速化学药和现代中药转型升级，推进生物药和高端医疗器械创新发展。到2025年，打造全国领先的生物医药先进制造业集群，产值突破700亿元，年均增速12%。</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rPr>
      </w:pPr>
      <w:r>
        <w:rPr>
          <w:rFonts w:hint="default" w:ascii="Nimbus Roman No9 L" w:hAnsi="Nimbus Roman No9 L" w:cs="Nimbus Roman No9 L"/>
          <w:b/>
          <w:bCs/>
          <w:szCs w:val="32"/>
        </w:rPr>
        <w:t>化学药。</w:t>
      </w:r>
      <w:r>
        <w:rPr>
          <w:rFonts w:hint="default" w:ascii="Nimbus Roman No9 L" w:hAnsi="Nimbus Roman No9 L" w:cs="Nimbus Roman No9 L"/>
        </w:rPr>
        <w:t>发挥天津药物研究院等创新平台优势，加速推进化学药转型升级，推进化学药研发基地建设，着力提升研发创新能力，重点发展药物中间体和高端原料药、化学药物制剂，加速化学药物临床试验布局，积极研发高端仿制药和创新药产品。药物中间体和高端原料药方面</w:t>
      </w:r>
      <w:r>
        <w:rPr>
          <w:rFonts w:hint="default" w:ascii="Nimbus Roman No9 L" w:hAnsi="Nimbus Roman No9 L" w:cs="Nimbus Roman No9 L"/>
          <w:b/>
          <w:bCs/>
        </w:rPr>
        <w:t>，</w:t>
      </w:r>
      <w:r>
        <w:rPr>
          <w:rFonts w:hint="default" w:ascii="Nimbus Roman No9 L" w:hAnsi="Nimbus Roman No9 L" w:cs="Nimbus Roman No9 L"/>
        </w:rPr>
        <w:t>引导龙头企业加强研发制造，推进滨海新区化学药研发生产基地建设，加快产品研发创新。</w:t>
      </w:r>
      <w:bookmarkStart w:id="30" w:name="_Hlk64723842"/>
      <w:r>
        <w:rPr>
          <w:rFonts w:hint="default" w:ascii="Nimbus Roman No9 L" w:hAnsi="Nimbus Roman No9 L" w:cs="Nimbus Roman No9 L"/>
        </w:rPr>
        <w:t>化学药物制剂</w:t>
      </w:r>
      <w:bookmarkEnd w:id="30"/>
      <w:r>
        <w:rPr>
          <w:rFonts w:hint="default" w:ascii="Nimbus Roman No9 L" w:hAnsi="Nimbus Roman No9 L" w:cs="Nimbus Roman No9 L"/>
        </w:rPr>
        <w:t>方面，支持重点企业突破高附加值剂型改造等关键核心技术，提高通用药物研发效率和质量。化学药物临床试验方面，加速临床前动物实验、人体临床试验等药物临床试验布局。支持企业开发仿制药和研发创新药，重点开展供应短缺、疗效确切、新专利到期药物的仿制药物开发；紧跟国际医药技术发展趋势，发展针对恶性肿瘤、心脑血管、病毒感染等疾病的创新药物。</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szCs w:val="32"/>
        </w:rPr>
      </w:pPr>
      <w:r>
        <w:rPr>
          <w:rFonts w:hint="default" w:ascii="Nimbus Roman No9 L" w:hAnsi="Nimbus Roman No9 L" w:cs="Nimbus Roman No9 L"/>
          <w:b/>
          <w:bCs/>
          <w:szCs w:val="32"/>
        </w:rPr>
        <w:t>现代中药。</w:t>
      </w:r>
      <w:r>
        <w:rPr>
          <w:rFonts w:hint="default" w:ascii="Nimbus Roman No9 L" w:hAnsi="Nimbus Roman No9 L" w:cs="Nimbus Roman No9 L"/>
          <w:szCs w:val="32"/>
        </w:rPr>
        <w:t>依托领军企业和现代中药制造业创新中心等重要载体，加速组分中药、中药制剂布局，推进中药创新化、现代化、国际化发展。拓展组分中药、中药制剂新产品，引进实施津村盛实高品质中药产业基地等一批高水平项目，加强组分中药和新型制剂开发，推进中药材有效成分提取、分离与纯化技术产业化。培育中药种植研制一体化模式，加快建设中新药业现代中药产业园，支持企业建立中药种植研制一体化模式，完善中药产业链。推进中药国际化进程，鼓励中药企业进行核心关键技术开发，与国内外龙头研究机构和企业开展合作，为中药“走出去”创造条件。</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szCs w:val="32"/>
        </w:rPr>
      </w:pPr>
      <w:r>
        <w:rPr>
          <w:rFonts w:hint="default" w:ascii="Nimbus Roman No9 L" w:hAnsi="Nimbus Roman No9 L" w:cs="Nimbus Roman No9 L"/>
          <w:b/>
          <w:bCs/>
          <w:szCs w:val="32"/>
        </w:rPr>
        <w:t>生物药。</w:t>
      </w:r>
      <w:r>
        <w:rPr>
          <w:rFonts w:hint="default" w:ascii="Nimbus Roman No9 L" w:hAnsi="Nimbus Roman No9 L" w:cs="Nimbus Roman No9 L"/>
          <w:szCs w:val="32"/>
        </w:rPr>
        <w:t>强化产品创新能力，发挥中国科学院天津工业生物技术研究所等创新平台作用，加速发展疫苗、重组蛋白、干细胞等重点领域，推进研发成果转化，积极发展海洋药物。疫苗方面，推进肿瘤、艾滋病、新冠等新型疫苗研发和产业化，打造疫苗产业基地。重组蛋白方面，发挥龙头企业优势，加强关键核心技术攻关，推动治疗糖尿病等严重慢性疾病，引进多肽合成领域项目，推动多肽合成产业化发展。干细胞方面，支持骨干企业</w:t>
      </w:r>
      <w:r>
        <w:rPr>
          <w:rFonts w:hint="default" w:ascii="Nimbus Roman No9 L" w:hAnsi="Nimbus Roman No9 L" w:cs="Nimbus Roman No9 L"/>
          <w:szCs w:val="40"/>
        </w:rPr>
        <w:t>开展干细胞和血液病细胞免疫治疗药物的临床研究，加快干细胞药物和再生医学、基因治疗等开发和应用，</w:t>
      </w:r>
      <w:r>
        <w:rPr>
          <w:rFonts w:hint="default" w:ascii="Nimbus Roman No9 L" w:hAnsi="Nimbus Roman No9 L" w:cs="Nimbus Roman No9 L"/>
          <w:szCs w:val="32"/>
        </w:rPr>
        <w:t>开发培育干细胞器官再生药物，双特异性抗体药物等新型单抗药物品种。海洋药物方面，加快海洋药物开发以及科技成果转化，前瞻布局抗病毒、抗肿瘤、抗心血管病及放射性药特效药等海洋药物产品。</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szCs w:val="32"/>
        </w:rPr>
      </w:pPr>
      <w:r>
        <w:rPr>
          <w:rFonts w:hint="default" w:ascii="Nimbus Roman No9 L" w:hAnsi="Nimbus Roman No9 L" w:cs="Nimbus Roman No9 L"/>
          <w:b/>
          <w:bCs/>
          <w:szCs w:val="32"/>
        </w:rPr>
        <w:t>高端医疗器械。</w:t>
      </w:r>
      <w:r>
        <w:rPr>
          <w:rFonts w:hint="default" w:ascii="Nimbus Roman No9 L" w:hAnsi="Nimbus Roman No9 L" w:cs="Nimbus Roman No9 L"/>
          <w:szCs w:val="32"/>
        </w:rPr>
        <w:t>发挥临床诊疗、植入物、诊断试剂等细分领域优势，重点发展通用诊断装备、植介入器械、高端医用试剂等高端医疗器械产品，扩大高端医疗器械产能，提升产品附加值。加速医疗诊断和治疗装备规模化，发挥龙头企业技术创新优势，加快发展角膜检测设备等专科诊断设备以及高标准移动化数字影像系统等通用诊断装备。壮大植介入器械产业规模，重点发展人工关节与骨科植入物、植入式人工心脏、冠脉药物支架等各类植介入人工器械。突破高端医用试剂产品，发展人类免疫抗体临床检测、化学发光免疫分析、新冠病毒诊断试剂盒等产品，推动基因测序、生物检测产品研发和产业化。</w:t>
      </w:r>
    </w:p>
    <w:p>
      <w:pPr>
        <w:pStyle w:val="5"/>
        <w:pageBreakBefore w:val="0"/>
        <w:widowControl w:val="0"/>
        <w:kinsoku/>
        <w:wordWrap/>
        <w:overflowPunct/>
        <w:topLinePunct w:val="0"/>
        <w:autoSpaceDE/>
        <w:autoSpaceDN/>
        <w:bidi w:val="0"/>
        <w:adjustRightInd/>
        <w:snapToGrid/>
        <w:spacing w:line="580" w:lineRule="exact"/>
        <w:textAlignment w:val="auto"/>
        <w:rPr>
          <w:rFonts w:hint="default" w:ascii="Nimbus Roman No9 L" w:hAnsi="Nimbus Roman No9 L" w:cs="Nimbus Roman No9 L"/>
        </w:rPr>
      </w:pPr>
      <w:r>
        <w:rPr>
          <w:rFonts w:hint="default" w:ascii="Nimbus Roman No9 L" w:hAnsi="Nimbus Roman No9 L" w:cs="Nimbus Roman No9 L"/>
        </w:rPr>
        <w:t>2.新能源</w:t>
      </w:r>
    </w:p>
    <w:p>
      <w:pPr>
        <w:pageBreakBefore w:val="0"/>
        <w:widowControl w:val="0"/>
        <w:kinsoku/>
        <w:wordWrap/>
        <w:overflowPunct/>
        <w:topLinePunct w:val="0"/>
        <w:autoSpaceDE/>
        <w:autoSpaceDN/>
        <w:bidi w:val="0"/>
        <w:adjustRightInd/>
        <w:snapToGrid/>
        <w:spacing w:line="580" w:lineRule="exact"/>
        <w:ind w:firstLine="640"/>
        <w:textAlignment w:val="auto"/>
        <w:rPr>
          <w:rFonts w:hint="default" w:ascii="Nimbus Roman No9 L" w:hAnsi="Nimbus Roman No9 L" w:cs="Nimbus Roman No9 L"/>
        </w:rPr>
      </w:pPr>
      <w:r>
        <w:rPr>
          <w:rFonts w:hint="default" w:ascii="Nimbus Roman No9 L" w:hAnsi="Nimbus Roman No9 L" w:cs="Nimbus Roman No9 L"/>
        </w:rPr>
        <w:t>把握“能源革命”重要战略机遇期，围绕“碳达峰、碳中和”目标，顺应绿色经济发展趋势，依托国家风电高新技术产业化基地、滨海高新区储能电池产业示范基地平台优势，坚持龙头引领、创新驱动、项目拉动，加速新能源产业集聚化、高端化、智能化、融合化发展，做强动力电池优势产业链，做优太阳能和风电特色产业链。到2025年，建成全国领先的新能源产业高地，产值突破900亿元，年均增速8%。</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rPr>
      </w:pPr>
      <w:r>
        <w:rPr>
          <w:rFonts w:hint="default" w:ascii="Nimbus Roman No9 L" w:hAnsi="Nimbus Roman No9 L" w:cs="Nimbus Roman No9 L"/>
          <w:b/>
          <w:bCs/>
          <w:szCs w:val="32"/>
        </w:rPr>
        <w:t>动力电池。</w:t>
      </w:r>
      <w:r>
        <w:rPr>
          <w:rFonts w:hint="default" w:ascii="Nimbus Roman No9 L" w:hAnsi="Nimbus Roman No9 L" w:cs="Nimbus Roman No9 L"/>
        </w:rPr>
        <w:t>面向新能源汽车产业需求，强化龙头企业引领优势，推进高性能电池产业化，做强从电池材料研发-生产制造-应用服务-电池利用的完整链条。推进电池关键材料研发创新，落实力神21700-5.0Ah（安时）研发等一批项目。推进高性能动力电池制造，发挥重点企业集聚优势，靶向招商引入产品附加值高、研发能力强的国内龙头动力电池生产企业，重点发展锂离子动力电池，突破锂硫电池及其他下一代动力电池关键核心技术，研制固态电池等一批产品。鼓励大型电池生产企业向循环经济领域延伸，突破退役电池快速分级、异构兼容梯次利用等关键技术，补齐动力电池回收与梯次利用短板。</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rPr>
      </w:pPr>
      <w:r>
        <w:rPr>
          <w:rFonts w:hint="default" w:ascii="Nimbus Roman No9 L" w:hAnsi="Nimbus Roman No9 L" w:cs="Nimbus Roman No9 L"/>
          <w:b/>
          <w:bCs/>
          <w:szCs w:val="32"/>
        </w:rPr>
        <w:t>风电。</w:t>
      </w:r>
      <w:r>
        <w:rPr>
          <w:rFonts w:hint="default" w:ascii="Nimbus Roman No9 L" w:hAnsi="Nimbus Roman No9 L" w:cs="Nimbus Roman No9 L"/>
        </w:rPr>
        <w:t>坚持海上风电与陆上风电并举，瞄准优势环节，围绕龙头企业发展上下游配套，打造集研发设计、设备制造、运维服务于一体的风电全产业链。加强上游研发技术创新，推进明阳风电研究院落户新区，重点突破大容量永磁直驱风电发电机组、智能叶片应用等设备关键零部件核心技术。以龙头企业项目为重点，提升风电叶片、大功率发电机、齿轮箱、控制系统等风电设备关键零部件的自主化水平和配套能力，进一步强化整机制造优势。加强风电场运营重点项目引进，形成对风电产业链的强有力支撑。</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rPr>
      </w:pPr>
      <w:r>
        <w:rPr>
          <w:rFonts w:hint="default" w:ascii="Nimbus Roman No9 L" w:hAnsi="Nimbus Roman No9 L" w:cs="Nimbus Roman No9 L"/>
          <w:b/>
          <w:bCs/>
          <w:szCs w:val="32"/>
        </w:rPr>
        <w:t>光伏。</w:t>
      </w:r>
      <w:r>
        <w:rPr>
          <w:rFonts w:hint="default" w:ascii="Nimbus Roman No9 L" w:hAnsi="Nimbus Roman No9 L" w:cs="Nimbus Roman No9 L"/>
        </w:rPr>
        <w:t>强化创新驱动、跨界融合，加速先进技术及工艺升级，重点发展光伏组件、光伏电池、光伏发电系统等关键领域，做精做细光伏产业链。加强光伏技术研发和工艺升级，推进中环股份年产10GW（吉瓦）高效太阳能电池用超薄硅单晶金刚线切片厂房及动力配套建设项目建设，加速光伏电池、组件技术和工艺高端化升级。加快推进太阳能高效叠瓦组件工厂等重点项目建设，突破光伏逆变器、配电箱、机柜等核心技术产品，加快迈向链条高利润环节，提升产业链整体附加值。发挥龙头企业优势，大力发展新型高效光伏电池。加快国投天津津湾120MW（兆瓦）光伏项目等重点项目建设，推进光伏发电系统领域发展。鼓励发展“光伏+5G网络”“光伏+数据中心”“光伏+充电桩”等光伏应用新业态。</w:t>
      </w:r>
    </w:p>
    <w:p>
      <w:pPr>
        <w:keepNext/>
        <w:keepLines/>
        <w:pageBreakBefore w:val="0"/>
        <w:widowControl w:val="0"/>
        <w:kinsoku/>
        <w:wordWrap/>
        <w:overflowPunct/>
        <w:topLinePunct w:val="0"/>
        <w:autoSpaceDE/>
        <w:autoSpaceDN/>
        <w:bidi w:val="0"/>
        <w:adjustRightInd/>
        <w:snapToGrid/>
        <w:spacing w:line="580" w:lineRule="exact"/>
        <w:ind w:firstLine="643"/>
        <w:textAlignment w:val="auto"/>
        <w:outlineLvl w:val="2"/>
        <w:rPr>
          <w:rFonts w:hint="default" w:ascii="Nimbus Roman No9 L" w:hAnsi="Nimbus Roman No9 L" w:cs="Nimbus Roman No9 L"/>
          <w:b/>
          <w:bCs/>
          <w:szCs w:val="32"/>
        </w:rPr>
      </w:pPr>
      <w:r>
        <w:rPr>
          <w:rFonts w:hint="default" w:ascii="Nimbus Roman No9 L" w:hAnsi="Nimbus Roman No9 L" w:cs="Nimbus Roman No9 L"/>
          <w:b/>
          <w:bCs/>
          <w:szCs w:val="32"/>
        </w:rPr>
        <w:t>3.新材料</w:t>
      </w:r>
    </w:p>
    <w:p>
      <w:pPr>
        <w:pageBreakBefore w:val="0"/>
        <w:widowControl w:val="0"/>
        <w:kinsoku/>
        <w:wordWrap/>
        <w:overflowPunct/>
        <w:topLinePunct w:val="0"/>
        <w:autoSpaceDE/>
        <w:autoSpaceDN/>
        <w:bidi w:val="0"/>
        <w:adjustRightInd/>
        <w:snapToGrid/>
        <w:spacing w:line="580" w:lineRule="exact"/>
        <w:ind w:firstLine="640"/>
        <w:textAlignment w:val="auto"/>
        <w:rPr>
          <w:rFonts w:hint="default" w:ascii="Nimbus Roman No9 L" w:hAnsi="Nimbus Roman No9 L" w:cs="Nimbus Roman No9 L"/>
        </w:rPr>
      </w:pPr>
      <w:r>
        <w:rPr>
          <w:rFonts w:hint="default" w:ascii="Nimbus Roman No9 L" w:hAnsi="Nimbus Roman No9 L" w:cs="Nimbus Roman No9 L"/>
        </w:rPr>
        <w:t>把握新材料与信息、能源、生物等高新技术融合发展机遇，面向战略性新兴产业创新发展和优势产业转型升级需求，坚持需求引导、高端引领、绿色发展，推进先进基础材料转型提升，加速关键战略材料技术突破的产业化，前瞻布局引领未来的前沿新兴材料。到2025年产值达到1200亿元，年均增速9%，建成国内一流的新材料产业基地。</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szCs w:val="32"/>
        </w:rPr>
      </w:pPr>
      <w:r>
        <w:rPr>
          <w:rFonts w:hint="default" w:ascii="Nimbus Roman No9 L" w:hAnsi="Nimbus Roman No9 L" w:cs="Nimbus Roman No9 L"/>
          <w:b/>
          <w:bCs/>
          <w:szCs w:val="32"/>
        </w:rPr>
        <w:t>先进化工材料。</w:t>
      </w:r>
      <w:r>
        <w:rPr>
          <w:rFonts w:hint="default" w:ascii="Nimbus Roman No9 L" w:hAnsi="Nimbus Roman No9 L" w:cs="Nimbus Roman No9 L"/>
          <w:szCs w:val="32"/>
        </w:rPr>
        <w:t>立足化工产业发展基础，以龙头企业和重大项目为引领，</w:t>
      </w:r>
      <w:r>
        <w:rPr>
          <w:rFonts w:hint="default" w:ascii="Nimbus Roman No9 L" w:hAnsi="Nimbus Roman No9 L" w:cs="Nimbus Roman No9 L"/>
        </w:rPr>
        <w:t>加大技术改造和材料革新支持力度，重点发展高性能工程塑料、高性能合成橡胶、高分子材料助剂、高性能分离膜材料等领域，</w:t>
      </w:r>
      <w:r>
        <w:rPr>
          <w:rFonts w:hint="default" w:ascii="Nimbus Roman No9 L" w:hAnsi="Nimbus Roman No9 L" w:cs="Nimbus Roman No9 L"/>
          <w:szCs w:val="32"/>
        </w:rPr>
        <w:t>推进化工材料绿色化、集约化发展，建设世界一流化工新材料基地。扩大高性能工程塑料产能，发挥企业重点实验室研发优势，重点发展聚甲醛等特种工程塑料。推进高性能合成橡胶技术攻关，鼓励企业联合科研机构开展协同攻关，重点发展热塑性弹性体等合成橡胶。提升高分子材料助剂产能，重点发展光稳定剂、抗氧化剂等抗老化助剂材料。培育高性能分离膜材料，发挥企业重点实验室的研发优势，推进膜材料在城市污水、工业废水、海水及苦咸水处理等领域的应用。</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szCs w:val="32"/>
        </w:rPr>
      </w:pPr>
      <w:bookmarkStart w:id="31" w:name="_Hlk62468401"/>
      <w:r>
        <w:rPr>
          <w:rFonts w:hint="default" w:ascii="Nimbus Roman No9 L" w:hAnsi="Nimbus Roman No9 L" w:cs="Nimbus Roman No9 L"/>
          <w:b/>
          <w:bCs/>
          <w:szCs w:val="32"/>
        </w:rPr>
        <w:t>新一代信息技术材料</w:t>
      </w:r>
      <w:bookmarkEnd w:id="31"/>
      <w:r>
        <w:rPr>
          <w:rFonts w:hint="default" w:ascii="Nimbus Roman No9 L" w:hAnsi="Nimbus Roman No9 L" w:cs="Nimbus Roman No9 L"/>
          <w:b/>
          <w:bCs/>
          <w:szCs w:val="32"/>
        </w:rPr>
        <w:t>。</w:t>
      </w:r>
      <w:r>
        <w:rPr>
          <w:rFonts w:hint="default" w:ascii="Nimbus Roman No9 L" w:hAnsi="Nimbus Roman No9 L" w:cs="Nimbus Roman No9 L"/>
          <w:szCs w:val="32"/>
        </w:rPr>
        <w:t>把握“天津智港”建设机遇，着力突破新一代信息技术材料关键技术，聚焦高端产品扩大产能，重点发展新型半导体材料、光电子材料、工艺辅助及封装材料等领域，夯实智能制造发展基础。扩大新型半导体材料产能，发挥重点企业和研发院所技术研发优势，重点发展硅单晶、化合物半导体材料，突破宽禁带半导体材料。突破光电子材料关键技术，重点发展高性能光纤材料和光电显示材料，推进富通集团光纤和预制棒制造等重点项目建设，支持领军企业加大半导体照明材料研发力度。大力发展工艺辅助及封装材料，发展半导体封装橡胶清模胶条等辅助材料。</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szCs w:val="32"/>
        </w:rPr>
      </w:pPr>
      <w:r>
        <w:rPr>
          <w:rFonts w:hint="default" w:ascii="Nimbus Roman No9 L" w:hAnsi="Nimbus Roman No9 L" w:cs="Nimbus Roman No9 L"/>
          <w:b/>
          <w:bCs/>
          <w:szCs w:val="32"/>
        </w:rPr>
        <w:t>新能源材料。</w:t>
      </w:r>
      <w:r>
        <w:rPr>
          <w:rFonts w:hint="default" w:ascii="Nimbus Roman No9 L" w:hAnsi="Nimbus Roman No9 L" w:cs="Nimbus Roman No9 L"/>
          <w:szCs w:val="32"/>
        </w:rPr>
        <w:t>把握新能源产业发展机遇，发挥领军企业带动作用和领先优势，加快技术创新，突破新能源材料发展后劲不足的问题，重点发展锂电池材料、氢电池材料、太阳能电池材料。锂电池材料方面，加快推进巴斯夫正极材料、金牛六氟磷酸锂、新宙邦电解液等项目，重点发展正极材料、负极材料、电解液和隔膜等锂离子动力电池材料。氢电池材料方面，发挥龙头企业技术优势，大力推进电堆、质子交换膜及膜电极等氢燃料电池核心部件关键材料工程化进程。太阳能电池方面，加大项目引进，发展晶体硅太阳能材料和化合物薄膜太阳能电池材料，开发可储电太阳能发电纸等颠覆性创新产品。</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szCs w:val="32"/>
        </w:rPr>
      </w:pPr>
      <w:r>
        <w:rPr>
          <w:rFonts w:hint="default" w:ascii="Nimbus Roman No9 L" w:hAnsi="Nimbus Roman No9 L" w:cs="Nimbus Roman No9 L"/>
          <w:b/>
          <w:bCs/>
          <w:szCs w:val="32"/>
        </w:rPr>
        <w:t>节能环保材料。</w:t>
      </w:r>
      <w:r>
        <w:rPr>
          <w:rFonts w:hint="default" w:ascii="Nimbus Roman No9 L" w:hAnsi="Nimbus Roman No9 L" w:cs="Nimbus Roman No9 L"/>
          <w:szCs w:val="32"/>
        </w:rPr>
        <w:t>聚焦材料产业绿色化发展趋势，以经开区北区和中区为主要承载地，重点发展新型保温隔热材料、节能建筑玻璃、新型环保管材。扩大超薄真空绝热保温板（STP）等保温材料产能，加速硅气凝胶、碳气凝胶等隔热材料技术革新，推进断热稀土涂层、断热稀土夹胶玻璃等新兴节能产品研发和性能提升，拓展新型保温隔热材料应用范围。重点开发低辐射镀膜玻璃、热反射镀膜玻璃、中空玻璃、钢化玻璃、夹层玻璃、彩釉玻璃等高档节能玻璃产品，加速产品优化和升级。开发辛烯共聚聚乙烯类环保管材产品，增强管材防腐蚀性、延长使用寿命长、减轻重量，降低建筑施工综合造价成本。</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szCs w:val="32"/>
        </w:rPr>
      </w:pPr>
      <w:r>
        <w:rPr>
          <w:rFonts w:hint="default" w:ascii="Nimbus Roman No9 L" w:hAnsi="Nimbus Roman No9 L" w:cs="Nimbus Roman No9 L"/>
          <w:b/>
          <w:bCs/>
          <w:szCs w:val="32"/>
        </w:rPr>
        <w:t>超导材料。</w:t>
      </w:r>
      <w:r>
        <w:rPr>
          <w:rFonts w:hint="default" w:ascii="Nimbus Roman No9 L" w:hAnsi="Nimbus Roman No9 L" w:cs="Nimbus Roman No9 L"/>
          <w:szCs w:val="32"/>
        </w:rPr>
        <w:t>发挥龙头企业产业基础和技术领先优势，积极开展应用推广示范工程，培育超导薄膜材料、高温超导电缆材料等领域。大力发展高温超导薄膜材料，支持企业革新高温超导薄膜技术，加强超导薄膜低成本批量化制备和应用。积极发展高温超导电缆材料，推进钇系列高温超导电缆材料开发，研发长寿命漆包线等超导电缆制作用材。推行超导电缆应用示范工程等一体化服务体系，加强高压传输与智能电网运行管理，支持开展国家级、天津市级示范工程项目，优化用电系统布局。</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szCs w:val="32"/>
        </w:rPr>
      </w:pPr>
      <w:r>
        <w:rPr>
          <w:rFonts w:hint="default" w:ascii="Nimbus Roman No9 L" w:hAnsi="Nimbus Roman No9 L" w:cs="Nimbus Roman No9 L"/>
          <w:b/>
          <w:bCs/>
          <w:szCs w:val="32"/>
        </w:rPr>
        <w:t>石墨烯材料。</w:t>
      </w:r>
      <w:r>
        <w:rPr>
          <w:rFonts w:hint="default" w:ascii="Nimbus Roman No9 L" w:hAnsi="Nimbus Roman No9 L" w:cs="Nimbus Roman No9 L"/>
          <w:szCs w:val="32"/>
        </w:rPr>
        <w:t>面向行业需求，发挥天津石墨烯工程创新中心作用，加强与英国曼彻斯特大学等高校及科研院所在新材料领域的对接与合作，加快推进滨海中关村——曼彻斯特孵化创新平台项目落地，重点培育石墨烯锂离子电池材料和石墨烯弹性体材料。加强与本地新能源汽车企业对接，推进石墨烯锂离子电池技术的研发和应用，发展石墨烯锂离子电池材料。面向轨道交通、新一代信息技术等领域的减振和密封需求，重点发展高耐动态疲劳、长使用寿命的石墨烯弹性材料。</w:t>
      </w:r>
    </w:p>
    <w:p>
      <w:pPr>
        <w:pStyle w:val="4"/>
        <w:pageBreakBefore w:val="0"/>
        <w:widowControl w:val="0"/>
        <w:kinsoku/>
        <w:wordWrap/>
        <w:overflowPunct/>
        <w:topLinePunct w:val="0"/>
        <w:autoSpaceDE/>
        <w:autoSpaceDN/>
        <w:bidi w:val="0"/>
        <w:adjustRightInd/>
        <w:snapToGrid/>
        <w:spacing w:line="580" w:lineRule="exact"/>
        <w:ind w:firstLine="640"/>
        <w:textAlignment w:val="auto"/>
        <w:rPr>
          <w:rFonts w:hint="default" w:ascii="Nimbus Roman No9 L" w:hAnsi="Nimbus Roman No9 L" w:cs="Nimbus Roman No9 L"/>
          <w:b w:val="0"/>
          <w:bCs w:val="0"/>
        </w:rPr>
      </w:pPr>
      <w:bookmarkStart w:id="32" w:name="_Toc18284"/>
      <w:bookmarkStart w:id="33" w:name="_Toc64906424"/>
      <w:r>
        <w:rPr>
          <w:rFonts w:hint="default" w:ascii="Nimbus Roman No9 L" w:hAnsi="Nimbus Roman No9 L" w:cs="Nimbus Roman No9 L"/>
          <w:b w:val="0"/>
          <w:bCs w:val="0"/>
        </w:rPr>
        <w:t>（三）提升发展四大优势产业</w:t>
      </w:r>
      <w:bookmarkEnd w:id="32"/>
      <w:bookmarkEnd w:id="33"/>
    </w:p>
    <w:p>
      <w:pPr>
        <w:pStyle w:val="5"/>
        <w:pageBreakBefore w:val="0"/>
        <w:widowControl w:val="0"/>
        <w:kinsoku/>
        <w:wordWrap/>
        <w:overflowPunct/>
        <w:topLinePunct w:val="0"/>
        <w:autoSpaceDE/>
        <w:autoSpaceDN/>
        <w:bidi w:val="0"/>
        <w:adjustRightInd/>
        <w:snapToGrid/>
        <w:spacing w:line="580" w:lineRule="exact"/>
        <w:textAlignment w:val="auto"/>
        <w:rPr>
          <w:rFonts w:hint="default" w:ascii="Nimbus Roman No9 L" w:hAnsi="Nimbus Roman No9 L" w:cs="Nimbus Roman No9 L"/>
        </w:rPr>
      </w:pPr>
      <w:r>
        <w:rPr>
          <w:rFonts w:hint="default" w:ascii="Nimbus Roman No9 L" w:hAnsi="Nimbus Roman No9 L" w:cs="Nimbus Roman No9 L"/>
        </w:rPr>
        <w:t>1.汽车</w:t>
      </w:r>
    </w:p>
    <w:p>
      <w:pPr>
        <w:pageBreakBefore w:val="0"/>
        <w:widowControl w:val="0"/>
        <w:kinsoku/>
        <w:wordWrap/>
        <w:overflowPunct/>
        <w:topLinePunct w:val="0"/>
        <w:autoSpaceDE/>
        <w:autoSpaceDN/>
        <w:bidi w:val="0"/>
        <w:adjustRightInd/>
        <w:snapToGrid/>
        <w:spacing w:line="580" w:lineRule="exact"/>
        <w:ind w:firstLine="640"/>
        <w:textAlignment w:val="auto"/>
        <w:rPr>
          <w:rFonts w:hint="default" w:ascii="Nimbus Roman No9 L" w:hAnsi="Nimbus Roman No9 L" w:cs="Nimbus Roman No9 L"/>
        </w:rPr>
      </w:pPr>
      <w:r>
        <w:rPr>
          <w:rFonts w:hint="default" w:ascii="Nimbus Roman No9 L" w:hAnsi="Nimbus Roman No9 L" w:cs="Nimbus Roman No9 L"/>
        </w:rPr>
        <w:t>把握汽车产业电动化、轻量化、数字化发展趋势，依托滨海新区新型工业化汽车产业示范基地和国家级汽车及零部件出口基地，向上游延伸增强自主研发设计能力，向下游拓展汽车服务，推进整车制造和核心零部件存量产业高端化转型，瞄准新能源汽车及关键系统推进增量引入</w:t>
      </w:r>
      <w:bookmarkStart w:id="34" w:name="_Hlk63091686"/>
      <w:r>
        <w:rPr>
          <w:rFonts w:hint="default" w:ascii="Nimbus Roman No9 L" w:hAnsi="Nimbus Roman No9 L" w:cs="Nimbus Roman No9 L"/>
        </w:rPr>
        <w:t>。到2025年产值达到2300亿元</w:t>
      </w:r>
      <w:bookmarkEnd w:id="34"/>
      <w:r>
        <w:rPr>
          <w:rFonts w:hint="default" w:ascii="Nimbus Roman No9 L" w:hAnsi="Nimbus Roman No9 L" w:cs="Nimbus Roman No9 L"/>
        </w:rPr>
        <w:t>，年均增速6%，打造国际一流的综合型汽车城。</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rPr>
      </w:pPr>
      <w:r>
        <w:rPr>
          <w:rFonts w:hint="default" w:ascii="Nimbus Roman No9 L" w:hAnsi="Nimbus Roman No9 L" w:cs="Nimbus Roman No9 L"/>
          <w:b/>
          <w:bCs/>
          <w:szCs w:val="32"/>
        </w:rPr>
        <w:t>整车制造及关键零部件。</w:t>
      </w:r>
      <w:r>
        <w:rPr>
          <w:rFonts w:hint="default" w:ascii="Nimbus Roman No9 L" w:hAnsi="Nimbus Roman No9 L" w:cs="Nimbus Roman No9 L"/>
        </w:rPr>
        <w:t>以推进存量产业升级为导向，围绕整车制造龙头企业，完善关键零部件配套产业链，重点发展高端乘用车、特色专用车等整车制造领域以及自动变速器、发动机、传动系统、助力转向等关键零部件产品及技术。加强汽车研发设计机构引育，瞄准长三角、珠三角等区域，突破整车、核心零部件研发新技术新产品。依托天津经开区汽车产业聚集地，加大整车项目引进以及一汽大众华北生产基地（二期）、一汽丰田卡罗拉换代（260B）卡罗拉双擎HEV（混合电动汽车）换代（261B）等项目投达产，重点布局高端乘用车、特色专用车等高端车型。围绕整车项目，做大做强自动变速器、发动机等一批关键零部件产品，突破</w:t>
      </w:r>
      <w:bookmarkStart w:id="35" w:name="_Hlk64727538"/>
      <w:r>
        <w:rPr>
          <w:rFonts w:hint="default" w:ascii="Nimbus Roman No9 L" w:hAnsi="Nimbus Roman No9 L" w:cs="Nimbus Roman No9 L"/>
        </w:rPr>
        <w:t>传动系统、助力转</w:t>
      </w:r>
      <w:bookmarkEnd w:id="35"/>
      <w:r>
        <w:rPr>
          <w:rFonts w:hint="default" w:ascii="Nimbus Roman No9 L" w:hAnsi="Nimbus Roman No9 L" w:cs="Nimbus Roman No9 L"/>
        </w:rPr>
        <w:t>向等领域核心技术攻关，重点推进45万台DQ380双离合自动变速器、大众自动变速器APPP310动力电机等项目投达产。</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rPr>
      </w:pPr>
      <w:r>
        <w:rPr>
          <w:rFonts w:hint="default" w:ascii="Nimbus Roman No9 L" w:hAnsi="Nimbus Roman No9 L" w:cs="Nimbus Roman No9 L"/>
          <w:b/>
          <w:bCs/>
          <w:szCs w:val="32"/>
        </w:rPr>
        <w:t>新能源汽车。</w:t>
      </w:r>
      <w:r>
        <w:rPr>
          <w:rFonts w:hint="default" w:ascii="Nimbus Roman No9 L" w:hAnsi="Nimbus Roman No9 L" w:cs="Nimbus Roman No9 L"/>
        </w:rPr>
        <w:t>坚持纯电驱动战略导向，推进新能源整车项目落地，加大关键系统研发力度，做强动力电池、驱动电机及电控等关键零部件、整车的新能源汽车优势产业链。加强核心零部件技术研发，积极引进高效安全的动力管理系统生产企业，推进驱动电机和控制系统以及电助力转向、电动空调和电制动等关键零部件布局。加快天津</w:t>
      </w:r>
      <w:bookmarkStart w:id="36" w:name="_Hlk62136212"/>
      <w:r>
        <w:rPr>
          <w:rFonts w:hint="default" w:ascii="Nimbus Roman No9 L" w:hAnsi="Nimbus Roman No9 L" w:cs="Nimbus Roman No9 L"/>
        </w:rPr>
        <w:t>一汽丰田</w:t>
      </w:r>
      <w:bookmarkEnd w:id="36"/>
      <w:r>
        <w:rPr>
          <w:rFonts w:hint="default" w:ascii="Nimbus Roman No9 L" w:hAnsi="Nimbus Roman No9 L" w:cs="Nimbus Roman No9 L"/>
        </w:rPr>
        <w:t>新能源汽车生产基地项目、合众新能源汽车有限公司天津新工厂等项目进度，集中突破制约氢燃料电池汽车产业发展的核心技术和瓶颈问题，扩大布局纯电动汽车、插电式混合动力汽车、氢燃料电池汽车等新能源汽车。</w:t>
      </w:r>
    </w:p>
    <w:p>
      <w:pPr>
        <w:pStyle w:val="5"/>
        <w:pageBreakBefore w:val="0"/>
        <w:widowControl w:val="0"/>
        <w:kinsoku/>
        <w:wordWrap/>
        <w:overflowPunct/>
        <w:topLinePunct w:val="0"/>
        <w:autoSpaceDE/>
        <w:autoSpaceDN/>
        <w:bidi w:val="0"/>
        <w:adjustRightInd/>
        <w:snapToGrid/>
        <w:spacing w:line="580" w:lineRule="exact"/>
        <w:textAlignment w:val="auto"/>
        <w:rPr>
          <w:rFonts w:hint="default" w:ascii="Nimbus Roman No9 L" w:hAnsi="Nimbus Roman No9 L" w:cs="Nimbus Roman No9 L"/>
        </w:rPr>
      </w:pPr>
      <w:r>
        <w:rPr>
          <w:rFonts w:hint="default" w:ascii="Nimbus Roman No9 L" w:hAnsi="Nimbus Roman No9 L" w:cs="Nimbus Roman No9 L"/>
        </w:rPr>
        <w:t>2.装备制造</w:t>
      </w:r>
    </w:p>
    <w:p>
      <w:pPr>
        <w:pageBreakBefore w:val="0"/>
        <w:widowControl w:val="0"/>
        <w:kinsoku/>
        <w:wordWrap/>
        <w:overflowPunct/>
        <w:topLinePunct w:val="0"/>
        <w:autoSpaceDE/>
        <w:autoSpaceDN/>
        <w:bidi w:val="0"/>
        <w:adjustRightInd/>
        <w:snapToGrid/>
        <w:spacing w:line="580" w:lineRule="exact"/>
        <w:ind w:firstLine="640"/>
        <w:textAlignment w:val="auto"/>
        <w:rPr>
          <w:rFonts w:hint="default" w:ascii="Nimbus Roman No9 L" w:hAnsi="Nimbus Roman No9 L" w:cs="Nimbus Roman No9 L"/>
        </w:rPr>
      </w:pPr>
      <w:r>
        <w:rPr>
          <w:rFonts w:hint="default" w:ascii="Nimbus Roman No9 L" w:hAnsi="Nimbus Roman No9 L" w:cs="Nimbus Roman No9 L"/>
        </w:rPr>
        <w:t>把握装备制造业智能化、绿色化、服务化发展方向，结合滨海新区智能科技和装备制造产业基础，坚持整机突破与配套完善相结合，坚持自主可控与开放发展相结合，以智能装备为引领，大力发展轨道交通装备、海洋装备，加速传统装备制造转型，推动装备制造业迈向价值链高端环节，优化稳定产业链供应链，培育一批具有自主知识产权的标志性产品</w:t>
      </w:r>
      <w:bookmarkStart w:id="37" w:name="_Hlk63090626"/>
      <w:r>
        <w:rPr>
          <w:rFonts w:hint="default" w:ascii="Nimbus Roman No9 L" w:hAnsi="Nimbus Roman No9 L" w:cs="Nimbus Roman No9 L"/>
        </w:rPr>
        <w:t>。到2025年产值达到1000亿元</w:t>
      </w:r>
      <w:bookmarkEnd w:id="37"/>
      <w:r>
        <w:rPr>
          <w:rFonts w:hint="default" w:ascii="Nimbus Roman No9 L" w:hAnsi="Nimbus Roman No9 L" w:cs="Nimbus Roman No9 L"/>
        </w:rPr>
        <w:t>，年均增速8%，打造具有全球影响力的高端装备产业发展示范高地。</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rPr>
      </w:pPr>
      <w:r>
        <w:rPr>
          <w:rFonts w:hint="default" w:ascii="Nimbus Roman No9 L" w:hAnsi="Nimbus Roman No9 L" w:cs="Nimbus Roman No9 L"/>
          <w:b/>
          <w:bCs/>
          <w:szCs w:val="32"/>
        </w:rPr>
        <w:t>智能装备。</w:t>
      </w:r>
      <w:r>
        <w:rPr>
          <w:rFonts w:hint="default" w:ascii="Nimbus Roman No9 L" w:hAnsi="Nimbus Roman No9 L" w:cs="Nimbus Roman No9 L"/>
        </w:rPr>
        <w:t>推进实体经济与信息技术深度融合，加快机器人、高档数控机床、智能装备关键部件布局，提升工业智能化水平。发挥龙头企业优势，重点发展混联机器人、协作机器人、医疗健康机器人等机器人产品，加快推进智能传感器产业基地、合力二期智能工厂、新松工业机器人研发生产智慧产业园等项目建设，加快减速器、传感器、伺服电机等核心零部件发展，推动机器人系统集成自主品牌建设。鼓励高档数控机床企业加大研发力度，突破数控系统、伺服驱动、关键零部件等高档数控机床核心技术产品。聚焦机械装备企业，重点发展高精度可靠性液压、气压、机械传动系统，高性能螺杆泵、高端齿轮箱、高温高压阀门等智能装备关键部件产品。</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rPr>
      </w:pPr>
      <w:r>
        <w:rPr>
          <w:rFonts w:hint="default" w:ascii="Nimbus Roman No9 L" w:hAnsi="Nimbus Roman No9 L" w:cs="Nimbus Roman No9 L"/>
          <w:b/>
          <w:bCs/>
          <w:szCs w:val="32"/>
        </w:rPr>
        <w:t>轨道交通装备</w:t>
      </w:r>
      <w:r>
        <w:rPr>
          <w:rFonts w:hint="default" w:ascii="Nimbus Roman No9 L" w:hAnsi="Nimbus Roman No9 L" w:eastAsia="楷体_GB2312" w:cs="Nimbus Roman No9 L"/>
          <w:b/>
          <w:bCs/>
          <w:szCs w:val="32"/>
        </w:rPr>
        <w:t>。</w:t>
      </w:r>
      <w:r>
        <w:rPr>
          <w:rFonts w:hint="default" w:ascii="Nimbus Roman No9 L" w:hAnsi="Nimbus Roman No9 L" w:cs="Nimbus Roman No9 L"/>
          <w:szCs w:val="32"/>
        </w:rPr>
        <w:t>围绕高速、重载、绿色、智能发展方向，大力突破关键领域核心技术，</w:t>
      </w:r>
      <w:r>
        <w:rPr>
          <w:rFonts w:hint="default" w:ascii="Nimbus Roman No9 L" w:hAnsi="Nimbus Roman No9 L" w:cs="Nimbus Roman No9 L"/>
        </w:rPr>
        <w:t>加强重点项目引育，重点发展信号系统、综合控制系统等关键系统以及轨道交通整车制造。以中欧先进制造产业园为重点承接载体，招引一批</w:t>
      </w:r>
      <w:bookmarkStart w:id="38" w:name="_Hlk64900362"/>
      <w:r>
        <w:rPr>
          <w:rFonts w:hint="default" w:ascii="Nimbus Roman No9 L" w:hAnsi="Nimbus Roman No9 L" w:cs="Nimbus Roman No9 L"/>
        </w:rPr>
        <w:t>信号系统、综合控制系统等关键系统</w:t>
      </w:r>
      <w:bookmarkEnd w:id="38"/>
      <w:r>
        <w:rPr>
          <w:rFonts w:hint="default" w:ascii="Nimbus Roman No9 L" w:hAnsi="Nimbus Roman No9 L" w:cs="Nimbus Roman No9 L"/>
        </w:rPr>
        <w:t>企业，突破基于通信的列车控制系统（CBTC）、全自动运行系统（FAO）等一批新技术。以国内外市场需求为导向，发展多系列城轨车辆产品谱系的整车制造。积极探索轨道交通场景创新，发展智能安检、</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rPr>
      </w:pPr>
      <w:r>
        <w:rPr>
          <w:rFonts w:hint="default" w:ascii="Nimbus Roman No9 L" w:hAnsi="Nimbus Roman No9 L" w:cs="Nimbus Roman No9 L"/>
          <w:b/>
          <w:bCs/>
          <w:szCs w:val="32"/>
        </w:rPr>
        <w:t>海洋装备</w:t>
      </w:r>
      <w:r>
        <w:rPr>
          <w:rFonts w:hint="default" w:ascii="Nimbus Roman No9 L" w:hAnsi="Nimbus Roman No9 L" w:eastAsia="楷体_GB2312" w:cs="Nimbus Roman No9 L"/>
          <w:b/>
          <w:bCs/>
          <w:szCs w:val="32"/>
        </w:rPr>
        <w:t>。</w:t>
      </w:r>
      <w:r>
        <w:rPr>
          <w:rFonts w:hint="default" w:ascii="Nimbus Roman No9 L" w:hAnsi="Nimbus Roman No9 L" w:cs="Nimbus Roman No9 L"/>
        </w:rPr>
        <w:t>发挥沿海区位优势，立足装备制造产业基础，以大型化、深海化、智能化为发展方向，重点发展海洋工程装备、高技术船舶、海水淡化装备、海洋智能装备，打造海洋先进装备研发制造产业基地。海洋工程装备方面，发挥龙头企业集聚优势，重点布局发展浅海钻井平台、深水半潜式储卸油生产平台等海洋油气开采装备以及港口疏浚船舶和大型港口航道工程机械等港口航道工程装备。高技术船舶方面，顺应大数据、5G、人工智能等技术与船舶制造融合趋势，加快天津临港造修船基地技术中心建设，重点发展LNG（液化天然气船）、VLCC（超大型油轮）等大型油气储运船舶，以及海洋环保船、大型医疗船、大型客滚船、豪华游船和邮轮、科考船等高附加值智能船舶；强化船舶配套体系建设，引育船用钢材、焊材、涂料、电缆等船舶高端配套企业，重点发展船用智能化电控、网络和信息安全防护、气体动力和混合燃料等系统以及高端船用发动机、新型船用齿轮箱、甲板机械及关键部件等配套设备，强化新型船舶自主航行、船舶除锈机器人等智能化船舶配套技术。海水淡化装备方面，以海水淡化装备整机制造为引领，积极发展大型热法、膜法海水淡化成套装备制造，以及中小型系列化海水淡化装置、模块化海水淡化装置等制造领域，突破海水淡化装备卡脖子技术，健全产业链条，形成产业集群。海洋智能装备产业方面，发挥国家海洋技术中心、天津大学等科研院所及头部企业优势，重点发展波浪能滑翔器、无人艇、水下滑翔机、Argo（自沉浮式剖面探测浮标）等机动自主探测平台及国产海洋探测传感器等低成本、低功耗的海洋环境探测装备，加快完善水下智能装备产业链，打造高端智能海洋装备产业聚集地。</w:t>
      </w:r>
    </w:p>
    <w:p>
      <w:pPr>
        <w:keepNext/>
        <w:keepLines/>
        <w:pageBreakBefore w:val="0"/>
        <w:widowControl w:val="0"/>
        <w:kinsoku/>
        <w:wordWrap/>
        <w:overflowPunct/>
        <w:topLinePunct w:val="0"/>
        <w:autoSpaceDE/>
        <w:autoSpaceDN/>
        <w:bidi w:val="0"/>
        <w:adjustRightInd/>
        <w:snapToGrid/>
        <w:spacing w:line="580" w:lineRule="exact"/>
        <w:ind w:firstLine="643"/>
        <w:textAlignment w:val="auto"/>
        <w:outlineLvl w:val="2"/>
        <w:rPr>
          <w:rFonts w:hint="default" w:ascii="Nimbus Roman No9 L" w:hAnsi="Nimbus Roman No9 L" w:cs="Nimbus Roman No9 L"/>
          <w:b/>
          <w:bCs/>
          <w:szCs w:val="32"/>
        </w:rPr>
      </w:pPr>
      <w:r>
        <w:rPr>
          <w:rFonts w:hint="default" w:ascii="Nimbus Roman No9 L" w:hAnsi="Nimbus Roman No9 L" w:cs="Nimbus Roman No9 L"/>
          <w:b/>
          <w:bCs/>
          <w:szCs w:val="32"/>
        </w:rPr>
        <w:t>3.航空航天</w:t>
      </w:r>
    </w:p>
    <w:p>
      <w:pPr>
        <w:pageBreakBefore w:val="0"/>
        <w:widowControl w:val="0"/>
        <w:kinsoku/>
        <w:wordWrap/>
        <w:overflowPunct/>
        <w:topLinePunct w:val="0"/>
        <w:autoSpaceDE/>
        <w:autoSpaceDN/>
        <w:bidi w:val="0"/>
        <w:adjustRightInd/>
        <w:snapToGrid/>
        <w:spacing w:line="580" w:lineRule="exact"/>
        <w:ind w:firstLine="640"/>
        <w:textAlignment w:val="auto"/>
        <w:rPr>
          <w:rFonts w:hint="default" w:ascii="Nimbus Roman No9 L" w:hAnsi="Nimbus Roman No9 L" w:cs="Nimbus Roman No9 L"/>
          <w:szCs w:val="32"/>
        </w:rPr>
      </w:pPr>
      <w:r>
        <w:rPr>
          <w:rFonts w:hint="default" w:ascii="Nimbus Roman No9 L" w:hAnsi="Nimbus Roman No9 L" w:cs="Nimbus Roman No9 L"/>
          <w:szCs w:val="32"/>
        </w:rPr>
        <w:t>坚持高端引领、创新驱动，做牢空客（天津）总装线在亚洲唯一生产基地的重要地位，加速重大航天工程落地，</w:t>
      </w:r>
      <w:r>
        <w:rPr>
          <w:rFonts w:hint="default" w:ascii="Nimbus Roman No9 L" w:hAnsi="Nimbus Roman No9 L" w:cs="Nimbus Roman No9 L"/>
          <w:bCs/>
          <w:spacing w:val="-10"/>
          <w:kern w:val="0"/>
          <w:szCs w:val="32"/>
        </w:rPr>
        <w:t>以空客飞机、航天火箭和航天器为龙头，</w:t>
      </w:r>
      <w:r>
        <w:rPr>
          <w:rFonts w:hint="default" w:ascii="Nimbus Roman No9 L" w:hAnsi="Nimbus Roman No9 L" w:cs="Nimbus Roman No9 L"/>
          <w:szCs w:val="32"/>
        </w:rPr>
        <w:t>大力引聚配套企业，补足产业链缺失关键环节，加强自主创新能力，推进技术成果转化，构建主制造商引领、核心配套企业支撑、专业化平台服务的航空航天制造体系。到2025年，产值达到80亿元，</w:t>
      </w:r>
      <w:r>
        <w:rPr>
          <w:rFonts w:hint="default" w:ascii="Nimbus Roman No9 L" w:hAnsi="Nimbus Roman No9 L" w:cs="Nimbus Roman No9 L"/>
        </w:rPr>
        <w:t>年均增速30%</w:t>
      </w:r>
      <w:r>
        <w:rPr>
          <w:rFonts w:hint="default" w:ascii="Nimbus Roman No9 L" w:hAnsi="Nimbus Roman No9 L" w:cs="Nimbus Roman No9 L"/>
          <w:szCs w:val="32"/>
        </w:rPr>
        <w:t>，建成具有国际先进水平的航空航天产业集群。</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szCs w:val="32"/>
        </w:rPr>
      </w:pPr>
      <w:r>
        <w:rPr>
          <w:rFonts w:hint="default" w:ascii="Nimbus Roman No9 L" w:hAnsi="Nimbus Roman No9 L" w:cs="Nimbus Roman No9 L"/>
          <w:b/>
          <w:bCs/>
          <w:szCs w:val="32"/>
        </w:rPr>
        <w:t>航空产业。</w:t>
      </w:r>
      <w:r>
        <w:rPr>
          <w:rFonts w:hint="default" w:ascii="Nimbus Roman No9 L" w:hAnsi="Nimbus Roman No9 L" w:cs="Nimbus Roman No9 L"/>
          <w:szCs w:val="32"/>
        </w:rPr>
        <w:t>依托国家级航空产业新型工业化产业示范基地，着力发展大飞机、直升机、无人机，做大规模、完善配套，促进形成完善的航空产业链。大飞机方面，积极推动空客新总装线落户，加快空客A350完成和交付中心建设，推进波音公司三期新建及一、二期改扩建工程，大力发展西飞机身装配等本地零部件配套项目。直升机方面，推进中航直升机总部建设运营，加快建设直升机研发中心，提升直升机研发设计水平，不断拓宽应用领域，构建全价值链产业配套体系。</w:t>
      </w:r>
      <w:bookmarkStart w:id="39" w:name="_Hlk63329937"/>
      <w:r>
        <w:rPr>
          <w:rFonts w:hint="default" w:ascii="Nimbus Roman No9 L" w:hAnsi="Nimbus Roman No9 L" w:cs="Nimbus Roman No9 L"/>
          <w:szCs w:val="32"/>
        </w:rPr>
        <w:t>无人机方面，支持企业依托品牌优势开展研发制造和应用服务，开展新型无人机等新型号研发，做大做强包含研发制造、应用、测试的无人机产业。</w:t>
      </w:r>
      <w:bookmarkEnd w:id="39"/>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eastAsia="楷体_GB2312" w:cs="Nimbus Roman No9 L"/>
          <w:szCs w:val="32"/>
        </w:rPr>
      </w:pPr>
      <w:r>
        <w:rPr>
          <w:rFonts w:hint="default" w:ascii="Nimbus Roman No9 L" w:hAnsi="Nimbus Roman No9 L" w:cs="Nimbus Roman No9 L"/>
          <w:b/>
          <w:bCs/>
          <w:szCs w:val="32"/>
        </w:rPr>
        <w:t>航天产业</w:t>
      </w:r>
      <w:r>
        <w:rPr>
          <w:rFonts w:hint="default" w:ascii="Nimbus Roman No9 L" w:hAnsi="Nimbus Roman No9 L" w:eastAsia="楷体_GB2312" w:cs="Nimbus Roman No9 L"/>
          <w:b/>
          <w:bCs/>
          <w:szCs w:val="32"/>
        </w:rPr>
        <w:t>。</w:t>
      </w:r>
      <w:r>
        <w:rPr>
          <w:rFonts w:hint="default" w:ascii="Nimbus Roman No9 L" w:hAnsi="Nimbus Roman No9 L" w:cs="Nimbus Roman No9 L"/>
          <w:szCs w:val="32"/>
        </w:rPr>
        <w:t>发挥科研机构研发优势，重点发展运载火箭、卫星、空间站，探索军民融合协同创新，推进航天科技转化应用和产业配套，打造具有国际影响力的航天产业高地。运载火箭方面，重点推动新一代长征重型运载火箭基地项目，实现长征五号、七号、八号等火箭系列化生产，以运载火箭总装为龙头，带动相关零部件产业落地。卫星方面，积极建设“鸿雁”卫星互联网系统整星生产线，依托国家卫星通信互联网系统工程，打造卫星互联网系统智能制造示范基地。空间站方面，着力开展空间站及其核心舱、试验舱、货运舱等超大型航天器总装和测试，发展超大型航天器研发制造和应用能力，打造国际一流的航天器研制基地和测试中心。</w:t>
      </w:r>
    </w:p>
    <w:p>
      <w:pPr>
        <w:keepNext/>
        <w:keepLines/>
        <w:pageBreakBefore w:val="0"/>
        <w:widowControl w:val="0"/>
        <w:kinsoku/>
        <w:wordWrap/>
        <w:overflowPunct/>
        <w:topLinePunct w:val="0"/>
        <w:autoSpaceDE/>
        <w:autoSpaceDN/>
        <w:bidi w:val="0"/>
        <w:adjustRightInd/>
        <w:snapToGrid/>
        <w:spacing w:line="580" w:lineRule="exact"/>
        <w:ind w:firstLine="643"/>
        <w:textAlignment w:val="auto"/>
        <w:outlineLvl w:val="2"/>
        <w:rPr>
          <w:rFonts w:hint="default" w:ascii="Nimbus Roman No9 L" w:hAnsi="Nimbus Roman No9 L" w:cs="Nimbus Roman No9 L"/>
          <w:b/>
          <w:bCs/>
          <w:szCs w:val="32"/>
        </w:rPr>
      </w:pPr>
      <w:r>
        <w:rPr>
          <w:rFonts w:hint="default" w:ascii="Nimbus Roman No9 L" w:hAnsi="Nimbus Roman No9 L" w:cs="Nimbus Roman No9 L"/>
          <w:b/>
          <w:bCs/>
          <w:szCs w:val="32"/>
        </w:rPr>
        <w:t>4.石油化工</w:t>
      </w:r>
    </w:p>
    <w:p>
      <w:pPr>
        <w:pageBreakBefore w:val="0"/>
        <w:widowControl w:val="0"/>
        <w:kinsoku/>
        <w:wordWrap/>
        <w:overflowPunct/>
        <w:topLinePunct w:val="0"/>
        <w:autoSpaceDE/>
        <w:autoSpaceDN/>
        <w:bidi w:val="0"/>
        <w:adjustRightInd/>
        <w:snapToGrid/>
        <w:spacing w:line="580" w:lineRule="exact"/>
        <w:ind w:firstLine="640"/>
        <w:textAlignment w:val="auto"/>
        <w:rPr>
          <w:rFonts w:hint="default" w:ascii="Nimbus Roman No9 L" w:hAnsi="Nimbus Roman No9 L" w:cs="Nimbus Roman No9 L"/>
          <w:szCs w:val="32"/>
        </w:rPr>
      </w:pPr>
      <w:r>
        <w:rPr>
          <w:rFonts w:hint="default" w:ascii="Nimbus Roman No9 L" w:hAnsi="Nimbus Roman No9 L" w:cs="Nimbus Roman No9 L"/>
          <w:szCs w:val="32"/>
        </w:rPr>
        <w:t>把握石化产业结构调整和转型升级的窗口期，坚持走循环经济、高新技术化、生态化和智慧化发展之路，加速传统石油化工产业转型升级和结构调整，以产业布局调整优化为契机，以项目引进和建设为抓手，提升改进炼油工艺，补足烯烃原材料短板，延伸高端精细化工产业链，推进石油化工产业集群集聚、技术创新能力提升和产品结构优化。到2025年产值达到2600亿元，年均增速8%，打造世界级石油化工制造业集群。</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szCs w:val="32"/>
        </w:rPr>
      </w:pPr>
      <w:r>
        <w:rPr>
          <w:rFonts w:hint="default" w:ascii="Nimbus Roman No9 L" w:hAnsi="Nimbus Roman No9 L" w:cs="Nimbus Roman No9 L"/>
          <w:b/>
          <w:bCs/>
          <w:szCs w:val="32"/>
        </w:rPr>
        <w:t>石化深加工。</w:t>
      </w:r>
      <w:r>
        <w:rPr>
          <w:rFonts w:hint="default" w:ascii="Nimbus Roman No9 L" w:hAnsi="Nimbus Roman No9 L" w:cs="Nimbus Roman No9 L"/>
          <w:szCs w:val="32"/>
        </w:rPr>
        <w:t>充分利用港口优势，优化改进现有炼油工艺，发展新型大炼化工艺，提升炼化一体化水平。适度推动炼油产业从“燃油型”向“化工型”转型升级，降低成品油压力，推动新型大炼化工艺发展。充分挖掘资源耦合和副产品深度加工的增值潜力，促进下游产业链综合发展，提升产品附加价值，提升高技术含量、高附加值产品比例，推进产业高端化发展。</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szCs w:val="32"/>
        </w:rPr>
      </w:pPr>
      <w:r>
        <w:rPr>
          <w:rFonts w:hint="default" w:ascii="Nimbus Roman No9 L" w:hAnsi="Nimbus Roman No9 L" w:cs="Nimbus Roman No9 L"/>
          <w:b/>
          <w:bCs/>
          <w:szCs w:val="32"/>
        </w:rPr>
        <w:t>烃类。</w:t>
      </w:r>
      <w:r>
        <w:rPr>
          <w:rFonts w:hint="default" w:ascii="Nimbus Roman No9 L" w:hAnsi="Nimbus Roman No9 L" w:cs="Nimbus Roman No9 L"/>
          <w:szCs w:val="32"/>
        </w:rPr>
        <w:t>发挥大型石化企业集聚优势，推进实施“两化”搬迁改造等一批重大项目，补齐烯烃原材料短板，着力打造乙烯、丙烯、苯三条完整产业链。乙烯方面，重点引进乙烷制乙烯和MAO（甲基铝氧烷）工艺，推进中石化120万吨/年乙烯项目竣工投产，推动乙二醇、苯乙烯和醋酸乙烯酯共聚物（EVA）及乙丙橡胶等乙烯衍生物产业链发展。丙烯方面，引进丙苯氧化法等技术，引导与聚碳酸酯和环氧树脂上下游衔接，扩大下游丙烯腈、聚乳酸、丙烯酰胺、新型高端聚丙烯酸酯树脂、环氧树脂等产品产量。苯方面，丰富丁腈橡胶等合成橡胶种并提升产能，研制UPR（不饱和聚酯树脂基）、PB-1（聚丁烯-1）、NBR（不饱和聚酯增塑）等新型产品，扩大丁二烯、异丁烯、丁烯-1原料及下游产品生产。</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szCs w:val="32"/>
        </w:rPr>
      </w:pPr>
      <w:r>
        <w:rPr>
          <w:rFonts w:hint="default" w:ascii="Nimbus Roman No9 L" w:hAnsi="Nimbus Roman No9 L" w:cs="Nimbus Roman No9 L"/>
          <w:b/>
          <w:bCs/>
          <w:szCs w:val="32"/>
        </w:rPr>
        <w:t>高端精细及专用化学品。</w:t>
      </w:r>
      <w:r>
        <w:rPr>
          <w:rFonts w:hint="default" w:ascii="Nimbus Roman No9 L" w:hAnsi="Nimbus Roman No9 L" w:cs="Nimbus Roman No9 L"/>
          <w:szCs w:val="32"/>
        </w:rPr>
        <w:t>面向工业发展需求，重点发展特种助剂、胶粘剂、电子化学品、高端涂料等高附加值产品。特种助剂方面，引入知名企业配方和项目，开发含有氨基醚团基的高效受阻胺类光稳定剂，推进复配定制技术开发，拓展高分子材料抗老化助剂组合物应用。胶粘剂方面，重点围绕大飞机、高铁、汽车轻量化、电子信息等重大工程需求，加快发展高端聚烯烃等特种专用功能材料、高端专用化学品。电子化学品方面，面向新一代信息技术等新兴产业发展需求，发展光刻胶、超净高纯试剂、超净高纯气体、电镀化学品等。高端涂料方面，加快推进阿克苏诺贝尔、立邦涂料等项目建设，重点发展汽车涂料、工业防护涂料、船舶涂料等高端涂料产品。</w:t>
      </w:r>
    </w:p>
    <w:p>
      <w:pPr>
        <w:pStyle w:val="4"/>
        <w:pageBreakBefore w:val="0"/>
        <w:widowControl w:val="0"/>
        <w:kinsoku/>
        <w:wordWrap/>
        <w:overflowPunct/>
        <w:topLinePunct w:val="0"/>
        <w:autoSpaceDE/>
        <w:autoSpaceDN/>
        <w:bidi w:val="0"/>
        <w:adjustRightInd/>
        <w:snapToGrid/>
        <w:spacing w:line="580" w:lineRule="exact"/>
        <w:ind w:firstLine="640"/>
        <w:textAlignment w:val="auto"/>
        <w:rPr>
          <w:rFonts w:hint="default" w:ascii="Nimbus Roman No9 L" w:hAnsi="Nimbus Roman No9 L" w:cs="Nimbus Roman No9 L"/>
          <w:b w:val="0"/>
          <w:bCs w:val="0"/>
        </w:rPr>
      </w:pPr>
      <w:bookmarkStart w:id="40" w:name="_Toc16393"/>
      <w:bookmarkStart w:id="41" w:name="_Toc64906425"/>
      <w:r>
        <w:rPr>
          <w:rFonts w:hint="default" w:ascii="Nimbus Roman No9 L" w:hAnsi="Nimbus Roman No9 L" w:cs="Nimbus Roman No9 L"/>
          <w:b w:val="0"/>
          <w:bCs w:val="0"/>
        </w:rPr>
        <w:t>（四）打造海洋经济特色产业</w:t>
      </w:r>
      <w:bookmarkEnd w:id="40"/>
      <w:bookmarkEnd w:id="41"/>
    </w:p>
    <w:p>
      <w:pPr>
        <w:pageBreakBefore w:val="0"/>
        <w:widowControl w:val="0"/>
        <w:kinsoku/>
        <w:wordWrap/>
        <w:overflowPunct/>
        <w:topLinePunct w:val="0"/>
        <w:autoSpaceDE/>
        <w:autoSpaceDN/>
        <w:bidi w:val="0"/>
        <w:adjustRightInd/>
        <w:snapToGrid/>
        <w:spacing w:line="580" w:lineRule="exact"/>
        <w:ind w:firstLine="640"/>
        <w:textAlignment w:val="auto"/>
        <w:rPr>
          <w:rFonts w:hint="default" w:ascii="Nimbus Roman No9 L" w:hAnsi="Nimbus Roman No9 L" w:cs="Nimbus Roman No9 L"/>
        </w:rPr>
      </w:pPr>
      <w:r>
        <w:rPr>
          <w:rFonts w:hint="default" w:ascii="Nimbus Roman No9 L" w:hAnsi="Nimbus Roman No9 L" w:cs="Nimbus Roman No9 L"/>
        </w:rPr>
        <w:t>聚焦向海挖掘新动能，用足用好港口码头岸线资源优势和“自贸+综保”开放功能优势，以天津临港海洋经济发展示范区建设为抓手，着力构建“三延两补”五位一体海洋自主创新产业体系，加强海洋资源开发利用，强化场景驱动，推进装备制造业国家新型工业化产业示范基地建设。到2025年，打造彰显天津特色、引领京津冀发展的海洋产业自主创新中心，海洋产业产值达到600亿元。</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rPr>
      </w:pPr>
      <w:r>
        <w:rPr>
          <w:rFonts w:hint="default" w:ascii="Nimbus Roman No9 L" w:hAnsi="Nimbus Roman No9 L" w:cs="Nimbus Roman No9 L"/>
          <w:b/>
          <w:bCs/>
        </w:rPr>
        <w:t>构建“三延两补”海洋产业体系。</w:t>
      </w:r>
      <w:r>
        <w:rPr>
          <w:rFonts w:hint="default" w:ascii="Nimbus Roman No9 L" w:hAnsi="Nimbus Roman No9 L" w:cs="Nimbus Roman No9 L"/>
        </w:rPr>
        <w:t>以海洋产业高端化、智能化、集群化发展为导向，着力构建海洋自主创新产业体系，提升海洋产业自主创新原始创新能力。延伸优势产业链条，发挥龙头企业品牌优势，引进一批创新能力强的科技型企业，壮大产业规模，着力延长海洋油气装备、高技术船舶、海水淡化与综合利用三大新兴优势产业链。补强潜力产业链条，发挥临港港口功能优势，增加产业配套领域，补齐港口航道工程、海洋能开发利用两大培育产业链。</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rPr>
      </w:pPr>
      <w:r>
        <w:rPr>
          <w:rFonts w:hint="default" w:ascii="Nimbus Roman No9 L" w:hAnsi="Nimbus Roman No9 L" w:cs="Nimbus Roman No9 L"/>
          <w:b/>
          <w:bCs/>
        </w:rPr>
        <w:t>加强海洋资源开发利用。</w:t>
      </w:r>
      <w:r>
        <w:rPr>
          <w:rFonts w:hint="default" w:ascii="Nimbus Roman No9 L" w:hAnsi="Nimbus Roman No9 L" w:cs="Nimbus Roman No9 L"/>
        </w:rPr>
        <w:t>顺应向海洋要资源发展大势，依托滨海新区丰富的海洋资源，强化海洋装备技术和工艺，提高海洋资源开发能力。加大油气和矿业资源开发，持续提升海洋工程开发装备和工程设计能力，加强适应深海、极地等复杂地质条件的海洋油气和矿业资源开发能力。推进海洋渔业资源开发，依托汉沽大神堂海域国家级海洋牧场示范区建设，加强人工鱼礁保护，推进海洋牧场发展。提升海水资源利用程度，把握国家食用盐改革契机，扩大精制盐产品产能，增加高端、高附加值鱼籽盐、自然食用盐以及多品种使用营养盐系列产品供应，开发浴盐和洗涤盐等盐保健类产品，大力开发浓海水和苦卤综合利用深加工新技术新产品，研发适用于海水浓缩饱和卤制取高纯度精制盐的新工艺，深度开发溴资源，实施球形氯化镁、镁盐晶须材料等新产品新技术开发，提升甲醇、醋酸等传统产能，打造高端盐化工产业基地。</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rPr>
      </w:pPr>
      <w:r>
        <w:rPr>
          <w:rFonts w:hint="default" w:ascii="Nimbus Roman No9 L" w:hAnsi="Nimbus Roman No9 L" w:cs="Nimbus Roman No9 L"/>
          <w:b/>
          <w:bCs/>
        </w:rPr>
        <w:t>打造海洋产业应用场景。</w:t>
      </w:r>
      <w:r>
        <w:rPr>
          <w:rFonts w:hint="default" w:ascii="Nimbus Roman No9 L" w:hAnsi="Nimbus Roman No9 L" w:cs="Nimbus Roman No9 L"/>
        </w:rPr>
        <w:t>坚持“政府搭台、企业主导、跨界融合”，基于海洋装备智能化、自动化、无人化发展趋势，发展海洋产业应用场景。发布海洋场景应用机会清单，设计和发布三维工艺可视化仿真技术应用的创新智能船坞新场景、自动化工厂引领的海洋油气装备应用新场景、无人智能化装卸设备应用等港口航道装备应用新场景等各类应用场景。</w:t>
      </w:r>
    </w:p>
    <w:p>
      <w:pPr>
        <w:pStyle w:val="4"/>
        <w:pageBreakBefore w:val="0"/>
        <w:widowControl w:val="0"/>
        <w:kinsoku/>
        <w:wordWrap/>
        <w:overflowPunct/>
        <w:topLinePunct w:val="0"/>
        <w:autoSpaceDE/>
        <w:autoSpaceDN/>
        <w:bidi w:val="0"/>
        <w:adjustRightInd/>
        <w:snapToGrid/>
        <w:spacing w:line="580" w:lineRule="exact"/>
        <w:ind w:firstLine="640"/>
        <w:textAlignment w:val="auto"/>
        <w:rPr>
          <w:rFonts w:hint="default" w:ascii="Nimbus Roman No9 L" w:hAnsi="Nimbus Roman No9 L" w:cs="Nimbus Roman No9 L"/>
          <w:b w:val="0"/>
          <w:bCs w:val="0"/>
        </w:rPr>
      </w:pPr>
      <w:bookmarkStart w:id="42" w:name="_Toc64906426"/>
      <w:bookmarkStart w:id="43" w:name="_Toc24713"/>
      <w:r>
        <w:rPr>
          <w:rFonts w:hint="default" w:ascii="Nimbus Roman No9 L" w:hAnsi="Nimbus Roman No9 L" w:cs="Nimbus Roman No9 L"/>
          <w:b w:val="0"/>
          <w:bCs w:val="0"/>
        </w:rPr>
        <w:t>（五）前瞻布局X个新赛道</w:t>
      </w:r>
      <w:bookmarkEnd w:id="42"/>
      <w:bookmarkEnd w:id="43"/>
    </w:p>
    <w:p>
      <w:pPr>
        <w:pageBreakBefore w:val="0"/>
        <w:widowControl w:val="0"/>
        <w:kinsoku/>
        <w:wordWrap/>
        <w:overflowPunct/>
        <w:topLinePunct w:val="0"/>
        <w:autoSpaceDE/>
        <w:autoSpaceDN/>
        <w:bidi w:val="0"/>
        <w:adjustRightInd/>
        <w:snapToGrid/>
        <w:spacing w:line="580" w:lineRule="exact"/>
        <w:ind w:firstLine="640"/>
        <w:textAlignment w:val="auto"/>
        <w:rPr>
          <w:rFonts w:hint="default" w:ascii="Nimbus Roman No9 L" w:hAnsi="Nimbus Roman No9 L" w:cs="Nimbus Roman No9 L"/>
        </w:rPr>
      </w:pPr>
      <w:r>
        <w:rPr>
          <w:rFonts w:hint="default" w:ascii="Nimbus Roman No9 L" w:hAnsi="Nimbus Roman No9 L" w:cs="Nimbus Roman No9 L"/>
        </w:rPr>
        <w:t>从产业跨界融合发展规律出发，</w:t>
      </w:r>
      <w:r>
        <w:rPr>
          <w:rFonts w:hint="default" w:ascii="Nimbus Roman No9 L" w:hAnsi="Nimbus Roman No9 L" w:cs="Nimbus Roman No9 L"/>
          <w:szCs w:val="32"/>
        </w:rPr>
        <w:t>坚持有限聚焦、勇于探索，鼓励原创性、交叉性、颠覆性创新，</w:t>
      </w:r>
      <w:r>
        <w:rPr>
          <w:rFonts w:hint="default" w:ascii="Nimbus Roman No9 L" w:hAnsi="Nimbus Roman No9 L" w:cs="Nimbus Roman No9 L"/>
        </w:rPr>
        <w:t>瞄准未来前沿科技，立足区域个性，前瞻布局新赛道，培育引领世界发展趋势的原创性新兴产业，抢占未来产业竞争制高点。</w:t>
      </w:r>
    </w:p>
    <w:p>
      <w:pPr>
        <w:pStyle w:val="5"/>
        <w:pageBreakBefore w:val="0"/>
        <w:widowControl w:val="0"/>
        <w:kinsoku/>
        <w:wordWrap/>
        <w:overflowPunct/>
        <w:topLinePunct w:val="0"/>
        <w:autoSpaceDE/>
        <w:autoSpaceDN/>
        <w:bidi w:val="0"/>
        <w:adjustRightInd/>
        <w:snapToGrid/>
        <w:spacing w:line="580" w:lineRule="exact"/>
        <w:textAlignment w:val="auto"/>
        <w:rPr>
          <w:rFonts w:hint="default" w:ascii="Nimbus Roman No9 L" w:hAnsi="Nimbus Roman No9 L" w:cs="Nimbus Roman No9 L"/>
        </w:rPr>
      </w:pPr>
      <w:r>
        <w:rPr>
          <w:rFonts w:hint="default" w:ascii="Nimbus Roman No9 L" w:hAnsi="Nimbus Roman No9 L" w:cs="Nimbus Roman No9 L"/>
        </w:rPr>
        <w:t>1.5G+工业互联网</w:t>
      </w:r>
    </w:p>
    <w:p>
      <w:pPr>
        <w:pageBreakBefore w:val="0"/>
        <w:widowControl w:val="0"/>
        <w:kinsoku/>
        <w:wordWrap/>
        <w:overflowPunct/>
        <w:topLinePunct w:val="0"/>
        <w:autoSpaceDE/>
        <w:autoSpaceDN/>
        <w:bidi w:val="0"/>
        <w:adjustRightInd/>
        <w:snapToGrid/>
        <w:spacing w:line="580" w:lineRule="exact"/>
        <w:ind w:firstLine="640"/>
        <w:textAlignment w:val="auto"/>
        <w:rPr>
          <w:rFonts w:hint="default" w:ascii="Nimbus Roman No9 L" w:hAnsi="Nimbus Roman No9 L" w:cs="Nimbus Roman No9 L"/>
        </w:rPr>
      </w:pPr>
      <w:r>
        <w:rPr>
          <w:rFonts w:hint="default" w:ascii="Nimbus Roman No9 L" w:hAnsi="Nimbus Roman No9 L" w:cs="Nimbus Roman No9 L"/>
        </w:rPr>
        <w:t>依托滨海新区雄厚的制造业基础，紧抓智能制造核心支撑，坚持“互联网+工业”和“工业+互联网”双轮驱动，发挥5G高可靠、低时延、广覆盖的技术优势，加快布局一批工业互联网平台，打造“5G+工业互联网”的原创新兴产业示范区。</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rPr>
      </w:pPr>
      <w:r>
        <w:rPr>
          <w:rFonts w:hint="default" w:ascii="Nimbus Roman No9 L" w:hAnsi="Nimbus Roman No9 L" w:cs="Nimbus Roman No9 L"/>
          <w:b/>
          <w:bCs/>
        </w:rPr>
        <w:t>布局工业互联网平台。</w:t>
      </w:r>
      <w:r>
        <w:rPr>
          <w:rFonts w:hint="default" w:ascii="Nimbus Roman No9 L" w:hAnsi="Nimbus Roman No9 L" w:cs="Nimbus Roman No9 L"/>
        </w:rPr>
        <w:t>把握智能制造发展机遇，深化产业融合发展，大力布局工业互联网，重塑工业产业新生态。支持信创龙头企业抓住工业互联网流量入口，将已有的云平台向工业领域延伸，抢先布局全国工业互联网高端平台。支持传统制造业大企业，基于自身在工业领域的知识和经验，构建聚焦垂直细分领域的工业互联网平台。把握京津冀一体化发展机遇，开放新能源、新材料、高端装备制造等领域场景，引进一批知名工业互联网企业。</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shd w:val="clear" w:color="auto" w:fill="FFFFFF"/>
        </w:rPr>
      </w:pPr>
      <w:r>
        <w:rPr>
          <w:rFonts w:hint="default" w:ascii="Nimbus Roman No9 L" w:hAnsi="Nimbus Roman No9 L" w:cs="Nimbus Roman No9 L"/>
          <w:b/>
          <w:bCs/>
        </w:rPr>
        <w:t>强化工业互联网基础设施建设。</w:t>
      </w:r>
      <w:r>
        <w:rPr>
          <w:rFonts w:hint="default" w:ascii="Nimbus Roman No9 L" w:hAnsi="Nimbus Roman No9 L" w:cs="Nimbus Roman No9 L"/>
        </w:rPr>
        <w:t>以工业互联网内网升级、外网建设为抓手，增强工业互联网保障能力。支持企业内网络开展5G、NB-IoT（窄带物联网）、EUHT（超高速移动通信技术）、TSN（时间敏感网络）等技术应用试点，部署TSN交换机、工业互联网网关等新技术关键设备，推进企业内网IP（互联网协议）化、扁平化、柔性化技术改造。推动基础电信企业与5G设备供应商合作交流，实施工业互联网IPv6（互联网协议第6版）应用部署，完成企业外网络和网间互联互通接点的IPv6改造。</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rPr>
      </w:pPr>
      <w:r>
        <w:rPr>
          <w:rFonts w:hint="default" w:ascii="Nimbus Roman No9 L" w:hAnsi="Nimbus Roman No9 L" w:cs="Nimbus Roman No9 L"/>
          <w:b/>
          <w:bCs/>
        </w:rPr>
        <w:t>开展“5G+”融合示范应用试点示范。</w:t>
      </w:r>
      <w:r>
        <w:rPr>
          <w:rFonts w:hint="default" w:ascii="Nimbus Roman No9 L" w:hAnsi="Nimbus Roman No9 L" w:cs="Nimbus Roman No9 L"/>
        </w:rPr>
        <w:t>以本地5G通信设备龙头企业为牵引，以先导性应用为示范，提升工业互联网应用水平。鼓励本地5G通信设备龙头企业，加强与工业企业、电信运营商、科研院所等相关机构对接，共同开展“5G+工业互联网”示范应用。积极探索5G技术在工业互联网行业的落地方案，推动形成5G+MEC（多接入边缘计算）的网络架构部署，率先实现5G网络下机器人巡检、无人机、远程控制等先导应用。</w:t>
      </w:r>
    </w:p>
    <w:p>
      <w:pPr>
        <w:pStyle w:val="5"/>
        <w:pageBreakBefore w:val="0"/>
        <w:widowControl w:val="0"/>
        <w:kinsoku/>
        <w:wordWrap/>
        <w:overflowPunct/>
        <w:topLinePunct w:val="0"/>
        <w:autoSpaceDE/>
        <w:autoSpaceDN/>
        <w:bidi w:val="0"/>
        <w:adjustRightInd/>
        <w:snapToGrid/>
        <w:spacing w:line="580" w:lineRule="exact"/>
        <w:textAlignment w:val="auto"/>
        <w:rPr>
          <w:rFonts w:hint="default" w:ascii="Nimbus Roman No9 L" w:hAnsi="Nimbus Roman No9 L" w:cs="Nimbus Roman No9 L"/>
        </w:rPr>
      </w:pPr>
      <w:r>
        <w:rPr>
          <w:rFonts w:hint="default" w:ascii="Nimbus Roman No9 L" w:hAnsi="Nimbus Roman No9 L" w:cs="Nimbus Roman No9 L"/>
        </w:rPr>
        <w:t>2.数字孪生</w:t>
      </w:r>
    </w:p>
    <w:p>
      <w:pPr>
        <w:pageBreakBefore w:val="0"/>
        <w:widowControl w:val="0"/>
        <w:kinsoku/>
        <w:wordWrap/>
        <w:overflowPunct/>
        <w:topLinePunct w:val="0"/>
        <w:autoSpaceDE/>
        <w:autoSpaceDN/>
        <w:bidi w:val="0"/>
        <w:adjustRightInd/>
        <w:snapToGrid/>
        <w:spacing w:line="580" w:lineRule="exact"/>
        <w:ind w:firstLine="640"/>
        <w:textAlignment w:val="auto"/>
        <w:rPr>
          <w:rFonts w:hint="default" w:ascii="Nimbus Roman No9 L" w:hAnsi="Nimbus Roman No9 L" w:cs="Nimbus Roman No9 L"/>
        </w:rPr>
      </w:pPr>
      <w:r>
        <w:rPr>
          <w:rFonts w:hint="default" w:ascii="Nimbus Roman No9 L" w:hAnsi="Nimbus Roman No9 L" w:cs="Nimbus Roman No9 L"/>
        </w:rPr>
        <w:t>深入落实“数字中国”战略，全面推进天津（滨海新区）人工智能创新应用先导区建设，以高校院所前沿技术研究为先导，以中新生态城“数字孪生”项目为试点，面向新兴产业动态监测、安全运维等需求，大力突破仿真、建模等核心技术瓶颈，推动上下游企业与高校院所间积极合作，前瞻布局虚实结合的数字孪生产业，促进数字经济与实体经济融合发展。</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rPr>
      </w:pPr>
      <w:r>
        <w:rPr>
          <w:rFonts w:hint="default" w:ascii="Nimbus Roman No9 L" w:hAnsi="Nimbus Roman No9 L" w:cs="Nimbus Roman No9 L"/>
          <w:b/>
          <w:bCs/>
        </w:rPr>
        <w:t>突破数字孪生核心技术。</w:t>
      </w:r>
      <w:r>
        <w:rPr>
          <w:rFonts w:hint="default" w:ascii="Nimbus Roman No9 L" w:hAnsi="Nimbus Roman No9 L" w:cs="Nimbus Roman No9 L"/>
        </w:rPr>
        <w:t>聚焦核心领域，加速关键技术突破。鼓励传感器生产商进行技术升级，突破传感器在体积方面及抗热、抗腐蚀等极限性能方面的技术难关，实现更深层次的数据感知，为数字孪生体的构建打下海量数据基础。聚焦跨行业、多物理场、多学科融合的研究方向，探索基于单个系统或多个系统的联合仿真，实现生产流程、透明工厂等融合型数字孪生体的精准构建，强化数字孪生对物理实体的预测性维护、运行控制与优化，推动高效、安全生产。支持人工智能企业与数据建模企业联合研发，基于深度学习、强化学习等技术，建立深度分析模型，提高数字孪生分析效率，提升决策精度。</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rPr>
      </w:pPr>
      <w:r>
        <w:rPr>
          <w:rFonts w:hint="default" w:ascii="Nimbus Roman No9 L" w:hAnsi="Nimbus Roman No9 L" w:cs="Nimbus Roman No9 L"/>
          <w:b/>
          <w:bCs/>
        </w:rPr>
        <w:t>转型布局数字孪生业务。</w:t>
      </w:r>
      <w:r>
        <w:rPr>
          <w:rFonts w:hint="default" w:ascii="Nimbus Roman No9 L" w:hAnsi="Nimbus Roman No9 L" w:cs="Nimbus Roman No9 L"/>
        </w:rPr>
        <w:t>推动传感器、工业互联网等智能科技企业数字化转型升级，加速数字孪生业务布局。支持传感器制造商、执行器制造商积极承接国家重点科研课题、重大项目，聚焦多传感器、多执行器融合解决方案，促进核心零件的生产商转型升级为核心零件的集成商。鼓励工业互联网解决方案提供商与高校院所深度合作，依托工业互联网与数字孪生共性技术，优势承接高校院所数字孪生车间、透明工厂等数字孪生前沿科研成果的落地转化，由工业互联网解决方案提供商向数字孪生整体解决方案提供商升级转型。</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rPr>
      </w:pPr>
      <w:r>
        <w:rPr>
          <w:rFonts w:hint="default" w:ascii="Nimbus Roman No9 L" w:hAnsi="Nimbus Roman No9 L" w:cs="Nimbus Roman No9 L"/>
          <w:b/>
          <w:bCs/>
        </w:rPr>
        <w:t>开展数字孪生示范应用试点。</w:t>
      </w:r>
      <w:r>
        <w:rPr>
          <w:rFonts w:hint="default" w:ascii="Nimbus Roman No9 L" w:hAnsi="Nimbus Roman No9 L" w:cs="Nimbus Roman No9 L"/>
        </w:rPr>
        <w:t>鼓励数字孪生企业与航空航天、汽车、高端装备等行业对接合作，探索布局数字孪生应用场景。布局航空航天数字孪生应用场景，运用计算机视觉、智能仿真、数据分析技术等数字孪生技术，开展飞机设计、装配和维护等领域数字孪生应用。布局汽车数字孪生应用场景，以新能源汽车和智能网联汽车为重点，推动数字孪生在汽车研发、试制、工艺、制造等环节全面应用。推进数字孪生在高端装备产业的应用，以装备研发设计、生产运营、远程运维服务、供应链管理等环节为突破点，推进装备制造数字化、智能化升级，提高生产效率。</w:t>
      </w:r>
    </w:p>
    <w:p>
      <w:pPr>
        <w:pStyle w:val="5"/>
        <w:pageBreakBefore w:val="0"/>
        <w:widowControl w:val="0"/>
        <w:kinsoku/>
        <w:wordWrap/>
        <w:overflowPunct/>
        <w:topLinePunct w:val="0"/>
        <w:autoSpaceDE/>
        <w:autoSpaceDN/>
        <w:bidi w:val="0"/>
        <w:adjustRightInd/>
        <w:snapToGrid/>
        <w:spacing w:line="580" w:lineRule="exact"/>
        <w:textAlignment w:val="auto"/>
        <w:rPr>
          <w:rFonts w:hint="default" w:ascii="Nimbus Roman No9 L" w:hAnsi="Nimbus Roman No9 L" w:cs="Nimbus Roman No9 L"/>
        </w:rPr>
      </w:pPr>
      <w:r>
        <w:rPr>
          <w:rFonts w:hint="default" w:ascii="Nimbus Roman No9 L" w:hAnsi="Nimbus Roman No9 L" w:cs="Nimbus Roman No9 L"/>
        </w:rPr>
        <w:t>3.智慧医疗</w:t>
      </w:r>
    </w:p>
    <w:p>
      <w:pPr>
        <w:pageBreakBefore w:val="0"/>
        <w:widowControl w:val="0"/>
        <w:kinsoku/>
        <w:wordWrap/>
        <w:overflowPunct/>
        <w:topLinePunct w:val="0"/>
        <w:autoSpaceDE/>
        <w:autoSpaceDN/>
        <w:bidi w:val="0"/>
        <w:adjustRightInd/>
        <w:snapToGrid/>
        <w:spacing w:line="580" w:lineRule="exact"/>
        <w:ind w:firstLine="640"/>
        <w:textAlignment w:val="auto"/>
        <w:rPr>
          <w:rFonts w:hint="default" w:ascii="Nimbus Roman No9 L" w:hAnsi="Nimbus Roman No9 L" w:cs="Nimbus Roman No9 L"/>
        </w:rPr>
      </w:pPr>
      <w:r>
        <w:rPr>
          <w:rFonts w:hint="default" w:ascii="Nimbus Roman No9 L" w:hAnsi="Nimbus Roman No9 L" w:cs="Nimbus Roman No9 L"/>
        </w:rPr>
        <w:t>面对当前疫情常态化、人口老龄化、优质医疗资源不均衡等现状，以建设好全国“互联网+医疗健康”示范城市为契机，以经开区和高新区为主要承接载体，推进人工智能与医疗健康产业融合，重点布局智能化医疗器械、远程医疗平台等领域，建设国内智慧医疗发展高地。</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rPr>
      </w:pPr>
      <w:r>
        <w:rPr>
          <w:rFonts w:hint="default" w:ascii="Nimbus Roman No9 L" w:hAnsi="Nimbus Roman No9 L" w:cs="Nimbus Roman No9 L"/>
          <w:b/>
          <w:bCs/>
        </w:rPr>
        <w:t>加速智能化高端医疗器械发展。</w:t>
      </w:r>
      <w:r>
        <w:rPr>
          <w:rFonts w:hint="default" w:ascii="Nimbus Roman No9 L" w:hAnsi="Nimbus Roman No9 L" w:cs="Nimbus Roman No9 L"/>
        </w:rPr>
        <w:t>鼓励医疗器械骨干企业加强与人工智能、大数据等先进技术跨界融合，积极发展智能血压计、智能血糖仪、智能监测设备等健康医疗智能终端，布局未来爆发点。支持企业开展影像云诊断体系构建，发展智能医学影像识别，支持典型疾病领域的医学影像辅助诊断进行技术研发及临床辅助应用。</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b/>
          <w:bCs/>
        </w:rPr>
      </w:pPr>
      <w:r>
        <w:rPr>
          <w:rFonts w:hint="default" w:ascii="Nimbus Roman No9 L" w:hAnsi="Nimbus Roman No9 L" w:cs="Nimbus Roman No9 L"/>
          <w:b/>
          <w:bCs/>
        </w:rPr>
        <w:t>搭建智慧医疗服务平台。</w:t>
      </w:r>
      <w:r>
        <w:rPr>
          <w:rFonts w:hint="default" w:ascii="Nimbus Roman No9 L" w:hAnsi="Nimbus Roman No9 L" w:cs="Nimbus Roman No9 L"/>
        </w:rPr>
        <w:t>依托本地龙头企业，联合本地医疗机构，推动整合移动医疗应用程序、电子病历、专病人工智能辅助诊疗和物联网终端等，打破传统医疗模式下信息孤立的局限性，推动医疗行业提质增效。支持建设人工智能医药研发平台，开展人工智能医药研发，为药物研发创新发展赋能。搭建互联网医疗服务平台，发挥龙头企业作用，推动形成健康教育、疾病预防、到诊断、治疗、院后护理的全程健康服务新模式。</w:t>
      </w:r>
    </w:p>
    <w:p>
      <w:pPr>
        <w:pStyle w:val="5"/>
        <w:pageBreakBefore w:val="0"/>
        <w:widowControl w:val="0"/>
        <w:kinsoku/>
        <w:wordWrap/>
        <w:overflowPunct/>
        <w:topLinePunct w:val="0"/>
        <w:autoSpaceDE/>
        <w:autoSpaceDN/>
        <w:bidi w:val="0"/>
        <w:adjustRightInd/>
        <w:snapToGrid/>
        <w:spacing w:line="580" w:lineRule="exact"/>
        <w:textAlignment w:val="auto"/>
        <w:rPr>
          <w:rFonts w:hint="default" w:ascii="Nimbus Roman No9 L" w:hAnsi="Nimbus Roman No9 L" w:cs="Nimbus Roman No9 L"/>
        </w:rPr>
      </w:pPr>
      <w:r>
        <w:rPr>
          <w:rFonts w:hint="default" w:ascii="Nimbus Roman No9 L" w:hAnsi="Nimbus Roman No9 L" w:cs="Nimbus Roman No9 L"/>
        </w:rPr>
        <w:t>4.生物制造</w:t>
      </w:r>
    </w:p>
    <w:p>
      <w:pPr>
        <w:pageBreakBefore w:val="0"/>
        <w:widowControl w:val="0"/>
        <w:kinsoku/>
        <w:wordWrap/>
        <w:overflowPunct/>
        <w:topLinePunct w:val="0"/>
        <w:autoSpaceDE/>
        <w:autoSpaceDN/>
        <w:bidi w:val="0"/>
        <w:adjustRightInd/>
        <w:snapToGrid/>
        <w:spacing w:line="580" w:lineRule="exact"/>
        <w:ind w:firstLine="640"/>
        <w:textAlignment w:val="auto"/>
        <w:rPr>
          <w:rFonts w:hint="default" w:ascii="Nimbus Roman No9 L" w:hAnsi="Nimbus Roman No9 L" w:cs="Nimbus Roman No9 L"/>
        </w:rPr>
      </w:pPr>
      <w:r>
        <w:rPr>
          <w:rFonts w:hint="default" w:ascii="Nimbus Roman No9 L" w:hAnsi="Nimbus Roman No9 L" w:cs="Nimbus Roman No9 L"/>
          <w:szCs w:val="32"/>
        </w:rPr>
        <w:t>把握生物技术规模化、产业化发展趋势，瞄准生物制造产业附加值高、应用范围广的爆发性新赛道，</w:t>
      </w:r>
      <w:r>
        <w:rPr>
          <w:rFonts w:hint="default" w:ascii="Nimbus Roman No9 L" w:hAnsi="Nimbus Roman No9 L" w:cs="Nimbus Roman No9 L"/>
        </w:rPr>
        <w:t>发挥</w:t>
      </w:r>
      <w:bookmarkStart w:id="44" w:name="_Hlk64628810"/>
      <w:r>
        <w:rPr>
          <w:rFonts w:hint="default" w:ascii="Nimbus Roman No9 L" w:hAnsi="Nimbus Roman No9 L" w:cs="Nimbus Roman No9 L"/>
        </w:rPr>
        <w:t>中国科学院天津工业生物技术研究所</w:t>
      </w:r>
      <w:bookmarkEnd w:id="44"/>
      <w:r>
        <w:rPr>
          <w:rFonts w:hint="default" w:ascii="Nimbus Roman No9 L" w:hAnsi="Nimbus Roman No9 L" w:cs="Nimbus Roman No9 L"/>
        </w:rPr>
        <w:t>和国家合成生物技术创新中心的引领带动作用，提升生物制造前沿核心技术能力，着力强化生物制造基础产业、壮大核心应用产业，带动滨海新区和天津传统产业绿色升级发展。</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rPr>
      </w:pPr>
      <w:r>
        <w:rPr>
          <w:rFonts w:hint="default" w:ascii="Nimbus Roman No9 L" w:hAnsi="Nimbus Roman No9 L" w:cs="Nimbus Roman No9 L"/>
          <w:b/>
          <w:bCs/>
        </w:rPr>
        <w:t>强化生物制造基础。</w:t>
      </w:r>
      <w:r>
        <w:rPr>
          <w:rFonts w:hint="default" w:ascii="Nimbus Roman No9 L" w:hAnsi="Nimbus Roman No9 L" w:cs="Nimbus Roman No9 L"/>
        </w:rPr>
        <w:t>把握基础制造业绿色升级发展需求，发挥中国科学院天津工业生物技术研究所等创新平台研发创新优势，推动生物制造产业链条健全化，打造全国生物制造基础产业高地。做强新型酶制剂引领链，推动酶制剂新技术突破，重点发展附加值较高的工业、农业和食品工业用酶制剂，带动酶制剂应用产业结构优化升级。以补链强链为核心，前瞻布局生物反应器装备和生物智能装备两大装备领域，为生物制造技术创新、产品研发提供强力的硬件支撑。发挥中国科学院天津工业生物技术研究所的研究成果优势，建立健康糖核心产业链，重点发展附加值较高的功能性低聚糖、糖醇、膳食纤维等，拓展下游营养、医药等食品产业应用。集聚强化“医药中间体-原料药-创新药药剂”产业链条，健全壮大医药中间体生产环节，重点推进抗肿瘤类药、心血管药物中间体、简体激素等产业化，促进药物研制创新发展。</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rPr>
      </w:pPr>
      <w:r>
        <w:rPr>
          <w:rFonts w:hint="default" w:ascii="Nimbus Roman No9 L" w:hAnsi="Nimbus Roman No9 L" w:cs="Nimbus Roman No9 L"/>
          <w:b/>
          <w:bCs/>
        </w:rPr>
        <w:t>做大做强核心应用产业链。</w:t>
      </w:r>
      <w:r>
        <w:rPr>
          <w:rFonts w:hint="default" w:ascii="Nimbus Roman No9 L" w:hAnsi="Nimbus Roman No9 L" w:cs="Nimbus Roman No9 L"/>
        </w:rPr>
        <w:t>立足新区生物医药等后端应用基础，以加快产业转型升级与释放生物经济动能为导向，延伸核心应用领域，打造生物制造先导示范区。生物医药制造领域，依托新区生物医药领域的基础优势，通过联合创新和关键项目引进，补强生物医药制造产业链条，重点布局生物化工、生物制药、生物医用材料及器械、生物合成中药及制品等。生物农业与食品制造领域，发挥新区产业集聚优势，聚焦动植物和人口健康营养需求，布局生物饲料、生物肥料产业等领域；推动本地创新企业发展透明质酸等功能性食品，加大特医奶粉等特医食品布局；依托长芦汉沽盐场发展盐藻藻粉、盐藻藻油、盐藻压片糖果、盐藻凝胶糖果等海洋生物制品。生物基材料领域，发挥滨海新区化工材料领域的基础优势，重点布局可降解生物基塑料、生物基纤维两大领域，实现生物基材料从生产到应用的全链发展。</w:t>
      </w:r>
    </w:p>
    <w:p>
      <w:pPr>
        <w:pStyle w:val="5"/>
        <w:pageBreakBefore w:val="0"/>
        <w:widowControl w:val="0"/>
        <w:kinsoku/>
        <w:wordWrap/>
        <w:overflowPunct/>
        <w:topLinePunct w:val="0"/>
        <w:autoSpaceDE/>
        <w:autoSpaceDN/>
        <w:bidi w:val="0"/>
        <w:adjustRightInd/>
        <w:snapToGrid/>
        <w:spacing w:line="580" w:lineRule="exact"/>
        <w:textAlignment w:val="auto"/>
        <w:rPr>
          <w:rFonts w:hint="default" w:ascii="Nimbus Roman No9 L" w:hAnsi="Nimbus Roman No9 L" w:cs="Nimbus Roman No9 L"/>
        </w:rPr>
      </w:pPr>
      <w:r>
        <w:rPr>
          <w:rFonts w:hint="default" w:ascii="Nimbus Roman No9 L" w:hAnsi="Nimbus Roman No9 L" w:cs="Nimbus Roman No9 L"/>
        </w:rPr>
        <w:t>5.氢能</w:t>
      </w:r>
    </w:p>
    <w:p>
      <w:pPr>
        <w:pageBreakBefore w:val="0"/>
        <w:widowControl w:val="0"/>
        <w:kinsoku/>
        <w:wordWrap/>
        <w:overflowPunct/>
        <w:topLinePunct w:val="0"/>
        <w:autoSpaceDE/>
        <w:autoSpaceDN/>
        <w:bidi w:val="0"/>
        <w:adjustRightInd/>
        <w:snapToGrid/>
        <w:spacing w:line="580" w:lineRule="exact"/>
        <w:ind w:firstLine="640"/>
        <w:textAlignment w:val="auto"/>
        <w:rPr>
          <w:rFonts w:hint="default" w:ascii="Nimbus Roman No9 L" w:hAnsi="Nimbus Roman No9 L" w:cs="Nimbus Roman No9 L"/>
        </w:rPr>
      </w:pPr>
      <w:r>
        <w:rPr>
          <w:rFonts w:hint="default" w:ascii="Nimbus Roman No9 L" w:hAnsi="Nimbus Roman No9 L" w:cs="Nimbus Roman No9 L"/>
        </w:rPr>
        <w:t>紧抓能源技术革命战略方向，立足新能源产业基地，发挥工业副产氢资源丰富优势，以氢能示范产业园为主要承载地，做大以氢气制供为核心的能源链，做强以氢燃料电池为核心的应用链，突破一批战略性关键技术、探索一批场景应用示范经验，构建联合创新、能源耦合互通的氢能应用生态，打造北方氢能应用先行区和京津冀氢能供给集散枢纽。</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rPr>
      </w:pPr>
      <w:r>
        <w:rPr>
          <w:rFonts w:hint="default" w:ascii="Nimbus Roman No9 L" w:hAnsi="Nimbus Roman No9 L" w:cs="Nimbus Roman No9 L"/>
          <w:b/>
          <w:bCs/>
        </w:rPr>
        <w:t>扩大氢能供给规模。</w:t>
      </w:r>
      <w:r>
        <w:rPr>
          <w:rFonts w:hint="default" w:ascii="Nimbus Roman No9 L" w:hAnsi="Nimbus Roman No9 L" w:cs="Nimbus Roman No9 L"/>
        </w:rPr>
        <w:t>把握新区石化产业副产氢资源充足优势，强化氢气制备与提纯工艺，实现氢能供给高能级发展。围绕“3060”碳达峰、碳中和总体目标，发挥龙头企业落户优势，聚焦突破电解水制氢、煤气化制氢+CCUS（碳捕集、利用与封存）利用技术、氢气液化工艺及技术，大力发展风电、光伏绿氢项目，支持区域能源结构调整。加快推进渤海化工加氢母站项目建设运营，支持国际国内行业领军企业布局制氢设备、储氢加氢设备等核心材料及部件研发制造。到2025年，氢能供给产值达到20亿元。</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rPr>
      </w:pPr>
      <w:r>
        <w:rPr>
          <w:rFonts w:hint="default" w:ascii="Nimbus Roman No9 L" w:hAnsi="Nimbus Roman No9 L" w:cs="Nimbus Roman No9 L"/>
          <w:b/>
          <w:bCs/>
        </w:rPr>
        <w:t>大力发展氢燃料电池。</w:t>
      </w:r>
      <w:r>
        <w:rPr>
          <w:rFonts w:hint="default" w:ascii="Nimbus Roman No9 L" w:hAnsi="Nimbus Roman No9 L" w:cs="Nimbus Roman No9 L"/>
        </w:rPr>
        <w:t>紧跟氢燃料电池汽车发展需求，依托氢燃料电池汽车示范城市群建设，突破关键部件技术攻关，提高氢燃料电池发展水平。燃料电池电堆方面，支持企业布局燃料电池系统及核心部件项目，重点布局具有国有自主知识产权的电堆自动化生产线。质子膜方面，发挥龙头企业技术优势，持续突破膜电极连续制备工艺技术，促进高性能质子膜产业化。燃料电池检测方面，推进搭建1千瓦-160千瓦各级燃料电池综合测试平台与定制化燃料电池综合测试平台，构建面向全行业的研发、试验、认证、检测公共服务体系。</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rPr>
      </w:pPr>
      <w:r>
        <w:rPr>
          <w:rFonts w:hint="default" w:ascii="Nimbus Roman No9 L" w:hAnsi="Nimbus Roman No9 L" w:cs="Nimbus Roman No9 L"/>
          <w:b/>
          <w:bCs/>
        </w:rPr>
        <w:t>拓展氢燃料电池应用场景。</w:t>
      </w:r>
      <w:r>
        <w:rPr>
          <w:rFonts w:hint="default" w:ascii="Nimbus Roman No9 L" w:hAnsi="Nimbus Roman No9 L" w:cs="Nimbus Roman No9 L"/>
        </w:rPr>
        <w:t>紧抓北京2022年冬奥会将氢燃料电池汽车作为赛事期间人员出行服务保障车契机，加快推进临港区域建设100kWSOFC（固体氧化物燃料电池）能源微电网项目，全面释放氢能场景应用。以氢燃料电池汽车应用为核心示范，加快推进加氢燃料电池叉车研发生产基地等项目竣工投产，扩展氢燃料电池物流车、叉车、港口机械等应用示范场景，推广氢燃料电池公交车、氢燃料电池车辆等。推动油、氢、气、电一体化综合能源补给站建设，支持在天津港内建设加氢站，鼓励利用现有加油（气）站改扩建加氢站，支持大型物流园区、大型露天停车场利用自有土地建设撬装式加氢站，推动多种方式加快加氢站等基础设施建设。</w:t>
      </w:r>
    </w:p>
    <w:p>
      <w:pPr>
        <w:pStyle w:val="5"/>
        <w:pageBreakBefore w:val="0"/>
        <w:widowControl w:val="0"/>
        <w:kinsoku/>
        <w:wordWrap/>
        <w:overflowPunct/>
        <w:topLinePunct w:val="0"/>
        <w:autoSpaceDE/>
        <w:autoSpaceDN/>
        <w:bidi w:val="0"/>
        <w:adjustRightInd/>
        <w:snapToGrid/>
        <w:spacing w:line="580" w:lineRule="exact"/>
        <w:textAlignment w:val="auto"/>
        <w:rPr>
          <w:rFonts w:hint="default" w:ascii="Nimbus Roman No9 L" w:hAnsi="Nimbus Roman No9 L" w:cs="Nimbus Roman No9 L"/>
        </w:rPr>
      </w:pPr>
      <w:r>
        <w:rPr>
          <w:rFonts w:hint="default" w:ascii="Nimbus Roman No9 L" w:hAnsi="Nimbus Roman No9 L" w:cs="Nimbus Roman No9 L"/>
        </w:rPr>
        <w:t>6.智能网联汽车</w:t>
      </w:r>
    </w:p>
    <w:p>
      <w:pPr>
        <w:pageBreakBefore w:val="0"/>
        <w:widowControl w:val="0"/>
        <w:kinsoku/>
        <w:wordWrap/>
        <w:overflowPunct/>
        <w:topLinePunct w:val="0"/>
        <w:autoSpaceDE/>
        <w:autoSpaceDN/>
        <w:bidi w:val="0"/>
        <w:adjustRightInd/>
        <w:snapToGrid/>
        <w:spacing w:line="580" w:lineRule="exact"/>
        <w:ind w:firstLine="640"/>
        <w:textAlignment w:val="auto"/>
        <w:rPr>
          <w:rFonts w:hint="default" w:ascii="Nimbus Roman No9 L" w:hAnsi="Nimbus Roman No9 L" w:cs="Nimbus Roman No9 L"/>
        </w:rPr>
      </w:pPr>
      <w:r>
        <w:rPr>
          <w:rFonts w:hint="default" w:ascii="Nimbus Roman No9 L" w:hAnsi="Nimbus Roman No9 L" w:cs="Nimbus Roman No9 L"/>
        </w:rPr>
        <w:t>抢抓产业智能化发展战略机遇，以新能源整车制造项目为带动，以场景应用为着力点，加强智能路网设施建设，重点发展关键系统、自动驾驶解决方案、智能驾驶舱等领域，打造国内一流的智能网联汽车产业生态。</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rPr>
      </w:pPr>
      <w:r>
        <w:rPr>
          <w:rFonts w:hint="default" w:ascii="Nimbus Roman No9 L" w:hAnsi="Nimbus Roman No9 L" w:cs="Nimbus Roman No9 L"/>
          <w:b/>
          <w:bCs/>
        </w:rPr>
        <w:t>推进产业关键技术攻关与成果转化。</w:t>
      </w:r>
      <w:r>
        <w:rPr>
          <w:rFonts w:hint="default" w:ascii="Nimbus Roman No9 L" w:hAnsi="Nimbus Roman No9 L" w:cs="Nimbus Roman No9 L"/>
        </w:rPr>
        <w:t>围绕智能网联汽车产业链关键领域，加强技术攻关，增强产业自主创新能力。支持发展毫米波雷达、高精度定位领域，加大在感知系统市场的布局，推动多传感器融合的高准确度感知系统的发展。大力发展LTE-V2X（基于移动蜂窝网络的车联网无线通信技术）、5G-V2X（基于5G技术设计的车联网无线通信技术）等通信系统关键技术的研发与产业化，同时布局V2X（车联网）路侧单元，打造智慧交通示范区。</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rPr>
      </w:pPr>
      <w:r>
        <w:rPr>
          <w:rFonts w:hint="default" w:ascii="Nimbus Roman No9 L" w:hAnsi="Nimbus Roman No9 L" w:cs="Nimbus Roman No9 L"/>
          <w:b/>
          <w:bCs/>
        </w:rPr>
        <w:t>加快推进自动驾驶解决方案落地。</w:t>
      </w:r>
      <w:r>
        <w:rPr>
          <w:rFonts w:hint="default" w:ascii="Nimbus Roman No9 L" w:hAnsi="Nimbus Roman No9 L" w:cs="Nimbus Roman No9 L"/>
        </w:rPr>
        <w:t>以技术攻关为先导，优化产业发展环境，着力建设自动驾驶示范区。支持本地企业加大研发投入，解决ADAS（高级驾驶辅助系统）辅助系统使用成本高、操作复杂等问题，开发更多针对中国特殊行车场景的ADAS辅助系统。积极对接自动驾驶解决方案的先进企业，打造高等级自动驾驶解决方案测试、落地的示范区。加快天津港无人驾驶电动集装箱卡车示范运行等项目建设，持续在智能网联汽车公共道路测试、智能网联汽车测试牌照发放等方面加大支持力度，为智能网联汽车自动驾驶解决方案落地构建良好产业生态。</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rPr>
      </w:pPr>
      <w:r>
        <w:rPr>
          <w:rFonts w:hint="default" w:ascii="Nimbus Roman No9 L" w:hAnsi="Nimbus Roman No9 L" w:cs="Nimbus Roman No9 L"/>
          <w:b/>
          <w:bCs/>
        </w:rPr>
        <w:t>全面布局智能驾驶舱。</w:t>
      </w:r>
      <w:r>
        <w:rPr>
          <w:rFonts w:hint="default" w:ascii="Nimbus Roman No9 L" w:hAnsi="Nimbus Roman No9 L" w:cs="Nimbus Roman No9 L"/>
        </w:rPr>
        <w:t>紧跟未来汽车发展趋势，以传统汽车企业智能化转型为导向，着力补齐智能驾驶舱布局空白。引导传统车用仪表厂商进行智能化转型，大力研发车规级液晶仪表盘。支持本地智能科技龙头企业与汽车企业合作，瞄准汽车智能化发展前沿技术，启动智能驾驶舱领域布局。</w:t>
      </w:r>
    </w:p>
    <w:p>
      <w:pPr>
        <w:pStyle w:val="5"/>
        <w:pageBreakBefore w:val="0"/>
        <w:widowControl w:val="0"/>
        <w:kinsoku/>
        <w:wordWrap/>
        <w:overflowPunct/>
        <w:topLinePunct w:val="0"/>
        <w:autoSpaceDE/>
        <w:autoSpaceDN/>
        <w:bidi w:val="0"/>
        <w:adjustRightInd/>
        <w:snapToGrid/>
        <w:spacing w:line="580" w:lineRule="exact"/>
        <w:textAlignment w:val="auto"/>
        <w:rPr>
          <w:rFonts w:hint="default" w:ascii="Nimbus Roman No9 L" w:hAnsi="Nimbus Roman No9 L" w:cs="Nimbus Roman No9 L"/>
        </w:rPr>
      </w:pPr>
      <w:r>
        <w:rPr>
          <w:rFonts w:hint="default" w:ascii="Nimbus Roman No9 L" w:hAnsi="Nimbus Roman No9 L" w:cs="Nimbus Roman No9 L"/>
        </w:rPr>
        <w:t>7.无人机</w:t>
      </w:r>
    </w:p>
    <w:p>
      <w:pPr>
        <w:pageBreakBefore w:val="0"/>
        <w:widowControl w:val="0"/>
        <w:kinsoku/>
        <w:wordWrap/>
        <w:overflowPunct/>
        <w:topLinePunct w:val="0"/>
        <w:autoSpaceDE/>
        <w:autoSpaceDN/>
        <w:bidi w:val="0"/>
        <w:adjustRightInd/>
        <w:snapToGrid/>
        <w:spacing w:line="580" w:lineRule="exact"/>
        <w:ind w:firstLine="640"/>
        <w:textAlignment w:val="auto"/>
        <w:rPr>
          <w:rFonts w:hint="default" w:ascii="Nimbus Roman No9 L" w:hAnsi="Nimbus Roman No9 L" w:cs="Nimbus Roman No9 L"/>
        </w:rPr>
      </w:pPr>
      <w:r>
        <w:rPr>
          <w:rFonts w:hint="default" w:ascii="Nimbus Roman No9 L" w:hAnsi="Nimbus Roman No9 L" w:cs="Nimbus Roman No9 L"/>
          <w:szCs w:val="32"/>
        </w:rPr>
        <w:t>以良好的空域环境和健全的航空基础设施为基础，依托民用无人驾驶航空试验基地(试验区)场景优势，强化核心技术创新引领作用，以综合拓展应用场景为关键抓手，大力引入无人机上下游配套企业，深入推进军民融合发展，加强无人机飞行服务中心服务支撑，发挥无人机空中数据端口、资源节点作用，引爆空中革命。</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rPr>
      </w:pPr>
      <w:r>
        <w:rPr>
          <w:rFonts w:hint="default" w:ascii="Nimbus Roman No9 L" w:hAnsi="Nimbus Roman No9 L" w:cs="Nimbus Roman No9 L"/>
          <w:b/>
          <w:bCs/>
        </w:rPr>
        <w:t>推进无人机核心技术创新。</w:t>
      </w:r>
      <w:r>
        <w:rPr>
          <w:rFonts w:hint="default" w:ascii="Nimbus Roman No9 L" w:hAnsi="Nimbus Roman No9 L" w:cs="Nimbus Roman No9 L"/>
          <w:color w:val="070707"/>
        </w:rPr>
        <w:t>围绕民用无人机动力系统、飞控系统、传感器等开展关键技术攻关，重点突破实时精准定位、动态场景感知与避让、面向复杂环境的自主飞行、群体作业等核心技术。开展小型化通用化载荷设备、高集成度专用芯片、长航时大载重/混合布局无人机研制。加快军工技术向民用转化，推动军工试验试飞、验证设施向民用无人机开放，促进有条件的民用无人机企业参与军品科研生产和维修服务。</w:t>
      </w:r>
      <w:r>
        <w:rPr>
          <w:rFonts w:hint="default" w:ascii="Nimbus Roman No9 L" w:hAnsi="Nimbus Roman No9 L" w:cs="Nimbus Roman No9 L"/>
        </w:rPr>
        <w:t>开展新型号无人机研发，积极对接北京等无人机企业重点研发城市，研制工业级大载重无人直升机、高层楼宇灭火救援智能系无人机等新型号无人机。鼓励龙头企业和科研院所生产无人机发动机等零部件配套产品，建立无人发动机匹配、测试的国家标准。</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rPr>
      </w:pPr>
      <w:r>
        <w:rPr>
          <w:rFonts w:hint="default" w:ascii="Nimbus Roman No9 L" w:hAnsi="Nimbus Roman No9 L" w:cs="Nimbus Roman No9 L"/>
          <w:b/>
          <w:bCs/>
        </w:rPr>
        <w:t>拓展无人机服务应用场景。</w:t>
      </w:r>
      <w:r>
        <w:rPr>
          <w:rFonts w:hint="default" w:ascii="Nimbus Roman No9 L" w:hAnsi="Nimbus Roman No9 L" w:cs="Nimbus Roman No9 L"/>
        </w:rPr>
        <w:t>加强场景对接合作，支持本地企业与中国民航大学、天大航空航天研究院、天大内燃机研究所、中国电子科技集团第十八研究所、天津市无人机协会等机构对接，联合开展无人机应用试验。积极拓展无人机应用领域，支持无人机领军企业</w:t>
      </w:r>
      <w:r>
        <w:rPr>
          <w:rFonts w:hint="default" w:ascii="Nimbus Roman No9 L" w:hAnsi="Nimbus Roman No9 L" w:cs="Nimbus Roman No9 L"/>
          <w:color w:val="070707"/>
        </w:rPr>
        <w:t>拓展民用无人机在农林植保、物流快递、地理测绘、环境监测、电力巡线、安全巡查、应急救援、园区和社会治理等领域创新应用。推进人工智能在民用无人机领域融合应用，加快提高民用无人机娱乐性及智能作业水平，支持开发多样化衍生产品和服务。鼓励民用无人机企业利用“互联网+”开展行业应用创新，发展公共服务供应商，拓展服务领域和价值。</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rPr>
      </w:pPr>
      <w:r>
        <w:rPr>
          <w:rFonts w:hint="default" w:ascii="Nimbus Roman No9 L" w:hAnsi="Nimbus Roman No9 L" w:cs="Nimbus Roman No9 L"/>
          <w:b/>
          <w:bCs/>
        </w:rPr>
        <w:t>开展无人机检验检测与试飞认证。</w:t>
      </w:r>
      <w:r>
        <w:rPr>
          <w:rFonts w:hint="default" w:ascii="Nimbus Roman No9 L" w:hAnsi="Nimbus Roman No9 L" w:cs="Nimbus Roman No9 L"/>
        </w:rPr>
        <w:t>发挥天津港保税区临港飞行服务中心在飞行空域使用、计划报备申请、资质检测认定等专业服务的平台优势，加强与北京无人机重点企业对接，推动企业落户临港区域，打造工业无人机测试基地。开展不同类型无人机在平原地区、海面及城市环境试飞验证，开展无人机挂载设备性能检验检测，为无人机在人口密集区运行风险评估、市场准入基本条件等提供试运行平台。</w:t>
      </w:r>
      <w:bookmarkStart w:id="45" w:name="_Toc64906427"/>
      <w:bookmarkStart w:id="46" w:name="_Toc14383"/>
    </w:p>
    <w:p>
      <w:pPr>
        <w:pageBreakBefore w:val="0"/>
        <w:widowControl w:val="0"/>
        <w:kinsoku/>
        <w:wordWrap/>
        <w:overflowPunct/>
        <w:topLinePunct w:val="0"/>
        <w:autoSpaceDE/>
        <w:autoSpaceDN/>
        <w:bidi w:val="0"/>
        <w:adjustRightInd/>
        <w:snapToGrid/>
        <w:spacing w:line="580" w:lineRule="exact"/>
        <w:ind w:firstLine="640"/>
        <w:textAlignment w:val="auto"/>
        <w:rPr>
          <w:rFonts w:hint="default" w:ascii="Nimbus Roman No9 L" w:hAnsi="Nimbus Roman No9 L" w:eastAsia="黑体" w:cs="Nimbus Roman No9 L"/>
          <w:szCs w:val="32"/>
        </w:rPr>
      </w:pPr>
      <w:r>
        <w:rPr>
          <w:rFonts w:hint="default" w:ascii="Nimbus Roman No9 L" w:hAnsi="Nimbus Roman No9 L" w:eastAsia="黑体" w:cs="Nimbus Roman No9 L"/>
          <w:szCs w:val="32"/>
        </w:rPr>
        <w:t>四、统筹发展，优化工业空间布局</w:t>
      </w:r>
      <w:bookmarkEnd w:id="45"/>
      <w:bookmarkEnd w:id="46"/>
    </w:p>
    <w:p>
      <w:pPr>
        <w:pStyle w:val="4"/>
        <w:pageBreakBefore w:val="0"/>
        <w:widowControl w:val="0"/>
        <w:kinsoku/>
        <w:wordWrap/>
        <w:overflowPunct/>
        <w:topLinePunct w:val="0"/>
        <w:autoSpaceDE/>
        <w:autoSpaceDN/>
        <w:bidi w:val="0"/>
        <w:adjustRightInd/>
        <w:snapToGrid/>
        <w:spacing w:line="580" w:lineRule="exact"/>
        <w:ind w:firstLine="640"/>
        <w:textAlignment w:val="auto"/>
        <w:rPr>
          <w:rFonts w:hint="default" w:ascii="Nimbus Roman No9 L" w:hAnsi="Nimbus Roman No9 L" w:cs="Nimbus Roman No9 L"/>
          <w:b w:val="0"/>
          <w:bCs w:val="0"/>
        </w:rPr>
      </w:pPr>
      <w:bookmarkStart w:id="47" w:name="_Toc64906428"/>
      <w:bookmarkStart w:id="48" w:name="_Toc15673"/>
      <w:r>
        <w:rPr>
          <w:rFonts w:hint="default" w:ascii="Nimbus Roman No9 L" w:hAnsi="Nimbus Roman No9 L" w:cs="Nimbus Roman No9 L"/>
          <w:b w:val="0"/>
          <w:bCs w:val="0"/>
        </w:rPr>
        <w:t>（一）总体空间布局</w:t>
      </w:r>
      <w:bookmarkEnd w:id="47"/>
      <w:bookmarkEnd w:id="48"/>
    </w:p>
    <w:p>
      <w:pPr>
        <w:pageBreakBefore w:val="0"/>
        <w:widowControl w:val="0"/>
        <w:kinsoku/>
        <w:wordWrap/>
        <w:overflowPunct/>
        <w:topLinePunct w:val="0"/>
        <w:autoSpaceDE/>
        <w:autoSpaceDN/>
        <w:bidi w:val="0"/>
        <w:adjustRightInd/>
        <w:snapToGrid/>
        <w:spacing w:line="580" w:lineRule="exact"/>
        <w:ind w:firstLine="640"/>
        <w:jc w:val="left"/>
        <w:textAlignment w:val="auto"/>
        <w:rPr>
          <w:rFonts w:hint="default" w:ascii="Nimbus Roman No9 L" w:hAnsi="Nimbus Roman No9 L" w:cs="Nimbus Roman No9 L"/>
        </w:rPr>
      </w:pPr>
      <w:r>
        <w:rPr>
          <w:rFonts w:hint="default" w:ascii="Nimbus Roman No9 L" w:hAnsi="Nimbus Roman No9 L" w:cs="Nimbus Roman No9 L"/>
        </w:rPr>
        <w:t>围绕工业高质量发展根本要求，强化京津冀三地联动发展，根据《天津市国土空间总体规划》，立足滨海新区当前工业空间布局，坚持“专业集聚、错位发展、存量优化、增量提升”原则，统筹构建滨海新区“一核两带多片区”工业发展格局，推动工业集约、集聚、高效发展，带动城市功能优化和产业转型升级。</w:t>
      </w:r>
    </w:p>
    <w:p>
      <w:pPr>
        <w:spacing w:line="580" w:lineRule="exact"/>
        <w:ind w:firstLine="0" w:firstLineChars="0"/>
        <w:jc w:val="center"/>
        <w:rPr>
          <w:rFonts w:hint="default" w:ascii="Nimbus Roman No9 L" w:hAnsi="Nimbus Roman No9 L" w:cs="Nimbus Roman No9 L"/>
          <w:b/>
          <w:bCs/>
          <w:sz w:val="28"/>
          <w:szCs w:val="28"/>
        </w:rPr>
      </w:pPr>
      <w:r>
        <w:rPr>
          <w:rFonts w:hint="default" w:ascii="Nimbus Roman No9 L" w:hAnsi="Nimbus Roman No9 L" w:cs="Nimbus Roman No9 L"/>
        </w:rPr>
        <w:drawing>
          <wp:anchor distT="0" distB="0" distL="0" distR="0" simplePos="0" relativeHeight="251659264" behindDoc="0" locked="0" layoutInCell="1" allowOverlap="1">
            <wp:simplePos x="0" y="0"/>
            <wp:positionH relativeFrom="column">
              <wp:posOffset>171450</wp:posOffset>
            </wp:positionH>
            <wp:positionV relativeFrom="paragraph">
              <wp:posOffset>181610</wp:posOffset>
            </wp:positionV>
            <wp:extent cx="5210175" cy="4914900"/>
            <wp:effectExtent l="0" t="0" r="1905" b="7620"/>
            <wp:wrapSquare wrapText="bothSides"/>
            <wp:docPr id="1" name="图片 1"/>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true"/>
                    </pic:cNvPicPr>
                  </pic:nvPicPr>
                  <pic:blipFill>
                    <a:blip r:embed="rId12"/>
                    <a:stretch>
                      <a:fillRect/>
                    </a:stretch>
                  </pic:blipFill>
                  <pic:spPr>
                    <a:xfrm>
                      <a:off x="0" y="0"/>
                      <a:ext cx="5210175" cy="4914900"/>
                    </a:xfrm>
                    <a:prstGeom prst="rect">
                      <a:avLst/>
                    </a:prstGeom>
                  </pic:spPr>
                </pic:pic>
              </a:graphicData>
            </a:graphic>
          </wp:anchor>
        </w:drawing>
      </w:r>
    </w:p>
    <w:p>
      <w:pPr>
        <w:spacing w:line="580" w:lineRule="exact"/>
        <w:ind w:firstLine="0" w:firstLineChars="0"/>
        <w:jc w:val="center"/>
        <w:rPr>
          <w:rFonts w:hint="default" w:ascii="Nimbus Roman No9 L" w:hAnsi="Nimbus Roman No9 L" w:cs="Nimbus Roman No9 L"/>
          <w:b/>
          <w:bCs/>
          <w:sz w:val="28"/>
          <w:szCs w:val="28"/>
        </w:rPr>
      </w:pPr>
    </w:p>
    <w:p>
      <w:pPr>
        <w:spacing w:line="580" w:lineRule="exact"/>
        <w:ind w:firstLine="0" w:firstLineChars="0"/>
        <w:jc w:val="center"/>
        <w:rPr>
          <w:rFonts w:hint="default" w:ascii="Nimbus Roman No9 L" w:hAnsi="Nimbus Roman No9 L" w:cs="Nimbus Roman No9 L"/>
          <w:b/>
          <w:bCs/>
          <w:sz w:val="28"/>
          <w:szCs w:val="28"/>
        </w:rPr>
      </w:pPr>
    </w:p>
    <w:p>
      <w:pPr>
        <w:spacing w:line="580" w:lineRule="exact"/>
        <w:ind w:firstLine="0" w:firstLineChars="0"/>
        <w:jc w:val="center"/>
        <w:rPr>
          <w:rFonts w:hint="default" w:ascii="Nimbus Roman No9 L" w:hAnsi="Nimbus Roman No9 L" w:cs="Nimbus Roman No9 L"/>
          <w:b/>
          <w:bCs/>
          <w:sz w:val="28"/>
          <w:szCs w:val="28"/>
        </w:rPr>
      </w:pPr>
    </w:p>
    <w:p>
      <w:pPr>
        <w:pStyle w:val="2"/>
        <w:ind w:firstLine="562"/>
        <w:rPr>
          <w:rFonts w:hint="default" w:ascii="Nimbus Roman No9 L" w:hAnsi="Nimbus Roman No9 L" w:cs="Nimbus Roman No9 L"/>
          <w:b/>
          <w:bCs/>
          <w:sz w:val="28"/>
          <w:szCs w:val="28"/>
        </w:rPr>
      </w:pPr>
    </w:p>
    <w:p>
      <w:pPr>
        <w:pStyle w:val="2"/>
        <w:ind w:firstLine="562"/>
        <w:rPr>
          <w:rFonts w:hint="default" w:ascii="Nimbus Roman No9 L" w:hAnsi="Nimbus Roman No9 L" w:cs="Nimbus Roman No9 L"/>
          <w:b/>
          <w:bCs/>
          <w:sz w:val="28"/>
          <w:szCs w:val="28"/>
        </w:rPr>
      </w:pPr>
    </w:p>
    <w:p>
      <w:pPr>
        <w:pStyle w:val="2"/>
        <w:ind w:firstLine="562"/>
        <w:rPr>
          <w:rFonts w:hint="default" w:ascii="Nimbus Roman No9 L" w:hAnsi="Nimbus Roman No9 L" w:cs="Nimbus Roman No9 L"/>
          <w:b/>
          <w:bCs/>
          <w:sz w:val="28"/>
          <w:szCs w:val="28"/>
        </w:rPr>
      </w:pPr>
    </w:p>
    <w:p>
      <w:pPr>
        <w:pStyle w:val="2"/>
        <w:ind w:firstLine="562"/>
        <w:rPr>
          <w:rFonts w:hint="default" w:ascii="Nimbus Roman No9 L" w:hAnsi="Nimbus Roman No9 L" w:cs="Nimbus Roman No9 L"/>
          <w:b/>
          <w:bCs/>
          <w:sz w:val="28"/>
          <w:szCs w:val="28"/>
        </w:rPr>
      </w:pPr>
    </w:p>
    <w:p>
      <w:pPr>
        <w:pStyle w:val="2"/>
        <w:ind w:firstLine="562"/>
        <w:rPr>
          <w:rFonts w:hint="default" w:ascii="Nimbus Roman No9 L" w:hAnsi="Nimbus Roman No9 L" w:cs="Nimbus Roman No9 L"/>
          <w:b/>
          <w:bCs/>
          <w:sz w:val="28"/>
          <w:szCs w:val="28"/>
        </w:rPr>
      </w:pPr>
    </w:p>
    <w:p>
      <w:pPr>
        <w:pStyle w:val="2"/>
        <w:ind w:firstLine="562"/>
        <w:rPr>
          <w:rFonts w:hint="default" w:ascii="Nimbus Roman No9 L" w:hAnsi="Nimbus Roman No9 L" w:cs="Nimbus Roman No9 L"/>
          <w:b/>
          <w:bCs/>
          <w:sz w:val="28"/>
          <w:szCs w:val="28"/>
        </w:rPr>
      </w:pPr>
    </w:p>
    <w:p>
      <w:pPr>
        <w:pStyle w:val="2"/>
        <w:ind w:firstLine="562"/>
        <w:rPr>
          <w:rFonts w:hint="default" w:ascii="Nimbus Roman No9 L" w:hAnsi="Nimbus Roman No9 L" w:cs="Nimbus Roman No9 L"/>
          <w:b/>
          <w:bCs/>
          <w:sz w:val="28"/>
          <w:szCs w:val="28"/>
        </w:rPr>
      </w:pPr>
    </w:p>
    <w:p>
      <w:pPr>
        <w:pStyle w:val="2"/>
        <w:ind w:firstLine="562"/>
        <w:rPr>
          <w:rFonts w:hint="default" w:ascii="Nimbus Roman No9 L" w:hAnsi="Nimbus Roman No9 L" w:cs="Nimbus Roman No9 L"/>
          <w:b/>
          <w:bCs/>
          <w:sz w:val="28"/>
          <w:szCs w:val="28"/>
        </w:rPr>
      </w:pPr>
    </w:p>
    <w:p>
      <w:pPr>
        <w:pStyle w:val="2"/>
        <w:ind w:firstLine="562"/>
        <w:rPr>
          <w:rFonts w:hint="default" w:ascii="Nimbus Roman No9 L" w:hAnsi="Nimbus Roman No9 L" w:cs="Nimbus Roman No9 L"/>
          <w:b/>
          <w:bCs/>
          <w:sz w:val="28"/>
          <w:szCs w:val="28"/>
        </w:rPr>
      </w:pPr>
    </w:p>
    <w:p>
      <w:pPr>
        <w:pStyle w:val="2"/>
        <w:ind w:firstLine="562"/>
        <w:rPr>
          <w:rFonts w:hint="default" w:ascii="Nimbus Roman No9 L" w:hAnsi="Nimbus Roman No9 L" w:cs="Nimbus Roman No9 L"/>
          <w:b/>
          <w:bCs/>
          <w:sz w:val="28"/>
          <w:szCs w:val="28"/>
        </w:rPr>
      </w:pPr>
    </w:p>
    <w:p>
      <w:pPr>
        <w:pStyle w:val="2"/>
        <w:ind w:firstLine="562"/>
        <w:rPr>
          <w:rFonts w:hint="default" w:ascii="Nimbus Roman No9 L" w:hAnsi="Nimbus Roman No9 L" w:cs="Nimbus Roman No9 L"/>
          <w:b/>
          <w:bCs/>
          <w:sz w:val="28"/>
          <w:szCs w:val="28"/>
        </w:rPr>
      </w:pPr>
    </w:p>
    <w:p>
      <w:pPr>
        <w:pStyle w:val="2"/>
        <w:ind w:firstLine="562"/>
        <w:rPr>
          <w:rFonts w:hint="default" w:ascii="Nimbus Roman No9 L" w:hAnsi="Nimbus Roman No9 L" w:cs="Nimbus Roman No9 L"/>
          <w:b/>
          <w:bCs/>
          <w:sz w:val="28"/>
          <w:szCs w:val="28"/>
        </w:rPr>
      </w:pPr>
    </w:p>
    <w:p>
      <w:pPr>
        <w:pStyle w:val="2"/>
        <w:ind w:firstLine="562"/>
        <w:rPr>
          <w:rFonts w:hint="default" w:ascii="Nimbus Roman No9 L" w:hAnsi="Nimbus Roman No9 L" w:cs="Nimbus Roman No9 L"/>
          <w:b/>
          <w:bCs/>
          <w:sz w:val="28"/>
          <w:szCs w:val="28"/>
        </w:rPr>
      </w:pPr>
    </w:p>
    <w:p>
      <w:pPr>
        <w:pageBreakBefore w:val="0"/>
        <w:widowControl w:val="0"/>
        <w:kinsoku/>
        <w:wordWrap/>
        <w:overflowPunct/>
        <w:topLinePunct w:val="0"/>
        <w:autoSpaceDE/>
        <w:autoSpaceDN/>
        <w:bidi w:val="0"/>
        <w:adjustRightInd/>
        <w:snapToGrid/>
        <w:spacing w:line="580" w:lineRule="exact"/>
        <w:ind w:firstLine="0" w:firstLineChars="0"/>
        <w:jc w:val="center"/>
        <w:textAlignment w:val="auto"/>
        <w:rPr>
          <w:rFonts w:hint="default" w:ascii="Nimbus Roman No9 L" w:hAnsi="Nimbus Roman No9 L" w:cs="Nimbus Roman No9 L"/>
          <w:b/>
          <w:bCs/>
          <w:szCs w:val="32"/>
        </w:rPr>
      </w:pPr>
      <w:r>
        <w:rPr>
          <w:rFonts w:hint="default" w:ascii="Nimbus Roman No9 L" w:hAnsi="Nimbus Roman No9 L" w:cs="Nimbus Roman No9 L"/>
          <w:b/>
          <w:bCs/>
          <w:szCs w:val="32"/>
        </w:rPr>
        <w:t>图1滨海新区“一核两带多片区”工业发展格局</w:t>
      </w:r>
    </w:p>
    <w:p>
      <w:pPr>
        <w:pStyle w:val="5"/>
        <w:pageBreakBefore w:val="0"/>
        <w:widowControl w:val="0"/>
        <w:kinsoku/>
        <w:wordWrap/>
        <w:overflowPunct/>
        <w:topLinePunct w:val="0"/>
        <w:autoSpaceDE/>
        <w:autoSpaceDN/>
        <w:bidi w:val="0"/>
        <w:adjustRightInd/>
        <w:snapToGrid/>
        <w:spacing w:line="580" w:lineRule="exact"/>
        <w:textAlignment w:val="auto"/>
        <w:rPr>
          <w:rFonts w:hint="default" w:ascii="Nimbus Roman No9 L" w:hAnsi="Nimbus Roman No9 L" w:cs="Nimbus Roman No9 L"/>
        </w:rPr>
      </w:pPr>
      <w:r>
        <w:rPr>
          <w:rFonts w:hint="default" w:ascii="Nimbus Roman No9 L" w:hAnsi="Nimbus Roman No9 L" w:cs="Nimbus Roman No9 L"/>
        </w:rPr>
        <w:t>1.一核</w:t>
      </w:r>
    </w:p>
    <w:p>
      <w:pPr>
        <w:pageBreakBefore w:val="0"/>
        <w:widowControl w:val="0"/>
        <w:kinsoku/>
        <w:wordWrap/>
        <w:overflowPunct/>
        <w:topLinePunct w:val="0"/>
        <w:autoSpaceDE/>
        <w:autoSpaceDN/>
        <w:bidi w:val="0"/>
        <w:adjustRightInd/>
        <w:snapToGrid/>
        <w:spacing w:line="580" w:lineRule="exact"/>
        <w:ind w:firstLine="640"/>
        <w:textAlignment w:val="auto"/>
        <w:rPr>
          <w:rFonts w:hint="default" w:ascii="Nimbus Roman No9 L" w:hAnsi="Nimbus Roman No9 L" w:cs="Nimbus Roman No9 L"/>
        </w:rPr>
      </w:pPr>
      <w:r>
        <w:rPr>
          <w:rFonts w:hint="default" w:ascii="Nimbus Roman No9 L" w:hAnsi="Nimbus Roman No9 L" w:cs="Nimbus Roman No9 L"/>
        </w:rPr>
        <w:t>滨海新区主城区主要包括经开区东区和高新区海洋片区，重点强化先进制造业和现代服务功能，大力发展都市型高科技产业，加速推进产城融合发展。经开区东区，着力优化产业结构、提升创新能力，围绕产业创新发展需求及未来产业发展导向，强化中心商务片区应用服务引领优势，推动滨海-中关村科技园发展，集聚一批拥有自主创新技术、成长性高、有带动引领作用的科技型企业，重点发展新一代信息技术（集成电路、大数据）、人工智能、生物药、高端医疗器械产业；高新区海洋片区，加强创新资源集聚，推进信创谷规划建设，重点发展</w:t>
      </w:r>
      <w:bookmarkStart w:id="49" w:name="_Hlk63241310"/>
      <w:r>
        <w:rPr>
          <w:rFonts w:hint="default" w:ascii="Nimbus Roman No9 L" w:hAnsi="Nimbus Roman No9 L" w:cs="Nimbus Roman No9 L"/>
        </w:rPr>
        <w:t>新一代信息技术</w:t>
      </w:r>
      <w:bookmarkEnd w:id="49"/>
      <w:r>
        <w:rPr>
          <w:rFonts w:hint="default" w:ascii="Nimbus Roman No9 L" w:hAnsi="Nimbus Roman No9 L" w:cs="Nimbus Roman No9 L"/>
        </w:rPr>
        <w:t>、光伏产业研发。</w:t>
      </w:r>
    </w:p>
    <w:p>
      <w:pPr>
        <w:pStyle w:val="5"/>
        <w:pageBreakBefore w:val="0"/>
        <w:widowControl w:val="0"/>
        <w:kinsoku/>
        <w:wordWrap/>
        <w:overflowPunct/>
        <w:topLinePunct w:val="0"/>
        <w:autoSpaceDE/>
        <w:autoSpaceDN/>
        <w:bidi w:val="0"/>
        <w:adjustRightInd/>
        <w:snapToGrid/>
        <w:spacing w:line="580" w:lineRule="exact"/>
        <w:textAlignment w:val="auto"/>
        <w:rPr>
          <w:rFonts w:hint="default" w:ascii="Nimbus Roman No9 L" w:hAnsi="Nimbus Roman No9 L" w:cs="Nimbus Roman No9 L"/>
        </w:rPr>
      </w:pPr>
      <w:r>
        <w:rPr>
          <w:rFonts w:hint="default" w:ascii="Nimbus Roman No9 L" w:hAnsi="Nimbus Roman No9 L" w:cs="Nimbus Roman No9 L"/>
        </w:rPr>
        <w:t>2.两带</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rPr>
      </w:pPr>
      <w:r>
        <w:rPr>
          <w:rFonts w:hint="default" w:ascii="Nimbus Roman No9 L" w:hAnsi="Nimbus Roman No9 L" w:cs="Nimbus Roman No9 L"/>
          <w:b/>
          <w:bCs/>
        </w:rPr>
        <w:t>先进制造发展带</w:t>
      </w:r>
      <w:r>
        <w:rPr>
          <w:rFonts w:hint="default" w:ascii="Nimbus Roman No9 L" w:hAnsi="Nimbus Roman No9 L" w:cs="Nimbus Roman No9 L"/>
        </w:rPr>
        <w:t>主要包括保税区空港片区、经开区西区和渤龙湖科技园，对接“津城”中心城区，打造战略性新兴产业发展集聚区，形成先进制造发展带。保税区空港片区，重点促进产业结构优化升级，加速淘汰落后产能，推动一般基础性制造业向临港有序转移，发挥临近天津滨海国际机场优势，持续巩固提升航空产业价值链，加快培育新产业新业态，重点发展航空产业、人工智能产业。经开区西区，进一步提高配套设备建设，加快现有制造业转型升级，承接研发转化高端业态，重点发展生物药、高端医疗器械、整车制造及关键零部件、新能源汽车、航天产业。渤龙湖科技园，以发展战略性新兴产业为导向，推动龙头企业与科研院所联动发展，推进重大科技成果产业化，重点发展智能装备、人工智能、生物药、现代中药、风电。</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szCs w:val="32"/>
        </w:rPr>
      </w:pPr>
      <w:r>
        <w:rPr>
          <w:rFonts w:hint="default" w:ascii="Nimbus Roman No9 L" w:hAnsi="Nimbus Roman No9 L" w:cs="Nimbus Roman No9 L"/>
          <w:b/>
          <w:bCs/>
        </w:rPr>
        <w:t>沿海产业发展带</w:t>
      </w:r>
      <w:r>
        <w:rPr>
          <w:rFonts w:hint="default" w:ascii="Nimbus Roman No9 L" w:hAnsi="Nimbus Roman No9 L" w:cs="Nimbus Roman No9 L"/>
          <w:szCs w:val="32"/>
        </w:rPr>
        <w:t>主要包括经开区北区、中区和南港工业区、中新生态城，以及保税区临港片区，着力突出滨海、生态与创新优势，推进产业集群特色发展发展，打造沿海产业发展带。北部以经开区北区、中新生态城为核心，经开区北区积极承接经开区产业资源梯度转移，集先进制造和研发转化于一体，重点发展节能环保材料、汽车关键零部件领域；中新生态城着力强化智慧创新驱动和都市消费驱动，加快推进一汽丰田新能源车等重点项目投达产，与汽车政策龙头企业协同联动，大力发展新能源汽车产业。南部包含经开区南港工业区、经开区中区、保税区临港片区，南港工业区大力集聚化工企业，着力推进石化等传统产业转型升级，重点发展烃类、高端精细及专用化学品、先进化工材料等领域，打造世界一流化工新材料基地；经开区中区与南港工业区实现联动一体化发展，依托南港工业区产业资源，布局石化下游产业，同时大力引进战略性新兴产业，重点发展节能环保材料、生物药、高端医疗器械等产业。临港片区紧抓天津市“向东向海”发展机遇，利用港口资源提升推动临港产业结构高级化，加快海水淡化综合利用基地、氢能产业园等特色载体建设，重点发展海洋装备、智能装备、生物药、高端医疗器械、氢能等。</w:t>
      </w:r>
    </w:p>
    <w:p>
      <w:pPr>
        <w:pStyle w:val="5"/>
        <w:pageBreakBefore w:val="0"/>
        <w:widowControl w:val="0"/>
        <w:kinsoku/>
        <w:wordWrap/>
        <w:overflowPunct/>
        <w:topLinePunct w:val="0"/>
        <w:autoSpaceDE/>
        <w:autoSpaceDN/>
        <w:bidi w:val="0"/>
        <w:adjustRightInd/>
        <w:snapToGrid/>
        <w:spacing w:line="580" w:lineRule="exact"/>
        <w:textAlignment w:val="auto"/>
        <w:rPr>
          <w:rFonts w:hint="default" w:ascii="Nimbus Roman No9 L" w:hAnsi="Nimbus Roman No9 L" w:cs="Nimbus Roman No9 L"/>
        </w:rPr>
      </w:pPr>
      <w:r>
        <w:rPr>
          <w:rFonts w:hint="default" w:ascii="Nimbus Roman No9 L" w:hAnsi="Nimbus Roman No9 L" w:cs="Nimbus Roman No9 L"/>
        </w:rPr>
        <w:t>3.多片区</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rPr>
      </w:pPr>
      <w:r>
        <w:rPr>
          <w:rFonts w:hint="default" w:ascii="Nimbus Roman No9 L" w:hAnsi="Nimbus Roman No9 L" w:cs="Nimbus Roman No9 L"/>
          <w:b/>
          <w:bCs/>
        </w:rPr>
        <w:t>大港片区。</w:t>
      </w:r>
      <w:r>
        <w:rPr>
          <w:rFonts w:hint="default" w:ascii="Nimbus Roman No9 L" w:hAnsi="Nimbus Roman No9 L" w:cs="Nimbus Roman No9 L"/>
        </w:rPr>
        <w:t>涵盖大港石化产业园区和天津中塘工业园，以推进产业集聚化、绿色化、高端化发展为导向，深化街道管辖园区治理，推动街道零散产业向园区集聚，重点发展先进化工材料、生物医药、汽车零部件产业。</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rPr>
      </w:pPr>
      <w:r>
        <w:rPr>
          <w:rFonts w:hint="default" w:ascii="Nimbus Roman No9 L" w:hAnsi="Nimbus Roman No9 L" w:cs="Nimbus Roman No9 L"/>
          <w:b/>
          <w:bCs/>
        </w:rPr>
        <w:t>南部新兴产业区。</w:t>
      </w:r>
      <w:r>
        <w:rPr>
          <w:rFonts w:hint="default" w:ascii="Nimbus Roman No9 L" w:hAnsi="Nimbus Roman No9 L" w:cs="Nimbus Roman No9 L"/>
        </w:rPr>
        <w:t>加快推进园区建设，积极承接经开区东、西区产业转移，重点为光伏、智能装备等新兴产业发展提供项目落户空间。</w:t>
      </w:r>
    </w:p>
    <w:p>
      <w:pPr>
        <w:pageBreakBefore w:val="0"/>
        <w:widowControl w:val="0"/>
        <w:kinsoku/>
        <w:wordWrap/>
        <w:overflowPunct/>
        <w:topLinePunct w:val="0"/>
        <w:autoSpaceDE/>
        <w:autoSpaceDN/>
        <w:bidi w:val="0"/>
        <w:adjustRightInd/>
        <w:snapToGrid/>
        <w:spacing w:line="580" w:lineRule="exact"/>
        <w:ind w:firstLine="643"/>
        <w:textAlignment w:val="auto"/>
        <w:rPr>
          <w:rFonts w:hint="default" w:ascii="Nimbus Roman No9 L" w:hAnsi="Nimbus Roman No9 L" w:cs="Nimbus Roman No9 L"/>
        </w:rPr>
      </w:pPr>
      <w:r>
        <w:rPr>
          <w:rFonts w:hint="default" w:ascii="Nimbus Roman No9 L" w:hAnsi="Nimbus Roman No9 L" w:cs="Nimbus Roman No9 L"/>
          <w:b/>
          <w:bCs/>
        </w:rPr>
        <w:t>飞地园区。</w:t>
      </w:r>
      <w:r>
        <w:rPr>
          <w:rFonts w:hint="default" w:ascii="Nimbus Roman No9 L" w:hAnsi="Nimbus Roman No9 L" w:cs="Nimbus Roman No9 L"/>
        </w:rPr>
        <w:t>加强天津经开区微电子工业区和逸仙科学工业园、天津滨海高新区华苑科技园和京津合作示范区等园区建设，引导园区专业聚焦、特色发展。</w:t>
      </w:r>
    </w:p>
    <w:p>
      <w:pPr>
        <w:pStyle w:val="4"/>
        <w:pageBreakBefore w:val="0"/>
        <w:widowControl w:val="0"/>
        <w:kinsoku/>
        <w:wordWrap/>
        <w:overflowPunct/>
        <w:topLinePunct w:val="0"/>
        <w:autoSpaceDE/>
        <w:autoSpaceDN/>
        <w:bidi w:val="0"/>
        <w:adjustRightInd/>
        <w:snapToGrid/>
        <w:spacing w:line="580" w:lineRule="exact"/>
        <w:ind w:firstLine="640"/>
        <w:textAlignment w:val="auto"/>
        <w:rPr>
          <w:rFonts w:hint="default" w:ascii="Nimbus Roman No9 L" w:hAnsi="Nimbus Roman No9 L" w:cs="Nimbus Roman No9 L"/>
          <w:b w:val="0"/>
          <w:bCs w:val="0"/>
        </w:rPr>
      </w:pPr>
      <w:bookmarkStart w:id="50" w:name="_Toc9179"/>
      <w:bookmarkStart w:id="51" w:name="_Toc64906429"/>
      <w:r>
        <w:rPr>
          <w:rFonts w:hint="default" w:ascii="Nimbus Roman No9 L" w:hAnsi="Nimbus Roman No9 L" w:cs="Nimbus Roman No9 L"/>
          <w:b w:val="0"/>
          <w:bCs w:val="0"/>
        </w:rPr>
        <w:t>（二）园区发展指引</w:t>
      </w:r>
      <w:bookmarkEnd w:id="50"/>
      <w:bookmarkEnd w:id="51"/>
    </w:p>
    <w:p>
      <w:pPr>
        <w:pageBreakBefore w:val="0"/>
        <w:widowControl w:val="0"/>
        <w:kinsoku/>
        <w:wordWrap/>
        <w:overflowPunct/>
        <w:topLinePunct w:val="0"/>
        <w:autoSpaceDE/>
        <w:autoSpaceDN/>
        <w:bidi w:val="0"/>
        <w:adjustRightInd/>
        <w:snapToGrid/>
        <w:spacing w:line="580" w:lineRule="exact"/>
        <w:ind w:firstLine="640"/>
        <w:textAlignment w:val="auto"/>
        <w:rPr>
          <w:rFonts w:hint="default" w:ascii="Nimbus Roman No9 L" w:hAnsi="Nimbus Roman No9 L" w:cs="Nimbus Roman No9 L"/>
        </w:rPr>
      </w:pPr>
      <w:r>
        <w:rPr>
          <w:rFonts w:hint="default" w:ascii="Nimbus Roman No9 L" w:hAnsi="Nimbus Roman No9 L" w:cs="Nimbus Roman No9 L"/>
        </w:rPr>
        <w:t>坚持特色化、集群化发展，立足滨海新区工业总体空间布局，落实《天津市工业规划布局（2019-2035年）》，根据《滨海新区产业空间布局指引实施方案》，依托各园区已有产业基础，促进传统产业向绿色化、高端化、智能化升级，推动有条件的街镇结合现有工业基础适当发展，明确滨海新区各开发区重点园区发展方向。</w:t>
      </w:r>
    </w:p>
    <w:p>
      <w:pPr>
        <w:ind w:firstLine="0" w:firstLineChars="0"/>
        <w:rPr>
          <w:rFonts w:hint="default" w:ascii="Nimbus Roman No9 L" w:hAnsi="Nimbus Roman No9 L" w:cs="Nimbus Roman No9 L"/>
          <w:b/>
          <w:bCs/>
        </w:rPr>
      </w:pPr>
      <w:r>
        <w:rPr>
          <w:rFonts w:hint="default" w:ascii="Nimbus Roman No9 L" w:hAnsi="Nimbus Roman No9 L" w:cs="Nimbus Roman No9 L"/>
          <w:b/>
          <w:bCs/>
        </w:rPr>
        <w:br w:type="page"/>
      </w:r>
    </w:p>
    <w:p>
      <w:pPr>
        <w:spacing w:line="580" w:lineRule="exact"/>
        <w:ind w:firstLine="643"/>
        <w:jc w:val="center"/>
        <w:rPr>
          <w:rFonts w:hint="default" w:ascii="Nimbus Roman No9 L" w:hAnsi="Nimbus Roman No9 L" w:cs="Nimbus Roman No9 L"/>
          <w:b/>
          <w:bCs/>
        </w:rPr>
      </w:pPr>
      <w:r>
        <w:rPr>
          <w:rFonts w:hint="default" w:ascii="Nimbus Roman No9 L" w:hAnsi="Nimbus Roman No9 L" w:cs="Nimbus Roman No9 L"/>
          <w:b/>
          <w:bCs/>
        </w:rPr>
        <w:t>表2 天津滨海新区各开发区园区发展指引</w:t>
      </w:r>
    </w:p>
    <w:tbl>
      <w:tblPr>
        <w:tblStyle w:val="15"/>
        <w:tblW w:w="953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2"/>
        <w:gridCol w:w="1192"/>
        <w:gridCol w:w="1882"/>
        <w:gridCol w:w="2573"/>
        <w:gridCol w:w="30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0" w:hRule="atLeast"/>
          <w:tblHeader/>
          <w:jc w:val="center"/>
        </w:trPr>
        <w:tc>
          <w:tcPr>
            <w:tcW w:w="882" w:type="dxa"/>
            <w:vAlign w:val="center"/>
          </w:tcPr>
          <w:p>
            <w:pPr>
              <w:spacing w:line="240" w:lineRule="auto"/>
              <w:ind w:firstLine="0" w:firstLineChars="0"/>
              <w:jc w:val="center"/>
              <w:rPr>
                <w:rFonts w:hint="default" w:ascii="Nimbus Roman No9 L" w:hAnsi="Nimbus Roman No9 L" w:cs="Nimbus Roman No9 L"/>
                <w:b/>
                <w:bCs/>
                <w:sz w:val="24"/>
                <w:szCs w:val="24"/>
              </w:rPr>
            </w:pPr>
            <w:r>
              <w:rPr>
                <w:rFonts w:hint="default" w:ascii="Nimbus Roman No9 L" w:hAnsi="Nimbus Roman No9 L" w:cs="Nimbus Roman No9 L"/>
                <w:b/>
                <w:bCs/>
                <w:sz w:val="24"/>
                <w:szCs w:val="24"/>
              </w:rPr>
              <w:t>级别</w:t>
            </w:r>
          </w:p>
        </w:tc>
        <w:tc>
          <w:tcPr>
            <w:tcW w:w="1192" w:type="dxa"/>
            <w:vAlign w:val="center"/>
          </w:tcPr>
          <w:p>
            <w:pPr>
              <w:spacing w:line="240" w:lineRule="auto"/>
              <w:ind w:left="241" w:hanging="240" w:hangingChars="100"/>
              <w:jc w:val="center"/>
              <w:rPr>
                <w:rFonts w:hint="default" w:ascii="Nimbus Roman No9 L" w:hAnsi="Nimbus Roman No9 L" w:cs="Nimbus Roman No9 L"/>
                <w:b/>
                <w:bCs/>
                <w:sz w:val="24"/>
                <w:szCs w:val="24"/>
              </w:rPr>
            </w:pPr>
            <w:r>
              <w:rPr>
                <w:rFonts w:hint="default" w:ascii="Nimbus Roman No9 L" w:hAnsi="Nimbus Roman No9 L" w:cs="Nimbus Roman No9 L"/>
                <w:b/>
                <w:bCs/>
                <w:sz w:val="24"/>
                <w:szCs w:val="24"/>
              </w:rPr>
              <w:t>开发区</w:t>
            </w:r>
          </w:p>
        </w:tc>
        <w:tc>
          <w:tcPr>
            <w:tcW w:w="1882" w:type="dxa"/>
            <w:vAlign w:val="center"/>
          </w:tcPr>
          <w:p>
            <w:pPr>
              <w:spacing w:line="240" w:lineRule="auto"/>
              <w:ind w:left="241" w:hanging="240" w:hangingChars="100"/>
              <w:jc w:val="center"/>
              <w:rPr>
                <w:rFonts w:hint="default" w:ascii="Nimbus Roman No9 L" w:hAnsi="Nimbus Roman No9 L" w:cs="Nimbus Roman No9 L"/>
                <w:b/>
                <w:bCs/>
                <w:sz w:val="24"/>
                <w:szCs w:val="24"/>
              </w:rPr>
            </w:pPr>
            <w:r>
              <w:rPr>
                <w:rFonts w:hint="default" w:ascii="Nimbus Roman No9 L" w:hAnsi="Nimbus Roman No9 L" w:cs="Nimbus Roman No9 L"/>
                <w:b/>
                <w:bCs/>
                <w:sz w:val="24"/>
                <w:szCs w:val="24"/>
              </w:rPr>
              <w:t>园区名称</w:t>
            </w:r>
          </w:p>
        </w:tc>
        <w:tc>
          <w:tcPr>
            <w:tcW w:w="2573" w:type="dxa"/>
            <w:vAlign w:val="center"/>
          </w:tcPr>
          <w:p>
            <w:pPr>
              <w:spacing w:line="240" w:lineRule="auto"/>
              <w:ind w:left="241" w:hanging="240" w:hangingChars="100"/>
              <w:jc w:val="center"/>
              <w:rPr>
                <w:rFonts w:hint="default" w:ascii="Nimbus Roman No9 L" w:hAnsi="Nimbus Roman No9 L" w:cs="Nimbus Roman No9 L"/>
                <w:b/>
                <w:bCs/>
                <w:sz w:val="24"/>
                <w:szCs w:val="24"/>
              </w:rPr>
            </w:pPr>
            <w:r>
              <w:rPr>
                <w:rFonts w:hint="default" w:ascii="Nimbus Roman No9 L" w:hAnsi="Nimbus Roman No9 L" w:cs="Nimbus Roman No9 L"/>
                <w:b/>
                <w:bCs/>
                <w:sz w:val="24"/>
                <w:szCs w:val="24"/>
              </w:rPr>
              <w:t>重点产业</w:t>
            </w:r>
          </w:p>
        </w:tc>
        <w:tc>
          <w:tcPr>
            <w:tcW w:w="3001" w:type="dxa"/>
            <w:vAlign w:val="center"/>
          </w:tcPr>
          <w:p>
            <w:pPr>
              <w:spacing w:line="240" w:lineRule="auto"/>
              <w:ind w:firstLine="0" w:firstLineChars="0"/>
              <w:jc w:val="center"/>
              <w:rPr>
                <w:rFonts w:hint="default" w:ascii="Nimbus Roman No9 L" w:hAnsi="Nimbus Roman No9 L" w:cs="Nimbus Roman No9 L"/>
                <w:b/>
                <w:bCs/>
                <w:sz w:val="24"/>
                <w:szCs w:val="24"/>
              </w:rPr>
            </w:pPr>
            <w:r>
              <w:rPr>
                <w:rFonts w:hint="default" w:ascii="Nimbus Roman No9 L" w:hAnsi="Nimbus Roman No9 L" w:cs="Nimbus Roman No9 L"/>
                <w:b/>
                <w:bCs/>
                <w:sz w:val="24"/>
                <w:szCs w:val="24"/>
              </w:rPr>
              <w:t>细分领域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2" w:type="dxa"/>
            <w:vMerge w:val="restart"/>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国</w:t>
            </w:r>
          </w:p>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家</w:t>
            </w:r>
          </w:p>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级</w:t>
            </w:r>
          </w:p>
          <w:p>
            <w:pPr>
              <w:spacing w:line="240" w:lineRule="auto"/>
              <w:ind w:firstLine="48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 xml:space="preserve"> </w:t>
            </w:r>
          </w:p>
          <w:p>
            <w:pPr>
              <w:spacing w:line="240" w:lineRule="auto"/>
              <w:ind w:firstLine="480"/>
              <w:jc w:val="center"/>
              <w:rPr>
                <w:rFonts w:hint="default" w:ascii="Nimbus Roman No9 L" w:hAnsi="Nimbus Roman No9 L" w:cs="Nimbus Roman No9 L"/>
                <w:sz w:val="24"/>
                <w:szCs w:val="24"/>
              </w:rPr>
            </w:pPr>
          </w:p>
        </w:tc>
        <w:tc>
          <w:tcPr>
            <w:tcW w:w="1192" w:type="dxa"/>
            <w:vMerge w:val="restart"/>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经开区</w:t>
            </w:r>
          </w:p>
        </w:tc>
        <w:tc>
          <w:tcPr>
            <w:tcW w:w="1882" w:type="dxa"/>
            <w:vMerge w:val="restart"/>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东区</w:t>
            </w:r>
          </w:p>
        </w:tc>
        <w:tc>
          <w:tcPr>
            <w:tcW w:w="2573"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新一代信息技术</w:t>
            </w:r>
          </w:p>
        </w:tc>
        <w:tc>
          <w:tcPr>
            <w:tcW w:w="3001"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人工智能、集成电路、大数据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2" w:type="dxa"/>
            <w:vMerge w:val="continue"/>
            <w:vAlign w:val="center"/>
          </w:tcPr>
          <w:p>
            <w:pPr>
              <w:spacing w:line="240" w:lineRule="auto"/>
              <w:ind w:firstLine="0" w:firstLineChars="0"/>
              <w:jc w:val="center"/>
              <w:rPr>
                <w:rFonts w:hint="default" w:ascii="Nimbus Roman No9 L" w:hAnsi="Nimbus Roman No9 L" w:cs="Nimbus Roman No9 L"/>
                <w:sz w:val="24"/>
                <w:szCs w:val="24"/>
              </w:rPr>
            </w:pPr>
          </w:p>
        </w:tc>
        <w:tc>
          <w:tcPr>
            <w:tcW w:w="1192" w:type="dxa"/>
            <w:vMerge w:val="continue"/>
            <w:vAlign w:val="center"/>
          </w:tcPr>
          <w:p>
            <w:pPr>
              <w:spacing w:line="240" w:lineRule="auto"/>
              <w:ind w:firstLine="0" w:firstLineChars="0"/>
              <w:jc w:val="center"/>
              <w:rPr>
                <w:rFonts w:hint="default" w:ascii="Nimbus Roman No9 L" w:hAnsi="Nimbus Roman No9 L" w:cs="Nimbus Roman No9 L"/>
                <w:sz w:val="24"/>
                <w:szCs w:val="24"/>
              </w:rPr>
            </w:pPr>
          </w:p>
        </w:tc>
        <w:tc>
          <w:tcPr>
            <w:tcW w:w="1882" w:type="dxa"/>
            <w:vMerge w:val="continue"/>
          </w:tcPr>
          <w:p>
            <w:pPr>
              <w:spacing w:line="240" w:lineRule="auto"/>
              <w:ind w:firstLine="0" w:firstLineChars="0"/>
              <w:jc w:val="center"/>
              <w:rPr>
                <w:rFonts w:hint="default" w:ascii="Nimbus Roman No9 L" w:hAnsi="Nimbus Roman No9 L" w:cs="Nimbus Roman No9 L"/>
                <w:sz w:val="24"/>
                <w:szCs w:val="24"/>
              </w:rPr>
            </w:pPr>
          </w:p>
        </w:tc>
        <w:tc>
          <w:tcPr>
            <w:tcW w:w="2573"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生物医药</w:t>
            </w:r>
          </w:p>
        </w:tc>
        <w:tc>
          <w:tcPr>
            <w:tcW w:w="3001"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生物药、高端医疗器械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2" w:type="dxa"/>
            <w:vMerge w:val="continue"/>
          </w:tcPr>
          <w:p>
            <w:pPr>
              <w:spacing w:line="240" w:lineRule="auto"/>
              <w:ind w:firstLine="480"/>
              <w:jc w:val="center"/>
              <w:rPr>
                <w:rFonts w:hint="default" w:ascii="Nimbus Roman No9 L" w:hAnsi="Nimbus Roman No9 L" w:cs="Nimbus Roman No9 L"/>
                <w:sz w:val="24"/>
                <w:szCs w:val="24"/>
              </w:rPr>
            </w:pPr>
          </w:p>
        </w:tc>
        <w:tc>
          <w:tcPr>
            <w:tcW w:w="1192" w:type="dxa"/>
            <w:vMerge w:val="continue"/>
            <w:vAlign w:val="center"/>
          </w:tcPr>
          <w:p>
            <w:pPr>
              <w:spacing w:line="240" w:lineRule="auto"/>
              <w:ind w:firstLine="0" w:firstLineChars="0"/>
              <w:jc w:val="center"/>
              <w:rPr>
                <w:rFonts w:hint="default" w:ascii="Nimbus Roman No9 L" w:hAnsi="Nimbus Roman No9 L" w:cs="Nimbus Roman No9 L"/>
                <w:sz w:val="24"/>
                <w:szCs w:val="24"/>
              </w:rPr>
            </w:pPr>
          </w:p>
        </w:tc>
        <w:tc>
          <w:tcPr>
            <w:tcW w:w="1882" w:type="dxa"/>
            <w:vMerge w:val="restart"/>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西区</w:t>
            </w:r>
          </w:p>
        </w:tc>
        <w:tc>
          <w:tcPr>
            <w:tcW w:w="2573"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生物医药</w:t>
            </w:r>
          </w:p>
        </w:tc>
        <w:tc>
          <w:tcPr>
            <w:tcW w:w="3001"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 xml:space="preserve">生物药、高端医疗器械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2" w:type="dxa"/>
            <w:vMerge w:val="continue"/>
          </w:tcPr>
          <w:p>
            <w:pPr>
              <w:spacing w:line="240" w:lineRule="auto"/>
              <w:ind w:firstLine="480"/>
              <w:jc w:val="center"/>
              <w:rPr>
                <w:rFonts w:hint="default" w:ascii="Nimbus Roman No9 L" w:hAnsi="Nimbus Roman No9 L" w:cs="Nimbus Roman No9 L"/>
                <w:sz w:val="24"/>
                <w:szCs w:val="24"/>
              </w:rPr>
            </w:pPr>
          </w:p>
        </w:tc>
        <w:tc>
          <w:tcPr>
            <w:tcW w:w="1192" w:type="dxa"/>
            <w:vMerge w:val="continue"/>
            <w:vAlign w:val="center"/>
          </w:tcPr>
          <w:p>
            <w:pPr>
              <w:spacing w:line="240" w:lineRule="auto"/>
              <w:ind w:firstLine="0" w:firstLineChars="0"/>
              <w:jc w:val="center"/>
              <w:rPr>
                <w:rFonts w:hint="default" w:ascii="Nimbus Roman No9 L" w:hAnsi="Nimbus Roman No9 L" w:cs="Nimbus Roman No9 L"/>
                <w:sz w:val="24"/>
                <w:szCs w:val="24"/>
              </w:rPr>
            </w:pPr>
          </w:p>
        </w:tc>
        <w:tc>
          <w:tcPr>
            <w:tcW w:w="1882" w:type="dxa"/>
            <w:vMerge w:val="continue"/>
          </w:tcPr>
          <w:p>
            <w:pPr>
              <w:spacing w:line="240" w:lineRule="auto"/>
              <w:ind w:firstLine="0" w:firstLineChars="0"/>
              <w:jc w:val="center"/>
              <w:rPr>
                <w:rFonts w:hint="default" w:ascii="Nimbus Roman No9 L" w:hAnsi="Nimbus Roman No9 L" w:cs="Nimbus Roman No9 L"/>
                <w:sz w:val="24"/>
                <w:szCs w:val="24"/>
              </w:rPr>
            </w:pPr>
          </w:p>
        </w:tc>
        <w:tc>
          <w:tcPr>
            <w:tcW w:w="2573"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汽车</w:t>
            </w:r>
          </w:p>
        </w:tc>
        <w:tc>
          <w:tcPr>
            <w:tcW w:w="3001"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整车制造及关键零部件、新能源汽车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2" w:type="dxa"/>
            <w:vMerge w:val="continue"/>
          </w:tcPr>
          <w:p>
            <w:pPr>
              <w:spacing w:line="240" w:lineRule="auto"/>
              <w:ind w:firstLine="480"/>
              <w:jc w:val="center"/>
              <w:rPr>
                <w:rFonts w:hint="default" w:ascii="Nimbus Roman No9 L" w:hAnsi="Nimbus Roman No9 L" w:cs="Nimbus Roman No9 L"/>
                <w:sz w:val="24"/>
                <w:szCs w:val="24"/>
              </w:rPr>
            </w:pPr>
          </w:p>
        </w:tc>
        <w:tc>
          <w:tcPr>
            <w:tcW w:w="1192" w:type="dxa"/>
            <w:vMerge w:val="continue"/>
            <w:vAlign w:val="center"/>
          </w:tcPr>
          <w:p>
            <w:pPr>
              <w:spacing w:line="240" w:lineRule="auto"/>
              <w:ind w:firstLine="0" w:firstLineChars="0"/>
              <w:jc w:val="center"/>
              <w:rPr>
                <w:rFonts w:hint="default" w:ascii="Nimbus Roman No9 L" w:hAnsi="Nimbus Roman No9 L" w:cs="Nimbus Roman No9 L"/>
                <w:sz w:val="24"/>
                <w:szCs w:val="24"/>
              </w:rPr>
            </w:pPr>
          </w:p>
        </w:tc>
        <w:tc>
          <w:tcPr>
            <w:tcW w:w="1882" w:type="dxa"/>
            <w:vMerge w:val="continue"/>
          </w:tcPr>
          <w:p>
            <w:pPr>
              <w:spacing w:line="240" w:lineRule="auto"/>
              <w:ind w:firstLine="0" w:firstLineChars="0"/>
              <w:jc w:val="center"/>
              <w:rPr>
                <w:rFonts w:hint="default" w:ascii="Nimbus Roman No9 L" w:hAnsi="Nimbus Roman No9 L" w:cs="Nimbus Roman No9 L"/>
                <w:sz w:val="24"/>
                <w:szCs w:val="24"/>
              </w:rPr>
            </w:pPr>
          </w:p>
        </w:tc>
        <w:tc>
          <w:tcPr>
            <w:tcW w:w="2573"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航空航天</w:t>
            </w:r>
          </w:p>
        </w:tc>
        <w:tc>
          <w:tcPr>
            <w:tcW w:w="3001"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航天产业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2" w:type="dxa"/>
            <w:vMerge w:val="continue"/>
          </w:tcPr>
          <w:p>
            <w:pPr>
              <w:spacing w:line="240" w:lineRule="auto"/>
              <w:ind w:firstLine="480"/>
              <w:jc w:val="center"/>
              <w:rPr>
                <w:rFonts w:hint="default" w:ascii="Nimbus Roman No9 L" w:hAnsi="Nimbus Roman No9 L" w:cs="Nimbus Roman No9 L"/>
                <w:sz w:val="24"/>
                <w:szCs w:val="24"/>
              </w:rPr>
            </w:pPr>
          </w:p>
        </w:tc>
        <w:tc>
          <w:tcPr>
            <w:tcW w:w="1192" w:type="dxa"/>
            <w:vMerge w:val="continue"/>
            <w:vAlign w:val="center"/>
          </w:tcPr>
          <w:p>
            <w:pPr>
              <w:spacing w:line="240" w:lineRule="auto"/>
              <w:ind w:firstLine="0" w:firstLineChars="0"/>
              <w:jc w:val="center"/>
              <w:rPr>
                <w:rFonts w:hint="default" w:ascii="Nimbus Roman No9 L" w:hAnsi="Nimbus Roman No9 L" w:cs="Nimbus Roman No9 L"/>
                <w:sz w:val="24"/>
                <w:szCs w:val="24"/>
              </w:rPr>
            </w:pPr>
          </w:p>
        </w:tc>
        <w:tc>
          <w:tcPr>
            <w:tcW w:w="1882" w:type="dxa"/>
            <w:vMerge w:val="restart"/>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中关村科技园</w:t>
            </w:r>
          </w:p>
        </w:tc>
        <w:tc>
          <w:tcPr>
            <w:tcW w:w="2573"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新一代信息技术</w:t>
            </w:r>
          </w:p>
        </w:tc>
        <w:tc>
          <w:tcPr>
            <w:tcW w:w="3001"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5G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2" w:type="dxa"/>
            <w:vMerge w:val="continue"/>
          </w:tcPr>
          <w:p>
            <w:pPr>
              <w:spacing w:line="240" w:lineRule="auto"/>
              <w:ind w:firstLine="480"/>
              <w:jc w:val="center"/>
              <w:rPr>
                <w:rFonts w:hint="default" w:ascii="Nimbus Roman No9 L" w:hAnsi="Nimbus Roman No9 L" w:cs="Nimbus Roman No9 L"/>
                <w:sz w:val="24"/>
                <w:szCs w:val="24"/>
              </w:rPr>
            </w:pPr>
          </w:p>
        </w:tc>
        <w:tc>
          <w:tcPr>
            <w:tcW w:w="1192" w:type="dxa"/>
            <w:vMerge w:val="continue"/>
            <w:vAlign w:val="center"/>
          </w:tcPr>
          <w:p>
            <w:pPr>
              <w:spacing w:line="240" w:lineRule="auto"/>
              <w:ind w:firstLine="0" w:firstLineChars="0"/>
              <w:jc w:val="center"/>
              <w:rPr>
                <w:rFonts w:hint="default" w:ascii="Nimbus Roman No9 L" w:hAnsi="Nimbus Roman No9 L" w:cs="Nimbus Roman No9 L"/>
                <w:sz w:val="24"/>
                <w:szCs w:val="24"/>
              </w:rPr>
            </w:pPr>
          </w:p>
        </w:tc>
        <w:tc>
          <w:tcPr>
            <w:tcW w:w="1882" w:type="dxa"/>
            <w:vMerge w:val="continue"/>
          </w:tcPr>
          <w:p>
            <w:pPr>
              <w:spacing w:line="240" w:lineRule="auto"/>
              <w:ind w:firstLine="0" w:firstLineChars="0"/>
              <w:jc w:val="center"/>
              <w:rPr>
                <w:rFonts w:hint="default" w:ascii="Nimbus Roman No9 L" w:hAnsi="Nimbus Roman No9 L" w:cs="Nimbus Roman No9 L"/>
                <w:sz w:val="24"/>
                <w:szCs w:val="24"/>
              </w:rPr>
            </w:pPr>
          </w:p>
        </w:tc>
        <w:tc>
          <w:tcPr>
            <w:tcW w:w="2573"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装备制造</w:t>
            </w:r>
          </w:p>
        </w:tc>
        <w:tc>
          <w:tcPr>
            <w:tcW w:w="3001"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智能装备（机器人）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2" w:type="dxa"/>
            <w:vMerge w:val="continue"/>
          </w:tcPr>
          <w:p>
            <w:pPr>
              <w:spacing w:line="240" w:lineRule="auto"/>
              <w:ind w:firstLine="480"/>
              <w:jc w:val="center"/>
              <w:rPr>
                <w:rFonts w:hint="default" w:ascii="Nimbus Roman No9 L" w:hAnsi="Nimbus Roman No9 L" w:cs="Nimbus Roman No9 L"/>
                <w:sz w:val="24"/>
                <w:szCs w:val="24"/>
              </w:rPr>
            </w:pPr>
          </w:p>
        </w:tc>
        <w:tc>
          <w:tcPr>
            <w:tcW w:w="1192" w:type="dxa"/>
            <w:vMerge w:val="continue"/>
            <w:vAlign w:val="center"/>
          </w:tcPr>
          <w:p>
            <w:pPr>
              <w:spacing w:line="240" w:lineRule="auto"/>
              <w:ind w:firstLine="0" w:firstLineChars="0"/>
              <w:jc w:val="center"/>
              <w:rPr>
                <w:rFonts w:hint="default" w:ascii="Nimbus Roman No9 L" w:hAnsi="Nimbus Roman No9 L" w:cs="Nimbus Roman No9 L"/>
                <w:sz w:val="24"/>
                <w:szCs w:val="24"/>
              </w:rPr>
            </w:pPr>
          </w:p>
        </w:tc>
        <w:tc>
          <w:tcPr>
            <w:tcW w:w="1882" w:type="dxa"/>
            <w:vMerge w:val="continue"/>
          </w:tcPr>
          <w:p>
            <w:pPr>
              <w:spacing w:line="240" w:lineRule="auto"/>
              <w:ind w:firstLine="0" w:firstLineChars="0"/>
              <w:jc w:val="center"/>
              <w:rPr>
                <w:rFonts w:hint="default" w:ascii="Nimbus Roman No9 L" w:hAnsi="Nimbus Roman No9 L" w:cs="Nimbus Roman No9 L"/>
                <w:sz w:val="24"/>
                <w:szCs w:val="24"/>
              </w:rPr>
            </w:pPr>
          </w:p>
        </w:tc>
        <w:tc>
          <w:tcPr>
            <w:tcW w:w="2573"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新材料</w:t>
            </w:r>
          </w:p>
        </w:tc>
        <w:tc>
          <w:tcPr>
            <w:tcW w:w="3001"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石墨烯材料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2" w:type="dxa"/>
            <w:vMerge w:val="continue"/>
          </w:tcPr>
          <w:p>
            <w:pPr>
              <w:spacing w:line="240" w:lineRule="auto"/>
              <w:ind w:firstLine="480"/>
              <w:jc w:val="center"/>
              <w:rPr>
                <w:rFonts w:hint="default" w:ascii="Nimbus Roman No9 L" w:hAnsi="Nimbus Roman No9 L" w:cs="Nimbus Roman No9 L"/>
                <w:sz w:val="24"/>
                <w:szCs w:val="24"/>
              </w:rPr>
            </w:pPr>
          </w:p>
        </w:tc>
        <w:tc>
          <w:tcPr>
            <w:tcW w:w="1192" w:type="dxa"/>
            <w:vMerge w:val="continue"/>
            <w:vAlign w:val="center"/>
          </w:tcPr>
          <w:p>
            <w:pPr>
              <w:spacing w:line="240" w:lineRule="auto"/>
              <w:ind w:firstLine="0" w:firstLineChars="0"/>
              <w:jc w:val="center"/>
              <w:rPr>
                <w:rFonts w:hint="default" w:ascii="Nimbus Roman No9 L" w:hAnsi="Nimbus Roman No9 L" w:cs="Nimbus Roman No9 L"/>
                <w:sz w:val="24"/>
                <w:szCs w:val="24"/>
              </w:rPr>
            </w:pPr>
          </w:p>
        </w:tc>
        <w:tc>
          <w:tcPr>
            <w:tcW w:w="1882"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中心商务片区</w:t>
            </w:r>
          </w:p>
        </w:tc>
        <w:tc>
          <w:tcPr>
            <w:tcW w:w="5574" w:type="dxa"/>
            <w:gridSpan w:val="2"/>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（总部经济、商贸、金融、高技术服务业、现代新兴服务业）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882" w:type="dxa"/>
            <w:vMerge w:val="continue"/>
          </w:tcPr>
          <w:p>
            <w:pPr>
              <w:spacing w:line="240" w:lineRule="auto"/>
              <w:ind w:firstLine="480"/>
              <w:jc w:val="center"/>
              <w:rPr>
                <w:rFonts w:hint="default" w:ascii="Nimbus Roman No9 L" w:hAnsi="Nimbus Roman No9 L" w:cs="Nimbus Roman No9 L"/>
                <w:sz w:val="24"/>
                <w:szCs w:val="24"/>
              </w:rPr>
            </w:pPr>
          </w:p>
        </w:tc>
        <w:tc>
          <w:tcPr>
            <w:tcW w:w="1192" w:type="dxa"/>
            <w:vMerge w:val="continue"/>
            <w:vAlign w:val="center"/>
          </w:tcPr>
          <w:p>
            <w:pPr>
              <w:spacing w:line="240" w:lineRule="auto"/>
              <w:ind w:firstLine="0" w:firstLineChars="0"/>
              <w:jc w:val="center"/>
              <w:rPr>
                <w:rFonts w:hint="default" w:ascii="Nimbus Roman No9 L" w:hAnsi="Nimbus Roman No9 L" w:cs="Nimbus Roman No9 L"/>
                <w:sz w:val="24"/>
                <w:szCs w:val="24"/>
              </w:rPr>
            </w:pPr>
          </w:p>
        </w:tc>
        <w:tc>
          <w:tcPr>
            <w:tcW w:w="1882" w:type="dxa"/>
            <w:vMerge w:val="restart"/>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南港工业区</w:t>
            </w:r>
          </w:p>
        </w:tc>
        <w:tc>
          <w:tcPr>
            <w:tcW w:w="2573"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石油化工</w:t>
            </w:r>
          </w:p>
        </w:tc>
        <w:tc>
          <w:tcPr>
            <w:tcW w:w="3001" w:type="dxa"/>
            <w:vAlign w:val="center"/>
          </w:tcPr>
          <w:p>
            <w:pPr>
              <w:spacing w:line="240" w:lineRule="auto"/>
              <w:ind w:firstLine="0" w:firstLineChars="0"/>
              <w:jc w:val="center"/>
              <w:rPr>
                <w:rFonts w:hint="default" w:ascii="Nimbus Roman No9 L" w:hAnsi="Nimbus Roman No9 L" w:cs="Nimbus Roman No9 L"/>
                <w:sz w:val="24"/>
                <w:szCs w:val="24"/>
              </w:rPr>
            </w:pPr>
            <w:bookmarkStart w:id="52" w:name="_Hlk65316516"/>
            <w:r>
              <w:rPr>
                <w:rFonts w:hint="default" w:ascii="Nimbus Roman No9 L" w:hAnsi="Nimbus Roman No9 L" w:cs="Nimbus Roman No9 L"/>
                <w:sz w:val="24"/>
                <w:szCs w:val="24"/>
              </w:rPr>
              <w:t>烃类</w:t>
            </w:r>
            <w:bookmarkEnd w:id="52"/>
            <w:r>
              <w:rPr>
                <w:rFonts w:hint="default" w:ascii="Nimbus Roman No9 L" w:hAnsi="Nimbus Roman No9 L" w:cs="Nimbus Roman No9 L"/>
                <w:sz w:val="24"/>
                <w:szCs w:val="24"/>
              </w:rPr>
              <w:t>、高端精细及专用化学品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882" w:type="dxa"/>
            <w:vMerge w:val="continue"/>
          </w:tcPr>
          <w:p>
            <w:pPr>
              <w:spacing w:line="240" w:lineRule="auto"/>
              <w:ind w:firstLine="480"/>
              <w:jc w:val="center"/>
              <w:rPr>
                <w:rFonts w:hint="default" w:ascii="Nimbus Roman No9 L" w:hAnsi="Nimbus Roman No9 L" w:cs="Nimbus Roman No9 L"/>
                <w:sz w:val="24"/>
                <w:szCs w:val="24"/>
              </w:rPr>
            </w:pPr>
          </w:p>
        </w:tc>
        <w:tc>
          <w:tcPr>
            <w:tcW w:w="1192" w:type="dxa"/>
            <w:vMerge w:val="continue"/>
            <w:vAlign w:val="center"/>
          </w:tcPr>
          <w:p>
            <w:pPr>
              <w:spacing w:line="240" w:lineRule="auto"/>
              <w:ind w:firstLine="0" w:firstLineChars="0"/>
              <w:jc w:val="center"/>
              <w:rPr>
                <w:rFonts w:hint="default" w:ascii="Nimbus Roman No9 L" w:hAnsi="Nimbus Roman No9 L" w:cs="Nimbus Roman No9 L"/>
                <w:sz w:val="24"/>
                <w:szCs w:val="24"/>
              </w:rPr>
            </w:pPr>
          </w:p>
        </w:tc>
        <w:tc>
          <w:tcPr>
            <w:tcW w:w="1882" w:type="dxa"/>
            <w:vMerge w:val="continue"/>
            <w:vAlign w:val="center"/>
          </w:tcPr>
          <w:p>
            <w:pPr>
              <w:spacing w:line="240" w:lineRule="auto"/>
              <w:ind w:firstLine="0" w:firstLineChars="0"/>
              <w:jc w:val="center"/>
              <w:rPr>
                <w:rFonts w:hint="default" w:ascii="Nimbus Roman No9 L" w:hAnsi="Nimbus Roman No9 L" w:cs="Nimbus Roman No9 L"/>
                <w:sz w:val="24"/>
                <w:szCs w:val="24"/>
              </w:rPr>
            </w:pPr>
          </w:p>
        </w:tc>
        <w:tc>
          <w:tcPr>
            <w:tcW w:w="2573"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新材料</w:t>
            </w:r>
          </w:p>
        </w:tc>
        <w:tc>
          <w:tcPr>
            <w:tcW w:w="3001"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先进化工材料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2" w:type="dxa"/>
            <w:vMerge w:val="continue"/>
          </w:tcPr>
          <w:p>
            <w:pPr>
              <w:spacing w:line="240" w:lineRule="auto"/>
              <w:ind w:firstLine="480"/>
              <w:jc w:val="center"/>
              <w:rPr>
                <w:rFonts w:hint="default" w:ascii="Nimbus Roman No9 L" w:hAnsi="Nimbus Roman No9 L" w:cs="Nimbus Roman No9 L"/>
                <w:sz w:val="24"/>
                <w:szCs w:val="24"/>
              </w:rPr>
            </w:pPr>
          </w:p>
        </w:tc>
        <w:tc>
          <w:tcPr>
            <w:tcW w:w="1192" w:type="dxa"/>
            <w:vMerge w:val="continue"/>
            <w:vAlign w:val="center"/>
          </w:tcPr>
          <w:p>
            <w:pPr>
              <w:spacing w:line="240" w:lineRule="auto"/>
              <w:ind w:firstLine="0" w:firstLineChars="0"/>
              <w:jc w:val="center"/>
              <w:rPr>
                <w:rFonts w:hint="default" w:ascii="Nimbus Roman No9 L" w:hAnsi="Nimbus Roman No9 L" w:cs="Nimbus Roman No9 L"/>
                <w:sz w:val="24"/>
                <w:szCs w:val="24"/>
              </w:rPr>
            </w:pPr>
          </w:p>
        </w:tc>
        <w:tc>
          <w:tcPr>
            <w:tcW w:w="1882" w:type="dxa"/>
            <w:vMerge w:val="restart"/>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北区</w:t>
            </w:r>
          </w:p>
        </w:tc>
        <w:tc>
          <w:tcPr>
            <w:tcW w:w="2573"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新材料</w:t>
            </w:r>
          </w:p>
        </w:tc>
        <w:tc>
          <w:tcPr>
            <w:tcW w:w="3001"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节能环保材料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2" w:type="dxa"/>
            <w:vMerge w:val="continue"/>
          </w:tcPr>
          <w:p>
            <w:pPr>
              <w:spacing w:line="240" w:lineRule="auto"/>
              <w:ind w:firstLine="480"/>
              <w:jc w:val="center"/>
              <w:rPr>
                <w:rFonts w:hint="default" w:ascii="Nimbus Roman No9 L" w:hAnsi="Nimbus Roman No9 L" w:cs="Nimbus Roman No9 L"/>
                <w:sz w:val="24"/>
                <w:szCs w:val="24"/>
              </w:rPr>
            </w:pPr>
          </w:p>
        </w:tc>
        <w:tc>
          <w:tcPr>
            <w:tcW w:w="1192" w:type="dxa"/>
            <w:vMerge w:val="continue"/>
            <w:vAlign w:val="center"/>
          </w:tcPr>
          <w:p>
            <w:pPr>
              <w:spacing w:line="240" w:lineRule="auto"/>
              <w:ind w:firstLine="0" w:firstLineChars="0"/>
              <w:jc w:val="center"/>
              <w:rPr>
                <w:rFonts w:hint="default" w:ascii="Nimbus Roman No9 L" w:hAnsi="Nimbus Roman No9 L" w:cs="Nimbus Roman No9 L"/>
                <w:sz w:val="24"/>
                <w:szCs w:val="24"/>
              </w:rPr>
            </w:pPr>
          </w:p>
        </w:tc>
        <w:tc>
          <w:tcPr>
            <w:tcW w:w="1882" w:type="dxa"/>
            <w:vMerge w:val="continue"/>
          </w:tcPr>
          <w:p>
            <w:pPr>
              <w:spacing w:line="240" w:lineRule="auto"/>
              <w:ind w:firstLine="0" w:firstLineChars="0"/>
              <w:jc w:val="center"/>
              <w:rPr>
                <w:rFonts w:hint="default" w:ascii="Nimbus Roman No9 L" w:hAnsi="Nimbus Roman No9 L" w:cs="Nimbus Roman No9 L"/>
                <w:sz w:val="24"/>
                <w:szCs w:val="24"/>
              </w:rPr>
            </w:pPr>
          </w:p>
        </w:tc>
        <w:tc>
          <w:tcPr>
            <w:tcW w:w="2573"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汽车</w:t>
            </w:r>
          </w:p>
        </w:tc>
        <w:tc>
          <w:tcPr>
            <w:tcW w:w="3001"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汽车关键零部件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2" w:type="dxa"/>
            <w:vMerge w:val="continue"/>
          </w:tcPr>
          <w:p>
            <w:pPr>
              <w:spacing w:line="240" w:lineRule="auto"/>
              <w:ind w:firstLine="480"/>
              <w:jc w:val="center"/>
              <w:rPr>
                <w:rFonts w:hint="default" w:ascii="Nimbus Roman No9 L" w:hAnsi="Nimbus Roman No9 L" w:cs="Nimbus Roman No9 L"/>
                <w:sz w:val="24"/>
                <w:szCs w:val="24"/>
              </w:rPr>
            </w:pPr>
          </w:p>
        </w:tc>
        <w:tc>
          <w:tcPr>
            <w:tcW w:w="1192" w:type="dxa"/>
            <w:vMerge w:val="continue"/>
            <w:vAlign w:val="center"/>
          </w:tcPr>
          <w:p>
            <w:pPr>
              <w:spacing w:line="240" w:lineRule="auto"/>
              <w:ind w:firstLine="0" w:firstLineChars="0"/>
              <w:jc w:val="center"/>
              <w:rPr>
                <w:rFonts w:hint="default" w:ascii="Nimbus Roman No9 L" w:hAnsi="Nimbus Roman No9 L" w:cs="Nimbus Roman No9 L"/>
                <w:sz w:val="24"/>
                <w:szCs w:val="24"/>
              </w:rPr>
            </w:pPr>
          </w:p>
        </w:tc>
        <w:tc>
          <w:tcPr>
            <w:tcW w:w="1882" w:type="dxa"/>
            <w:vMerge w:val="restart"/>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中区</w:t>
            </w:r>
          </w:p>
        </w:tc>
        <w:tc>
          <w:tcPr>
            <w:tcW w:w="2573"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新材料</w:t>
            </w:r>
          </w:p>
        </w:tc>
        <w:tc>
          <w:tcPr>
            <w:tcW w:w="3001"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节能环保材料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882" w:type="dxa"/>
            <w:vMerge w:val="continue"/>
          </w:tcPr>
          <w:p>
            <w:pPr>
              <w:spacing w:line="240" w:lineRule="auto"/>
              <w:ind w:firstLine="480"/>
              <w:jc w:val="center"/>
              <w:rPr>
                <w:rFonts w:hint="default" w:ascii="Nimbus Roman No9 L" w:hAnsi="Nimbus Roman No9 L" w:cs="Nimbus Roman No9 L"/>
                <w:sz w:val="24"/>
                <w:szCs w:val="24"/>
              </w:rPr>
            </w:pPr>
          </w:p>
        </w:tc>
        <w:tc>
          <w:tcPr>
            <w:tcW w:w="1192" w:type="dxa"/>
            <w:vMerge w:val="continue"/>
            <w:vAlign w:val="center"/>
          </w:tcPr>
          <w:p>
            <w:pPr>
              <w:spacing w:line="240" w:lineRule="auto"/>
              <w:ind w:firstLine="0" w:firstLineChars="0"/>
              <w:jc w:val="center"/>
              <w:rPr>
                <w:rFonts w:hint="default" w:ascii="Nimbus Roman No9 L" w:hAnsi="Nimbus Roman No9 L" w:cs="Nimbus Roman No9 L"/>
                <w:sz w:val="24"/>
                <w:szCs w:val="24"/>
              </w:rPr>
            </w:pPr>
          </w:p>
        </w:tc>
        <w:tc>
          <w:tcPr>
            <w:tcW w:w="1882" w:type="dxa"/>
            <w:vMerge w:val="continue"/>
          </w:tcPr>
          <w:p>
            <w:pPr>
              <w:spacing w:line="240" w:lineRule="auto"/>
              <w:ind w:firstLine="0" w:firstLineChars="0"/>
              <w:jc w:val="center"/>
              <w:rPr>
                <w:rFonts w:hint="default" w:ascii="Nimbus Roman No9 L" w:hAnsi="Nimbus Roman No9 L" w:cs="Nimbus Roman No9 L"/>
                <w:sz w:val="24"/>
                <w:szCs w:val="24"/>
              </w:rPr>
            </w:pPr>
          </w:p>
        </w:tc>
        <w:tc>
          <w:tcPr>
            <w:tcW w:w="2573"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生物医药</w:t>
            </w:r>
          </w:p>
        </w:tc>
        <w:tc>
          <w:tcPr>
            <w:tcW w:w="3001"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生物药、高端医疗器械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2" w:type="dxa"/>
            <w:vMerge w:val="continue"/>
          </w:tcPr>
          <w:p>
            <w:pPr>
              <w:spacing w:line="240" w:lineRule="auto"/>
              <w:ind w:firstLine="480"/>
              <w:jc w:val="center"/>
              <w:rPr>
                <w:rFonts w:hint="default" w:ascii="Nimbus Roman No9 L" w:hAnsi="Nimbus Roman No9 L" w:cs="Nimbus Roman No9 L"/>
                <w:sz w:val="24"/>
                <w:szCs w:val="24"/>
              </w:rPr>
            </w:pPr>
          </w:p>
        </w:tc>
        <w:tc>
          <w:tcPr>
            <w:tcW w:w="1192" w:type="dxa"/>
            <w:vMerge w:val="continue"/>
            <w:vAlign w:val="center"/>
          </w:tcPr>
          <w:p>
            <w:pPr>
              <w:spacing w:line="240" w:lineRule="auto"/>
              <w:ind w:firstLine="0" w:firstLineChars="0"/>
              <w:jc w:val="center"/>
              <w:rPr>
                <w:rFonts w:hint="default" w:ascii="Nimbus Roman No9 L" w:hAnsi="Nimbus Roman No9 L" w:cs="Nimbus Roman No9 L"/>
                <w:sz w:val="24"/>
                <w:szCs w:val="24"/>
              </w:rPr>
            </w:pPr>
          </w:p>
        </w:tc>
        <w:tc>
          <w:tcPr>
            <w:tcW w:w="1882" w:type="dxa"/>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微电子工业区</w:t>
            </w:r>
          </w:p>
        </w:tc>
        <w:tc>
          <w:tcPr>
            <w:tcW w:w="2573"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新一代信息技术</w:t>
            </w:r>
          </w:p>
        </w:tc>
        <w:tc>
          <w:tcPr>
            <w:tcW w:w="3001"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集成电路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2" w:type="dxa"/>
            <w:vMerge w:val="continue"/>
          </w:tcPr>
          <w:p>
            <w:pPr>
              <w:spacing w:line="240" w:lineRule="auto"/>
              <w:ind w:firstLine="480"/>
              <w:jc w:val="center"/>
              <w:rPr>
                <w:rFonts w:hint="default" w:ascii="Nimbus Roman No9 L" w:hAnsi="Nimbus Roman No9 L" w:cs="Nimbus Roman No9 L"/>
                <w:sz w:val="24"/>
                <w:szCs w:val="24"/>
              </w:rPr>
            </w:pPr>
          </w:p>
        </w:tc>
        <w:tc>
          <w:tcPr>
            <w:tcW w:w="1192" w:type="dxa"/>
            <w:vMerge w:val="continue"/>
            <w:vAlign w:val="center"/>
          </w:tcPr>
          <w:p>
            <w:pPr>
              <w:spacing w:line="240" w:lineRule="auto"/>
              <w:ind w:firstLine="0" w:firstLineChars="0"/>
              <w:jc w:val="center"/>
              <w:rPr>
                <w:rFonts w:hint="default" w:ascii="Nimbus Roman No9 L" w:hAnsi="Nimbus Roman No9 L" w:cs="Nimbus Roman No9 L"/>
                <w:sz w:val="24"/>
                <w:szCs w:val="24"/>
              </w:rPr>
            </w:pPr>
          </w:p>
        </w:tc>
        <w:tc>
          <w:tcPr>
            <w:tcW w:w="1882" w:type="dxa"/>
            <w:vMerge w:val="restart"/>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逸仙科学工业园</w:t>
            </w:r>
          </w:p>
        </w:tc>
        <w:tc>
          <w:tcPr>
            <w:tcW w:w="2573"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汽车</w:t>
            </w:r>
          </w:p>
        </w:tc>
        <w:tc>
          <w:tcPr>
            <w:tcW w:w="3001"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汽车关键零部件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2" w:type="dxa"/>
            <w:vMerge w:val="continue"/>
          </w:tcPr>
          <w:p>
            <w:pPr>
              <w:spacing w:line="240" w:lineRule="auto"/>
              <w:ind w:firstLine="480"/>
              <w:jc w:val="center"/>
              <w:rPr>
                <w:rFonts w:hint="default" w:ascii="Nimbus Roman No9 L" w:hAnsi="Nimbus Roman No9 L" w:cs="Nimbus Roman No9 L"/>
                <w:sz w:val="24"/>
                <w:szCs w:val="24"/>
              </w:rPr>
            </w:pPr>
          </w:p>
        </w:tc>
        <w:tc>
          <w:tcPr>
            <w:tcW w:w="1192" w:type="dxa"/>
            <w:vMerge w:val="continue"/>
            <w:vAlign w:val="center"/>
          </w:tcPr>
          <w:p>
            <w:pPr>
              <w:spacing w:line="240" w:lineRule="auto"/>
              <w:ind w:firstLine="0" w:firstLineChars="0"/>
              <w:jc w:val="center"/>
              <w:rPr>
                <w:rFonts w:hint="default" w:ascii="Nimbus Roman No9 L" w:hAnsi="Nimbus Roman No9 L" w:cs="Nimbus Roman No9 L"/>
                <w:sz w:val="24"/>
                <w:szCs w:val="24"/>
              </w:rPr>
            </w:pPr>
          </w:p>
        </w:tc>
        <w:tc>
          <w:tcPr>
            <w:tcW w:w="1882" w:type="dxa"/>
            <w:vMerge w:val="continue"/>
          </w:tcPr>
          <w:p>
            <w:pPr>
              <w:spacing w:line="240" w:lineRule="auto"/>
              <w:ind w:firstLine="0" w:firstLineChars="0"/>
              <w:jc w:val="center"/>
              <w:rPr>
                <w:rFonts w:hint="default" w:ascii="Nimbus Roman No9 L" w:hAnsi="Nimbus Roman No9 L" w:cs="Nimbus Roman No9 L"/>
                <w:sz w:val="24"/>
                <w:szCs w:val="24"/>
              </w:rPr>
            </w:pPr>
          </w:p>
        </w:tc>
        <w:tc>
          <w:tcPr>
            <w:tcW w:w="2573"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新材料</w:t>
            </w:r>
          </w:p>
        </w:tc>
        <w:tc>
          <w:tcPr>
            <w:tcW w:w="3001"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新能源材料（锂电池材料）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882" w:type="dxa"/>
            <w:vMerge w:val="continue"/>
          </w:tcPr>
          <w:p>
            <w:pPr>
              <w:spacing w:line="240" w:lineRule="auto"/>
              <w:ind w:firstLine="480"/>
              <w:jc w:val="center"/>
              <w:rPr>
                <w:rFonts w:hint="default" w:ascii="Nimbus Roman No9 L" w:hAnsi="Nimbus Roman No9 L" w:cs="Nimbus Roman No9 L"/>
                <w:sz w:val="24"/>
                <w:szCs w:val="24"/>
              </w:rPr>
            </w:pPr>
          </w:p>
        </w:tc>
        <w:tc>
          <w:tcPr>
            <w:tcW w:w="1192" w:type="dxa"/>
            <w:vMerge w:val="continue"/>
            <w:vAlign w:val="center"/>
          </w:tcPr>
          <w:p>
            <w:pPr>
              <w:spacing w:line="240" w:lineRule="auto"/>
              <w:ind w:firstLine="0" w:firstLineChars="0"/>
              <w:jc w:val="center"/>
              <w:rPr>
                <w:rFonts w:hint="default" w:ascii="Nimbus Roman No9 L" w:hAnsi="Nimbus Roman No9 L" w:cs="Nimbus Roman No9 L"/>
                <w:sz w:val="24"/>
                <w:szCs w:val="24"/>
              </w:rPr>
            </w:pPr>
          </w:p>
        </w:tc>
        <w:tc>
          <w:tcPr>
            <w:tcW w:w="1882" w:type="dxa"/>
            <w:vMerge w:val="restart"/>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南部新兴产业区</w:t>
            </w:r>
          </w:p>
        </w:tc>
        <w:tc>
          <w:tcPr>
            <w:tcW w:w="2573"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新能源</w:t>
            </w:r>
          </w:p>
        </w:tc>
        <w:tc>
          <w:tcPr>
            <w:tcW w:w="3001"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光伏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2" w:type="dxa"/>
            <w:vMerge w:val="continue"/>
          </w:tcPr>
          <w:p>
            <w:pPr>
              <w:spacing w:line="240" w:lineRule="auto"/>
              <w:ind w:firstLine="480"/>
              <w:jc w:val="center"/>
              <w:rPr>
                <w:rFonts w:hint="default" w:ascii="Nimbus Roman No9 L" w:hAnsi="Nimbus Roman No9 L" w:cs="Nimbus Roman No9 L"/>
                <w:sz w:val="24"/>
                <w:szCs w:val="24"/>
              </w:rPr>
            </w:pPr>
          </w:p>
        </w:tc>
        <w:tc>
          <w:tcPr>
            <w:tcW w:w="1192" w:type="dxa"/>
            <w:vMerge w:val="continue"/>
            <w:vAlign w:val="center"/>
          </w:tcPr>
          <w:p>
            <w:pPr>
              <w:spacing w:line="240" w:lineRule="auto"/>
              <w:ind w:firstLine="0" w:firstLineChars="0"/>
              <w:jc w:val="center"/>
              <w:rPr>
                <w:rFonts w:hint="default" w:ascii="Nimbus Roman No9 L" w:hAnsi="Nimbus Roman No9 L" w:cs="Nimbus Roman No9 L"/>
                <w:sz w:val="24"/>
                <w:szCs w:val="24"/>
              </w:rPr>
            </w:pPr>
          </w:p>
        </w:tc>
        <w:tc>
          <w:tcPr>
            <w:tcW w:w="1882" w:type="dxa"/>
            <w:vMerge w:val="continue"/>
          </w:tcPr>
          <w:p>
            <w:pPr>
              <w:spacing w:line="240" w:lineRule="auto"/>
              <w:ind w:firstLine="0" w:firstLineChars="0"/>
              <w:jc w:val="center"/>
              <w:rPr>
                <w:rFonts w:hint="default" w:ascii="Nimbus Roman No9 L" w:hAnsi="Nimbus Roman No9 L" w:cs="Nimbus Roman No9 L"/>
                <w:sz w:val="24"/>
                <w:szCs w:val="24"/>
              </w:rPr>
            </w:pPr>
          </w:p>
        </w:tc>
        <w:tc>
          <w:tcPr>
            <w:tcW w:w="2573"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装备制造</w:t>
            </w:r>
          </w:p>
        </w:tc>
        <w:tc>
          <w:tcPr>
            <w:tcW w:w="3001"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智能装备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2" w:type="dxa"/>
            <w:vMerge w:val="continue"/>
          </w:tcPr>
          <w:p>
            <w:pPr>
              <w:spacing w:line="240" w:lineRule="auto"/>
              <w:ind w:firstLine="480"/>
              <w:jc w:val="center"/>
              <w:rPr>
                <w:rFonts w:hint="default" w:ascii="Nimbus Roman No9 L" w:hAnsi="Nimbus Roman No9 L" w:cs="Nimbus Roman No9 L"/>
                <w:sz w:val="24"/>
                <w:szCs w:val="24"/>
              </w:rPr>
            </w:pPr>
          </w:p>
        </w:tc>
        <w:tc>
          <w:tcPr>
            <w:tcW w:w="1192" w:type="dxa"/>
            <w:vMerge w:val="continue"/>
            <w:vAlign w:val="center"/>
          </w:tcPr>
          <w:p>
            <w:pPr>
              <w:spacing w:line="240" w:lineRule="auto"/>
              <w:ind w:firstLine="0" w:firstLineChars="0"/>
              <w:jc w:val="center"/>
              <w:rPr>
                <w:rFonts w:hint="default" w:ascii="Nimbus Roman No9 L" w:hAnsi="Nimbus Roman No9 L" w:cs="Nimbus Roman No9 L"/>
                <w:sz w:val="24"/>
                <w:szCs w:val="24"/>
              </w:rPr>
            </w:pPr>
          </w:p>
        </w:tc>
        <w:tc>
          <w:tcPr>
            <w:tcW w:w="1882" w:type="dxa"/>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一汽大众华北基地</w:t>
            </w:r>
          </w:p>
        </w:tc>
        <w:tc>
          <w:tcPr>
            <w:tcW w:w="2573"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汽车</w:t>
            </w:r>
          </w:p>
        </w:tc>
        <w:tc>
          <w:tcPr>
            <w:tcW w:w="3001"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整车制造及关键零部件、智能网联汽车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2" w:type="dxa"/>
            <w:vMerge w:val="continue"/>
          </w:tcPr>
          <w:p>
            <w:pPr>
              <w:spacing w:line="240" w:lineRule="auto"/>
              <w:ind w:firstLine="480"/>
              <w:jc w:val="center"/>
              <w:rPr>
                <w:rFonts w:hint="default" w:ascii="Nimbus Roman No9 L" w:hAnsi="Nimbus Roman No9 L" w:cs="Nimbus Roman No9 L"/>
                <w:sz w:val="24"/>
                <w:szCs w:val="24"/>
              </w:rPr>
            </w:pPr>
          </w:p>
        </w:tc>
        <w:tc>
          <w:tcPr>
            <w:tcW w:w="1192" w:type="dxa"/>
            <w:vMerge w:val="restart"/>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保税区</w:t>
            </w:r>
          </w:p>
        </w:tc>
        <w:tc>
          <w:tcPr>
            <w:tcW w:w="1882" w:type="dxa"/>
            <w:vMerge w:val="restart"/>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空港片区</w:t>
            </w:r>
          </w:p>
        </w:tc>
        <w:tc>
          <w:tcPr>
            <w:tcW w:w="2573"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新一代信息技术</w:t>
            </w:r>
          </w:p>
        </w:tc>
        <w:tc>
          <w:tcPr>
            <w:tcW w:w="3001"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人工智能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882" w:type="dxa"/>
            <w:vMerge w:val="continue"/>
          </w:tcPr>
          <w:p>
            <w:pPr>
              <w:spacing w:line="240" w:lineRule="auto"/>
              <w:ind w:firstLine="480"/>
              <w:jc w:val="center"/>
              <w:rPr>
                <w:rFonts w:hint="default" w:ascii="Nimbus Roman No9 L" w:hAnsi="Nimbus Roman No9 L" w:cs="Nimbus Roman No9 L"/>
                <w:sz w:val="24"/>
                <w:szCs w:val="24"/>
              </w:rPr>
            </w:pPr>
          </w:p>
        </w:tc>
        <w:tc>
          <w:tcPr>
            <w:tcW w:w="1192" w:type="dxa"/>
            <w:vMerge w:val="continue"/>
            <w:vAlign w:val="center"/>
          </w:tcPr>
          <w:p>
            <w:pPr>
              <w:spacing w:line="240" w:lineRule="auto"/>
              <w:ind w:firstLine="0" w:firstLineChars="0"/>
              <w:jc w:val="center"/>
              <w:rPr>
                <w:rFonts w:hint="default" w:ascii="Nimbus Roman No9 L" w:hAnsi="Nimbus Roman No9 L" w:cs="Nimbus Roman No9 L"/>
                <w:sz w:val="24"/>
                <w:szCs w:val="24"/>
              </w:rPr>
            </w:pPr>
          </w:p>
        </w:tc>
        <w:tc>
          <w:tcPr>
            <w:tcW w:w="1882" w:type="dxa"/>
            <w:vMerge w:val="continue"/>
          </w:tcPr>
          <w:p>
            <w:pPr>
              <w:spacing w:line="240" w:lineRule="auto"/>
              <w:ind w:firstLine="0" w:firstLineChars="0"/>
              <w:jc w:val="center"/>
              <w:rPr>
                <w:rFonts w:hint="default" w:ascii="Nimbus Roman No9 L" w:hAnsi="Nimbus Roman No9 L" w:cs="Nimbus Roman No9 L"/>
                <w:sz w:val="24"/>
                <w:szCs w:val="24"/>
              </w:rPr>
            </w:pPr>
          </w:p>
        </w:tc>
        <w:tc>
          <w:tcPr>
            <w:tcW w:w="2573"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航空航天</w:t>
            </w:r>
          </w:p>
        </w:tc>
        <w:tc>
          <w:tcPr>
            <w:tcW w:w="3001"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航空产业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4" w:hRule="atLeast"/>
          <w:jc w:val="center"/>
        </w:trPr>
        <w:tc>
          <w:tcPr>
            <w:tcW w:w="882" w:type="dxa"/>
            <w:vMerge w:val="continue"/>
          </w:tcPr>
          <w:p>
            <w:pPr>
              <w:spacing w:line="240" w:lineRule="auto"/>
              <w:ind w:firstLine="480"/>
              <w:jc w:val="center"/>
              <w:rPr>
                <w:rFonts w:hint="default" w:ascii="Nimbus Roman No9 L" w:hAnsi="Nimbus Roman No9 L" w:cs="Nimbus Roman No9 L"/>
                <w:sz w:val="24"/>
                <w:szCs w:val="24"/>
              </w:rPr>
            </w:pPr>
          </w:p>
        </w:tc>
        <w:tc>
          <w:tcPr>
            <w:tcW w:w="1192" w:type="dxa"/>
            <w:vMerge w:val="continue"/>
            <w:vAlign w:val="center"/>
          </w:tcPr>
          <w:p>
            <w:pPr>
              <w:spacing w:line="240" w:lineRule="auto"/>
              <w:ind w:firstLine="0" w:firstLineChars="0"/>
              <w:jc w:val="center"/>
              <w:rPr>
                <w:rFonts w:hint="default" w:ascii="Nimbus Roman No9 L" w:hAnsi="Nimbus Roman No9 L" w:cs="Nimbus Roman No9 L"/>
                <w:sz w:val="24"/>
                <w:szCs w:val="24"/>
              </w:rPr>
            </w:pPr>
          </w:p>
        </w:tc>
        <w:tc>
          <w:tcPr>
            <w:tcW w:w="1882"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海港片区</w:t>
            </w:r>
          </w:p>
        </w:tc>
        <w:tc>
          <w:tcPr>
            <w:tcW w:w="5574" w:type="dxa"/>
            <w:gridSpan w:val="2"/>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大力发展现代商贸、现代物流，增强工业发展配套服务支撑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2" w:type="dxa"/>
            <w:vMerge w:val="continue"/>
          </w:tcPr>
          <w:p>
            <w:pPr>
              <w:spacing w:line="240" w:lineRule="auto"/>
              <w:ind w:firstLine="480"/>
              <w:jc w:val="center"/>
              <w:rPr>
                <w:rFonts w:hint="default" w:ascii="Nimbus Roman No9 L" w:hAnsi="Nimbus Roman No9 L" w:cs="Nimbus Roman No9 L"/>
                <w:sz w:val="24"/>
                <w:szCs w:val="24"/>
              </w:rPr>
            </w:pPr>
          </w:p>
        </w:tc>
        <w:tc>
          <w:tcPr>
            <w:tcW w:w="1192" w:type="dxa"/>
            <w:vMerge w:val="continue"/>
            <w:vAlign w:val="center"/>
          </w:tcPr>
          <w:p>
            <w:pPr>
              <w:spacing w:line="240" w:lineRule="auto"/>
              <w:ind w:firstLine="0" w:firstLineChars="0"/>
              <w:jc w:val="center"/>
              <w:rPr>
                <w:rFonts w:hint="default" w:ascii="Nimbus Roman No9 L" w:hAnsi="Nimbus Roman No9 L" w:cs="Nimbus Roman No9 L"/>
                <w:sz w:val="24"/>
                <w:szCs w:val="24"/>
              </w:rPr>
            </w:pPr>
          </w:p>
        </w:tc>
        <w:tc>
          <w:tcPr>
            <w:tcW w:w="1882" w:type="dxa"/>
            <w:vMerge w:val="restart"/>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临港片区</w:t>
            </w:r>
          </w:p>
        </w:tc>
        <w:tc>
          <w:tcPr>
            <w:tcW w:w="2573"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装备制造</w:t>
            </w:r>
          </w:p>
        </w:tc>
        <w:tc>
          <w:tcPr>
            <w:tcW w:w="3001"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海洋装备（海洋工程装备、高技术船舶）、</w:t>
            </w:r>
          </w:p>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智能装备（机器人）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2" w:type="dxa"/>
            <w:vMerge w:val="continue"/>
          </w:tcPr>
          <w:p>
            <w:pPr>
              <w:spacing w:line="240" w:lineRule="auto"/>
              <w:ind w:firstLine="480"/>
              <w:jc w:val="center"/>
              <w:rPr>
                <w:rFonts w:hint="default" w:ascii="Nimbus Roman No9 L" w:hAnsi="Nimbus Roman No9 L" w:cs="Nimbus Roman No9 L"/>
                <w:sz w:val="24"/>
                <w:szCs w:val="24"/>
              </w:rPr>
            </w:pPr>
          </w:p>
        </w:tc>
        <w:tc>
          <w:tcPr>
            <w:tcW w:w="1192" w:type="dxa"/>
            <w:vMerge w:val="continue"/>
            <w:vAlign w:val="center"/>
          </w:tcPr>
          <w:p>
            <w:pPr>
              <w:spacing w:line="240" w:lineRule="auto"/>
              <w:ind w:firstLine="0" w:firstLineChars="0"/>
              <w:jc w:val="center"/>
              <w:rPr>
                <w:rFonts w:hint="default" w:ascii="Nimbus Roman No9 L" w:hAnsi="Nimbus Roman No9 L" w:cs="Nimbus Roman No9 L"/>
                <w:sz w:val="24"/>
                <w:szCs w:val="24"/>
              </w:rPr>
            </w:pPr>
          </w:p>
        </w:tc>
        <w:tc>
          <w:tcPr>
            <w:tcW w:w="1882" w:type="dxa"/>
            <w:vMerge w:val="continue"/>
          </w:tcPr>
          <w:p>
            <w:pPr>
              <w:spacing w:line="240" w:lineRule="auto"/>
              <w:ind w:firstLine="0" w:firstLineChars="0"/>
              <w:jc w:val="center"/>
              <w:rPr>
                <w:rFonts w:hint="default" w:ascii="Nimbus Roman No9 L" w:hAnsi="Nimbus Roman No9 L" w:cs="Nimbus Roman No9 L"/>
                <w:sz w:val="24"/>
                <w:szCs w:val="24"/>
              </w:rPr>
            </w:pPr>
          </w:p>
        </w:tc>
        <w:tc>
          <w:tcPr>
            <w:tcW w:w="2573"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生物医药</w:t>
            </w:r>
          </w:p>
        </w:tc>
        <w:tc>
          <w:tcPr>
            <w:tcW w:w="3001"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生物药、高端医疗器械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2" w:type="dxa"/>
            <w:vMerge w:val="continue"/>
          </w:tcPr>
          <w:p>
            <w:pPr>
              <w:spacing w:line="240" w:lineRule="auto"/>
              <w:ind w:firstLine="480"/>
              <w:jc w:val="center"/>
              <w:rPr>
                <w:rFonts w:hint="default" w:ascii="Nimbus Roman No9 L" w:hAnsi="Nimbus Roman No9 L" w:cs="Nimbus Roman No9 L"/>
                <w:sz w:val="24"/>
                <w:szCs w:val="24"/>
              </w:rPr>
            </w:pPr>
          </w:p>
        </w:tc>
        <w:tc>
          <w:tcPr>
            <w:tcW w:w="1192" w:type="dxa"/>
            <w:vMerge w:val="continue"/>
            <w:vAlign w:val="center"/>
          </w:tcPr>
          <w:p>
            <w:pPr>
              <w:spacing w:line="240" w:lineRule="auto"/>
              <w:ind w:firstLine="0" w:firstLineChars="0"/>
              <w:jc w:val="center"/>
              <w:rPr>
                <w:rFonts w:hint="default" w:ascii="Nimbus Roman No9 L" w:hAnsi="Nimbus Roman No9 L" w:cs="Nimbus Roman No9 L"/>
                <w:sz w:val="24"/>
                <w:szCs w:val="24"/>
              </w:rPr>
            </w:pPr>
          </w:p>
        </w:tc>
        <w:tc>
          <w:tcPr>
            <w:tcW w:w="1882" w:type="dxa"/>
            <w:vMerge w:val="continue"/>
          </w:tcPr>
          <w:p>
            <w:pPr>
              <w:spacing w:line="240" w:lineRule="auto"/>
              <w:ind w:firstLine="0" w:firstLineChars="0"/>
              <w:jc w:val="center"/>
              <w:rPr>
                <w:rFonts w:hint="default" w:ascii="Nimbus Roman No9 L" w:hAnsi="Nimbus Roman No9 L" w:cs="Nimbus Roman No9 L"/>
                <w:sz w:val="24"/>
                <w:szCs w:val="24"/>
              </w:rPr>
            </w:pPr>
          </w:p>
        </w:tc>
        <w:tc>
          <w:tcPr>
            <w:tcW w:w="2573"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新能源</w:t>
            </w:r>
          </w:p>
        </w:tc>
        <w:tc>
          <w:tcPr>
            <w:tcW w:w="3001"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氢能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2" w:type="dxa"/>
            <w:vMerge w:val="continue"/>
          </w:tcPr>
          <w:p>
            <w:pPr>
              <w:spacing w:line="240" w:lineRule="auto"/>
              <w:ind w:firstLine="480"/>
              <w:jc w:val="center"/>
              <w:rPr>
                <w:rFonts w:hint="default" w:ascii="Nimbus Roman No9 L" w:hAnsi="Nimbus Roman No9 L" w:cs="Nimbus Roman No9 L"/>
                <w:sz w:val="24"/>
                <w:szCs w:val="24"/>
              </w:rPr>
            </w:pPr>
          </w:p>
        </w:tc>
        <w:tc>
          <w:tcPr>
            <w:tcW w:w="1192" w:type="dxa"/>
            <w:vMerge w:val="continue"/>
            <w:vAlign w:val="center"/>
          </w:tcPr>
          <w:p>
            <w:pPr>
              <w:spacing w:line="240" w:lineRule="auto"/>
              <w:ind w:firstLine="0" w:firstLineChars="0"/>
              <w:jc w:val="center"/>
              <w:rPr>
                <w:rFonts w:hint="default" w:ascii="Nimbus Roman No9 L" w:hAnsi="Nimbus Roman No9 L" w:cs="Nimbus Roman No9 L"/>
                <w:sz w:val="24"/>
                <w:szCs w:val="24"/>
              </w:rPr>
            </w:pPr>
          </w:p>
        </w:tc>
        <w:tc>
          <w:tcPr>
            <w:tcW w:w="1882"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航空物流区</w:t>
            </w:r>
          </w:p>
        </w:tc>
        <w:tc>
          <w:tcPr>
            <w:tcW w:w="5574" w:type="dxa"/>
            <w:gridSpan w:val="2"/>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大力发展现代物流、航空服务，增强工业发展配套服务支撑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2" w:type="dxa"/>
            <w:vMerge w:val="continue"/>
            <w:vAlign w:val="center"/>
          </w:tcPr>
          <w:p>
            <w:pPr>
              <w:spacing w:line="240" w:lineRule="auto"/>
              <w:ind w:firstLine="480"/>
              <w:jc w:val="center"/>
              <w:rPr>
                <w:rFonts w:hint="default" w:ascii="Nimbus Roman No9 L" w:hAnsi="Nimbus Roman No9 L" w:cs="Nimbus Roman No9 L"/>
                <w:sz w:val="24"/>
                <w:szCs w:val="24"/>
              </w:rPr>
            </w:pPr>
          </w:p>
        </w:tc>
        <w:tc>
          <w:tcPr>
            <w:tcW w:w="1192" w:type="dxa"/>
            <w:vMerge w:val="restart"/>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高新区</w:t>
            </w:r>
          </w:p>
        </w:tc>
        <w:tc>
          <w:tcPr>
            <w:tcW w:w="1882" w:type="dxa"/>
            <w:vMerge w:val="restart"/>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华苑科技园</w:t>
            </w:r>
          </w:p>
        </w:tc>
        <w:tc>
          <w:tcPr>
            <w:tcW w:w="2573"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新一代信息技术</w:t>
            </w:r>
          </w:p>
        </w:tc>
        <w:tc>
          <w:tcPr>
            <w:tcW w:w="3001"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信息安全与服务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2" w:type="dxa"/>
            <w:vMerge w:val="continue"/>
            <w:vAlign w:val="center"/>
          </w:tcPr>
          <w:p>
            <w:pPr>
              <w:spacing w:line="240" w:lineRule="auto"/>
              <w:ind w:firstLine="480"/>
              <w:jc w:val="center"/>
              <w:rPr>
                <w:rFonts w:hint="default" w:ascii="Nimbus Roman No9 L" w:hAnsi="Nimbus Roman No9 L" w:cs="Nimbus Roman No9 L"/>
                <w:sz w:val="24"/>
                <w:szCs w:val="24"/>
              </w:rPr>
            </w:pPr>
          </w:p>
        </w:tc>
        <w:tc>
          <w:tcPr>
            <w:tcW w:w="1192" w:type="dxa"/>
            <w:vMerge w:val="continue"/>
            <w:vAlign w:val="center"/>
          </w:tcPr>
          <w:p>
            <w:pPr>
              <w:spacing w:line="240" w:lineRule="auto"/>
              <w:ind w:firstLine="0" w:firstLineChars="0"/>
              <w:jc w:val="center"/>
              <w:rPr>
                <w:rFonts w:hint="default" w:ascii="Nimbus Roman No9 L" w:hAnsi="Nimbus Roman No9 L" w:cs="Nimbus Roman No9 L"/>
                <w:sz w:val="24"/>
                <w:szCs w:val="24"/>
              </w:rPr>
            </w:pPr>
          </w:p>
        </w:tc>
        <w:tc>
          <w:tcPr>
            <w:tcW w:w="1882" w:type="dxa"/>
            <w:vMerge w:val="continue"/>
            <w:vAlign w:val="center"/>
          </w:tcPr>
          <w:p>
            <w:pPr>
              <w:spacing w:line="240" w:lineRule="auto"/>
              <w:ind w:firstLine="0" w:firstLineChars="0"/>
              <w:jc w:val="center"/>
              <w:rPr>
                <w:rFonts w:hint="default" w:ascii="Nimbus Roman No9 L" w:hAnsi="Nimbus Roman No9 L" w:cs="Nimbus Roman No9 L"/>
                <w:sz w:val="24"/>
                <w:szCs w:val="24"/>
              </w:rPr>
            </w:pPr>
          </w:p>
        </w:tc>
        <w:tc>
          <w:tcPr>
            <w:tcW w:w="2573"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新能源</w:t>
            </w:r>
          </w:p>
        </w:tc>
        <w:tc>
          <w:tcPr>
            <w:tcW w:w="3001"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动力电池、光伏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2" w:type="dxa"/>
            <w:vMerge w:val="continue"/>
            <w:vAlign w:val="center"/>
          </w:tcPr>
          <w:p>
            <w:pPr>
              <w:spacing w:line="240" w:lineRule="auto"/>
              <w:ind w:firstLine="480"/>
              <w:jc w:val="center"/>
              <w:rPr>
                <w:rFonts w:hint="default" w:ascii="Nimbus Roman No9 L" w:hAnsi="Nimbus Roman No9 L" w:cs="Nimbus Roman No9 L"/>
                <w:sz w:val="24"/>
                <w:szCs w:val="24"/>
              </w:rPr>
            </w:pPr>
          </w:p>
        </w:tc>
        <w:tc>
          <w:tcPr>
            <w:tcW w:w="1192" w:type="dxa"/>
            <w:vMerge w:val="continue"/>
            <w:vAlign w:val="center"/>
          </w:tcPr>
          <w:p>
            <w:pPr>
              <w:spacing w:line="240" w:lineRule="auto"/>
              <w:ind w:firstLine="0" w:firstLineChars="0"/>
              <w:jc w:val="center"/>
              <w:rPr>
                <w:rFonts w:hint="default" w:ascii="Nimbus Roman No9 L" w:hAnsi="Nimbus Roman No9 L" w:cs="Nimbus Roman No9 L"/>
                <w:sz w:val="24"/>
                <w:szCs w:val="24"/>
              </w:rPr>
            </w:pPr>
          </w:p>
        </w:tc>
        <w:tc>
          <w:tcPr>
            <w:tcW w:w="1882" w:type="dxa"/>
            <w:vMerge w:val="continue"/>
            <w:vAlign w:val="center"/>
          </w:tcPr>
          <w:p>
            <w:pPr>
              <w:spacing w:line="240" w:lineRule="auto"/>
              <w:ind w:firstLine="0" w:firstLineChars="0"/>
              <w:jc w:val="center"/>
              <w:rPr>
                <w:rFonts w:hint="default" w:ascii="Nimbus Roman No9 L" w:hAnsi="Nimbus Roman No9 L" w:cs="Nimbus Roman No9 L"/>
                <w:sz w:val="24"/>
                <w:szCs w:val="24"/>
              </w:rPr>
            </w:pPr>
          </w:p>
        </w:tc>
        <w:tc>
          <w:tcPr>
            <w:tcW w:w="2573"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新材料</w:t>
            </w:r>
          </w:p>
        </w:tc>
        <w:tc>
          <w:tcPr>
            <w:tcW w:w="3001"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新一代信息技术材料、超导材料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2" w:type="dxa"/>
            <w:vMerge w:val="continue"/>
          </w:tcPr>
          <w:p>
            <w:pPr>
              <w:spacing w:line="240" w:lineRule="auto"/>
              <w:ind w:firstLine="480"/>
              <w:jc w:val="center"/>
              <w:rPr>
                <w:rFonts w:hint="default" w:ascii="Nimbus Roman No9 L" w:hAnsi="Nimbus Roman No9 L" w:cs="Nimbus Roman No9 L"/>
                <w:sz w:val="24"/>
                <w:szCs w:val="24"/>
              </w:rPr>
            </w:pPr>
          </w:p>
        </w:tc>
        <w:tc>
          <w:tcPr>
            <w:tcW w:w="1192" w:type="dxa"/>
            <w:vMerge w:val="continue"/>
            <w:vAlign w:val="center"/>
          </w:tcPr>
          <w:p>
            <w:pPr>
              <w:spacing w:line="240" w:lineRule="auto"/>
              <w:ind w:firstLine="0" w:firstLineChars="0"/>
              <w:jc w:val="center"/>
              <w:rPr>
                <w:rFonts w:hint="default" w:ascii="Nimbus Roman No9 L" w:hAnsi="Nimbus Roman No9 L" w:cs="Nimbus Roman No9 L"/>
                <w:sz w:val="24"/>
                <w:szCs w:val="24"/>
              </w:rPr>
            </w:pPr>
          </w:p>
        </w:tc>
        <w:tc>
          <w:tcPr>
            <w:tcW w:w="1882" w:type="dxa"/>
            <w:vMerge w:val="restart"/>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渤龙湖科技园</w:t>
            </w:r>
          </w:p>
        </w:tc>
        <w:tc>
          <w:tcPr>
            <w:tcW w:w="2573"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新一代信息技术</w:t>
            </w:r>
          </w:p>
        </w:tc>
        <w:tc>
          <w:tcPr>
            <w:tcW w:w="3001"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人工智能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2" w:type="dxa"/>
            <w:vMerge w:val="continue"/>
          </w:tcPr>
          <w:p>
            <w:pPr>
              <w:spacing w:line="240" w:lineRule="auto"/>
              <w:ind w:firstLine="480"/>
              <w:jc w:val="center"/>
              <w:rPr>
                <w:rFonts w:hint="default" w:ascii="Nimbus Roman No9 L" w:hAnsi="Nimbus Roman No9 L" w:cs="Nimbus Roman No9 L"/>
                <w:sz w:val="24"/>
                <w:szCs w:val="24"/>
              </w:rPr>
            </w:pPr>
          </w:p>
        </w:tc>
        <w:tc>
          <w:tcPr>
            <w:tcW w:w="1192" w:type="dxa"/>
            <w:vMerge w:val="continue"/>
            <w:vAlign w:val="center"/>
          </w:tcPr>
          <w:p>
            <w:pPr>
              <w:spacing w:line="240" w:lineRule="auto"/>
              <w:ind w:firstLine="0" w:firstLineChars="0"/>
              <w:jc w:val="center"/>
              <w:rPr>
                <w:rFonts w:hint="default" w:ascii="Nimbus Roman No9 L" w:hAnsi="Nimbus Roman No9 L" w:cs="Nimbus Roman No9 L"/>
                <w:sz w:val="24"/>
                <w:szCs w:val="24"/>
              </w:rPr>
            </w:pPr>
          </w:p>
        </w:tc>
        <w:tc>
          <w:tcPr>
            <w:tcW w:w="1882" w:type="dxa"/>
            <w:vMerge w:val="continue"/>
            <w:vAlign w:val="center"/>
          </w:tcPr>
          <w:p>
            <w:pPr>
              <w:spacing w:line="240" w:lineRule="auto"/>
              <w:ind w:firstLine="0" w:firstLineChars="0"/>
              <w:jc w:val="center"/>
              <w:rPr>
                <w:rFonts w:hint="default" w:ascii="Nimbus Roman No9 L" w:hAnsi="Nimbus Roman No9 L" w:cs="Nimbus Roman No9 L"/>
                <w:sz w:val="24"/>
                <w:szCs w:val="24"/>
              </w:rPr>
            </w:pPr>
          </w:p>
        </w:tc>
        <w:tc>
          <w:tcPr>
            <w:tcW w:w="2573"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生物医药</w:t>
            </w:r>
          </w:p>
        </w:tc>
        <w:tc>
          <w:tcPr>
            <w:tcW w:w="3001"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生物药（细胞）、现代中药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2" w:type="dxa"/>
            <w:vMerge w:val="continue"/>
          </w:tcPr>
          <w:p>
            <w:pPr>
              <w:spacing w:line="240" w:lineRule="auto"/>
              <w:ind w:firstLine="480"/>
              <w:jc w:val="center"/>
              <w:rPr>
                <w:rFonts w:hint="default" w:ascii="Nimbus Roman No9 L" w:hAnsi="Nimbus Roman No9 L" w:cs="Nimbus Roman No9 L"/>
                <w:sz w:val="24"/>
                <w:szCs w:val="24"/>
              </w:rPr>
            </w:pPr>
          </w:p>
        </w:tc>
        <w:tc>
          <w:tcPr>
            <w:tcW w:w="1192" w:type="dxa"/>
            <w:vMerge w:val="continue"/>
            <w:vAlign w:val="center"/>
          </w:tcPr>
          <w:p>
            <w:pPr>
              <w:spacing w:line="240" w:lineRule="auto"/>
              <w:ind w:firstLine="0" w:firstLineChars="0"/>
              <w:jc w:val="center"/>
              <w:rPr>
                <w:rFonts w:hint="default" w:ascii="Nimbus Roman No9 L" w:hAnsi="Nimbus Roman No9 L" w:cs="Nimbus Roman No9 L"/>
                <w:sz w:val="24"/>
                <w:szCs w:val="24"/>
              </w:rPr>
            </w:pPr>
          </w:p>
        </w:tc>
        <w:tc>
          <w:tcPr>
            <w:tcW w:w="1882" w:type="dxa"/>
            <w:vMerge w:val="continue"/>
            <w:vAlign w:val="center"/>
          </w:tcPr>
          <w:p>
            <w:pPr>
              <w:spacing w:line="240" w:lineRule="auto"/>
              <w:ind w:firstLine="0" w:firstLineChars="0"/>
              <w:jc w:val="center"/>
              <w:rPr>
                <w:rFonts w:hint="default" w:ascii="Nimbus Roman No9 L" w:hAnsi="Nimbus Roman No9 L" w:cs="Nimbus Roman No9 L"/>
                <w:sz w:val="24"/>
                <w:szCs w:val="24"/>
              </w:rPr>
            </w:pPr>
          </w:p>
        </w:tc>
        <w:tc>
          <w:tcPr>
            <w:tcW w:w="2573"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新能源</w:t>
            </w:r>
          </w:p>
        </w:tc>
        <w:tc>
          <w:tcPr>
            <w:tcW w:w="3001"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风电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2" w:type="dxa"/>
            <w:vMerge w:val="continue"/>
          </w:tcPr>
          <w:p>
            <w:pPr>
              <w:spacing w:line="240" w:lineRule="auto"/>
              <w:ind w:firstLine="480"/>
              <w:jc w:val="center"/>
              <w:rPr>
                <w:rFonts w:hint="default" w:ascii="Nimbus Roman No9 L" w:hAnsi="Nimbus Roman No9 L" w:cs="Nimbus Roman No9 L"/>
                <w:sz w:val="24"/>
                <w:szCs w:val="24"/>
              </w:rPr>
            </w:pPr>
          </w:p>
        </w:tc>
        <w:tc>
          <w:tcPr>
            <w:tcW w:w="1192" w:type="dxa"/>
            <w:vMerge w:val="continue"/>
            <w:vAlign w:val="center"/>
          </w:tcPr>
          <w:p>
            <w:pPr>
              <w:spacing w:line="240" w:lineRule="auto"/>
              <w:ind w:firstLine="0" w:firstLineChars="0"/>
              <w:jc w:val="center"/>
              <w:rPr>
                <w:rFonts w:hint="default" w:ascii="Nimbus Roman No9 L" w:hAnsi="Nimbus Roman No9 L" w:cs="Nimbus Roman No9 L"/>
                <w:sz w:val="24"/>
                <w:szCs w:val="24"/>
              </w:rPr>
            </w:pPr>
          </w:p>
        </w:tc>
        <w:tc>
          <w:tcPr>
            <w:tcW w:w="1882" w:type="dxa"/>
            <w:vMerge w:val="continue"/>
            <w:vAlign w:val="center"/>
          </w:tcPr>
          <w:p>
            <w:pPr>
              <w:spacing w:line="240" w:lineRule="auto"/>
              <w:ind w:firstLine="0" w:firstLineChars="0"/>
              <w:jc w:val="center"/>
              <w:rPr>
                <w:rFonts w:hint="default" w:ascii="Nimbus Roman No9 L" w:hAnsi="Nimbus Roman No9 L" w:cs="Nimbus Roman No9 L"/>
                <w:sz w:val="24"/>
                <w:szCs w:val="24"/>
              </w:rPr>
            </w:pPr>
          </w:p>
        </w:tc>
        <w:tc>
          <w:tcPr>
            <w:tcW w:w="2573"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装备制造</w:t>
            </w:r>
          </w:p>
        </w:tc>
        <w:tc>
          <w:tcPr>
            <w:tcW w:w="3001"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智能装备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2" w:type="dxa"/>
            <w:vMerge w:val="continue"/>
          </w:tcPr>
          <w:p>
            <w:pPr>
              <w:spacing w:line="240" w:lineRule="auto"/>
              <w:ind w:firstLine="480"/>
              <w:jc w:val="center"/>
              <w:rPr>
                <w:rFonts w:hint="default" w:ascii="Nimbus Roman No9 L" w:hAnsi="Nimbus Roman No9 L" w:cs="Nimbus Roman No9 L"/>
                <w:sz w:val="24"/>
                <w:szCs w:val="24"/>
              </w:rPr>
            </w:pPr>
          </w:p>
        </w:tc>
        <w:tc>
          <w:tcPr>
            <w:tcW w:w="1192" w:type="dxa"/>
            <w:vMerge w:val="continue"/>
            <w:vAlign w:val="center"/>
          </w:tcPr>
          <w:p>
            <w:pPr>
              <w:spacing w:line="240" w:lineRule="auto"/>
              <w:ind w:firstLine="0" w:firstLineChars="0"/>
              <w:jc w:val="center"/>
              <w:rPr>
                <w:rFonts w:hint="default" w:ascii="Nimbus Roman No9 L" w:hAnsi="Nimbus Roman No9 L" w:cs="Nimbus Roman No9 L"/>
                <w:sz w:val="24"/>
                <w:szCs w:val="24"/>
              </w:rPr>
            </w:pPr>
          </w:p>
        </w:tc>
        <w:tc>
          <w:tcPr>
            <w:tcW w:w="1882" w:type="dxa"/>
            <w:vMerge w:val="restart"/>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海洋片区</w:t>
            </w:r>
          </w:p>
        </w:tc>
        <w:tc>
          <w:tcPr>
            <w:tcW w:w="2573"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新一代信息技术</w:t>
            </w:r>
          </w:p>
        </w:tc>
        <w:tc>
          <w:tcPr>
            <w:tcW w:w="3001"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信创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2" w:type="dxa"/>
            <w:vMerge w:val="continue"/>
          </w:tcPr>
          <w:p>
            <w:pPr>
              <w:spacing w:line="240" w:lineRule="auto"/>
              <w:ind w:firstLine="480"/>
              <w:jc w:val="center"/>
              <w:rPr>
                <w:rFonts w:hint="default" w:ascii="Nimbus Roman No9 L" w:hAnsi="Nimbus Roman No9 L" w:cs="Nimbus Roman No9 L"/>
                <w:sz w:val="24"/>
                <w:szCs w:val="24"/>
              </w:rPr>
            </w:pPr>
          </w:p>
        </w:tc>
        <w:tc>
          <w:tcPr>
            <w:tcW w:w="1192" w:type="dxa"/>
            <w:vMerge w:val="continue"/>
            <w:vAlign w:val="center"/>
          </w:tcPr>
          <w:p>
            <w:pPr>
              <w:spacing w:line="240" w:lineRule="auto"/>
              <w:ind w:firstLine="0" w:firstLineChars="0"/>
              <w:jc w:val="center"/>
              <w:rPr>
                <w:rFonts w:hint="default" w:ascii="Nimbus Roman No9 L" w:hAnsi="Nimbus Roman No9 L" w:cs="Nimbus Roman No9 L"/>
                <w:sz w:val="24"/>
                <w:szCs w:val="24"/>
              </w:rPr>
            </w:pPr>
          </w:p>
        </w:tc>
        <w:tc>
          <w:tcPr>
            <w:tcW w:w="1882" w:type="dxa"/>
            <w:vMerge w:val="continue"/>
          </w:tcPr>
          <w:p>
            <w:pPr>
              <w:spacing w:line="240" w:lineRule="auto"/>
              <w:ind w:firstLine="0" w:firstLineChars="0"/>
              <w:jc w:val="center"/>
              <w:rPr>
                <w:rFonts w:hint="default" w:ascii="Nimbus Roman No9 L" w:hAnsi="Nimbus Roman No9 L" w:cs="Nimbus Roman No9 L"/>
                <w:sz w:val="24"/>
                <w:szCs w:val="24"/>
              </w:rPr>
            </w:pPr>
          </w:p>
        </w:tc>
        <w:tc>
          <w:tcPr>
            <w:tcW w:w="2573"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新能源</w:t>
            </w:r>
          </w:p>
        </w:tc>
        <w:tc>
          <w:tcPr>
            <w:tcW w:w="3001"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光伏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2" w:type="dxa"/>
            <w:vMerge w:val="continue"/>
          </w:tcPr>
          <w:p>
            <w:pPr>
              <w:spacing w:line="240" w:lineRule="auto"/>
              <w:ind w:firstLine="0" w:firstLineChars="0"/>
              <w:jc w:val="center"/>
              <w:rPr>
                <w:rFonts w:hint="default" w:ascii="Nimbus Roman No9 L" w:hAnsi="Nimbus Roman No9 L" w:cs="Nimbus Roman No9 L"/>
                <w:sz w:val="24"/>
                <w:szCs w:val="24"/>
              </w:rPr>
            </w:pPr>
          </w:p>
        </w:tc>
        <w:tc>
          <w:tcPr>
            <w:tcW w:w="3074" w:type="dxa"/>
            <w:gridSpan w:val="2"/>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东疆港保税区</w:t>
            </w:r>
          </w:p>
        </w:tc>
        <w:tc>
          <w:tcPr>
            <w:tcW w:w="2573"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装备制造</w:t>
            </w:r>
          </w:p>
        </w:tc>
        <w:tc>
          <w:tcPr>
            <w:tcW w:w="3001"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轨道交通装备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2" w:type="dxa"/>
            <w:vMerge w:val="continue"/>
          </w:tcPr>
          <w:p>
            <w:pPr>
              <w:spacing w:line="240" w:lineRule="auto"/>
              <w:ind w:firstLine="0" w:firstLineChars="0"/>
              <w:jc w:val="center"/>
              <w:rPr>
                <w:rFonts w:hint="default" w:ascii="Nimbus Roman No9 L" w:hAnsi="Nimbus Roman No9 L" w:cs="Nimbus Roman No9 L"/>
                <w:sz w:val="24"/>
                <w:szCs w:val="24"/>
              </w:rPr>
            </w:pPr>
          </w:p>
        </w:tc>
        <w:tc>
          <w:tcPr>
            <w:tcW w:w="3074" w:type="dxa"/>
            <w:gridSpan w:val="2"/>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中新生态城</w:t>
            </w:r>
          </w:p>
        </w:tc>
        <w:tc>
          <w:tcPr>
            <w:tcW w:w="2573"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汽车</w:t>
            </w:r>
          </w:p>
        </w:tc>
        <w:tc>
          <w:tcPr>
            <w:tcW w:w="3001" w:type="dxa"/>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新能源汽车</w:t>
            </w:r>
          </w:p>
        </w:tc>
      </w:tr>
    </w:tbl>
    <w:p>
      <w:pPr>
        <w:pStyle w:val="3"/>
        <w:pageBreakBefore w:val="0"/>
        <w:widowControl w:val="0"/>
        <w:kinsoku/>
        <w:wordWrap/>
        <w:overflowPunct/>
        <w:topLinePunct w:val="0"/>
        <w:autoSpaceDE/>
        <w:autoSpaceDN/>
        <w:bidi w:val="0"/>
        <w:adjustRightInd/>
        <w:snapToGrid/>
        <w:spacing w:line="580" w:lineRule="exact"/>
        <w:ind w:firstLine="640" w:firstLineChars="200"/>
        <w:rPr>
          <w:rFonts w:hint="default" w:ascii="Nimbus Roman No9 L" w:hAnsi="Nimbus Roman No9 L" w:cs="Nimbus Roman No9 L"/>
          <w:b w:val="0"/>
          <w:bCs w:val="0"/>
          <w:spacing w:val="0"/>
          <w:kern w:val="2"/>
          <w:sz w:val="32"/>
          <w:szCs w:val="32"/>
        </w:rPr>
      </w:pPr>
      <w:bookmarkStart w:id="53" w:name="_Toc422"/>
      <w:bookmarkStart w:id="54" w:name="_Toc64906430"/>
      <w:r>
        <w:rPr>
          <w:rFonts w:hint="default" w:ascii="Nimbus Roman No9 L" w:hAnsi="Nimbus Roman No9 L" w:cs="Nimbus Roman No9 L"/>
          <w:b w:val="0"/>
          <w:bCs w:val="0"/>
          <w:spacing w:val="0"/>
          <w:kern w:val="2"/>
          <w:sz w:val="32"/>
          <w:szCs w:val="32"/>
        </w:rPr>
        <w:t>五、生态引领，部署六大重点任务</w:t>
      </w:r>
      <w:bookmarkEnd w:id="53"/>
      <w:bookmarkEnd w:id="54"/>
    </w:p>
    <w:p>
      <w:pPr>
        <w:pageBreakBefore w:val="0"/>
        <w:widowControl w:val="0"/>
        <w:kinsoku/>
        <w:wordWrap/>
        <w:overflowPunct/>
        <w:topLinePunct w:val="0"/>
        <w:autoSpaceDE/>
        <w:autoSpaceDN/>
        <w:bidi w:val="0"/>
        <w:adjustRightInd/>
        <w:snapToGrid/>
        <w:spacing w:line="580" w:lineRule="exact"/>
        <w:ind w:firstLine="640"/>
        <w:rPr>
          <w:rFonts w:hint="default" w:ascii="Nimbus Roman No9 L" w:hAnsi="Nimbus Roman No9 L" w:cs="Nimbus Roman No9 L"/>
        </w:rPr>
      </w:pPr>
      <w:r>
        <w:rPr>
          <w:rFonts w:hint="default" w:ascii="Nimbus Roman No9 L" w:hAnsi="Nimbus Roman No9 L" w:cs="Nimbus Roman No9 L"/>
        </w:rPr>
        <w:t>立足全国先进制造研发基地中心区的战略定位，围绕工业高质量发展根本要求，面向新兴产业创新发展和优势产业转型升级需求，坚持内生发展、融合发展、统筹发展、开放发展，以营造产业生态为核心，以探索构建新型产业创新促进体系为导向，部署六大重点任务。</w:t>
      </w:r>
    </w:p>
    <w:p>
      <w:pPr>
        <w:pageBreakBefore w:val="0"/>
        <w:widowControl w:val="0"/>
        <w:kinsoku/>
        <w:wordWrap/>
        <w:overflowPunct/>
        <w:topLinePunct w:val="0"/>
        <w:autoSpaceDE/>
        <w:autoSpaceDN/>
        <w:bidi w:val="0"/>
        <w:adjustRightInd/>
        <w:snapToGrid/>
        <w:spacing w:line="580" w:lineRule="exact"/>
        <w:ind w:firstLine="640"/>
        <w:outlineLvl w:val="1"/>
        <w:rPr>
          <w:rFonts w:hint="default" w:ascii="Nimbus Roman No9 L" w:hAnsi="Nimbus Roman No9 L" w:eastAsia="楷体_GB2312" w:cs="Nimbus Roman No9 L"/>
          <w:szCs w:val="32"/>
        </w:rPr>
      </w:pPr>
      <w:bookmarkStart w:id="55" w:name="_Toc6757"/>
      <w:bookmarkStart w:id="56" w:name="_Toc64906431"/>
      <w:r>
        <w:rPr>
          <w:rFonts w:hint="default" w:ascii="Nimbus Roman No9 L" w:hAnsi="Nimbus Roman No9 L" w:eastAsia="楷体_GB2312" w:cs="Nimbus Roman No9 L"/>
          <w:szCs w:val="32"/>
        </w:rPr>
        <w:t>（一）创新驱动，增强产业创新发展能力</w:t>
      </w:r>
      <w:bookmarkEnd w:id="55"/>
      <w:bookmarkEnd w:id="56"/>
    </w:p>
    <w:p>
      <w:pPr>
        <w:pageBreakBefore w:val="0"/>
        <w:widowControl w:val="0"/>
        <w:kinsoku/>
        <w:wordWrap/>
        <w:overflowPunct/>
        <w:topLinePunct w:val="0"/>
        <w:autoSpaceDE/>
        <w:autoSpaceDN/>
        <w:bidi w:val="0"/>
        <w:adjustRightInd/>
        <w:snapToGrid/>
        <w:spacing w:line="580" w:lineRule="exact"/>
        <w:ind w:firstLine="640"/>
        <w:rPr>
          <w:rFonts w:hint="default" w:ascii="Nimbus Roman No9 L" w:hAnsi="Nimbus Roman No9 L" w:cs="Nimbus Roman No9 L"/>
        </w:rPr>
      </w:pPr>
      <w:r>
        <w:rPr>
          <w:rFonts w:hint="default" w:ascii="Nimbus Roman No9 L" w:hAnsi="Nimbus Roman No9 L" w:cs="Nimbus Roman No9 L"/>
        </w:rPr>
        <w:t>深入实施创新驱动发展战略，发挥滨海新区科技创新资源集聚优势，充分调动企业、院所、研发机构、高端人才等各类创新主体积极性，加快核心技术攻关，加强产业创新平台建设，强化创新对工业高质量发展的引领驱动作用，打造自主原始创新产业高地。</w:t>
      </w:r>
    </w:p>
    <w:p>
      <w:pPr>
        <w:keepNext/>
        <w:keepLines/>
        <w:pageBreakBefore w:val="0"/>
        <w:widowControl w:val="0"/>
        <w:kinsoku/>
        <w:wordWrap/>
        <w:overflowPunct/>
        <w:topLinePunct w:val="0"/>
        <w:autoSpaceDE/>
        <w:autoSpaceDN/>
        <w:bidi w:val="0"/>
        <w:adjustRightInd/>
        <w:snapToGrid/>
        <w:spacing w:line="580" w:lineRule="exact"/>
        <w:ind w:firstLine="643"/>
        <w:outlineLvl w:val="2"/>
        <w:rPr>
          <w:rFonts w:hint="default" w:ascii="Nimbus Roman No9 L" w:hAnsi="Nimbus Roman No9 L" w:cs="Nimbus Roman No9 L"/>
          <w:b/>
          <w:bCs/>
          <w:szCs w:val="32"/>
        </w:rPr>
      </w:pPr>
      <w:r>
        <w:rPr>
          <w:rFonts w:hint="default" w:ascii="Nimbus Roman No9 L" w:hAnsi="Nimbus Roman No9 L" w:cs="Nimbus Roman No9 L"/>
          <w:b/>
          <w:bCs/>
          <w:szCs w:val="32"/>
        </w:rPr>
        <w:t>1.攻坚“卡脖子”关键技术</w:t>
      </w:r>
    </w:p>
    <w:p>
      <w:pPr>
        <w:pageBreakBefore w:val="0"/>
        <w:widowControl w:val="0"/>
        <w:kinsoku/>
        <w:wordWrap/>
        <w:overflowPunct/>
        <w:topLinePunct w:val="0"/>
        <w:autoSpaceDE/>
        <w:autoSpaceDN/>
        <w:bidi w:val="0"/>
        <w:adjustRightInd/>
        <w:snapToGrid/>
        <w:spacing w:line="580" w:lineRule="exact"/>
        <w:ind w:firstLine="640"/>
        <w:rPr>
          <w:rFonts w:hint="default" w:ascii="Nimbus Roman No9 L" w:hAnsi="Nimbus Roman No9 L" w:cs="Nimbus Roman No9 L"/>
        </w:rPr>
      </w:pPr>
      <w:r>
        <w:rPr>
          <w:rFonts w:hint="default" w:ascii="Nimbus Roman No9 L" w:hAnsi="Nimbus Roman No9 L" w:cs="Nimbus Roman No9 L"/>
        </w:rPr>
        <w:t>落实国家和天津市战略要求，强化自主可控，着力突破一批“卡脖子”关键技术。出台政策支持，围绕产业创新需求，梳理、发布关键和前沿技术清单，对填补国内空白、国产替代、突破“卡脖子”的重大创新项目，采取“一事一议”方式给予支持。支持企业牵头开展联合攻关和协同创新，通过“揭榜挂帅”等方式承担重大攻关项目，加快解决共性基础问题，增强自主保障能力。促进军民深度融合发展，聚焦海工和高技术船舶、航空航天等产业，统筹军地双方资源，支持本地军工集团科研院所与企业联合开展技术攻关，促进军民科技成果双向转移及产业化。</w:t>
      </w:r>
    </w:p>
    <w:p>
      <w:pPr>
        <w:keepNext/>
        <w:keepLines/>
        <w:pageBreakBefore w:val="0"/>
        <w:widowControl w:val="0"/>
        <w:kinsoku/>
        <w:wordWrap/>
        <w:overflowPunct/>
        <w:topLinePunct w:val="0"/>
        <w:autoSpaceDE/>
        <w:autoSpaceDN/>
        <w:bidi w:val="0"/>
        <w:adjustRightInd/>
        <w:snapToGrid/>
        <w:spacing w:line="580" w:lineRule="exact"/>
        <w:ind w:firstLine="643"/>
        <w:outlineLvl w:val="2"/>
        <w:rPr>
          <w:rFonts w:hint="default" w:ascii="Nimbus Roman No9 L" w:hAnsi="Nimbus Roman No9 L" w:cs="Nimbus Roman No9 L"/>
          <w:b/>
          <w:bCs/>
          <w:szCs w:val="32"/>
        </w:rPr>
      </w:pPr>
      <w:r>
        <w:rPr>
          <w:rFonts w:hint="default" w:ascii="Nimbus Roman No9 L" w:hAnsi="Nimbus Roman No9 L" w:cs="Nimbus Roman No9 L"/>
          <w:b/>
          <w:bCs/>
          <w:szCs w:val="32"/>
        </w:rPr>
        <w:t>2.健全产业创新服务体系</w:t>
      </w:r>
    </w:p>
    <w:p>
      <w:pPr>
        <w:pageBreakBefore w:val="0"/>
        <w:widowControl w:val="0"/>
        <w:kinsoku/>
        <w:wordWrap/>
        <w:overflowPunct/>
        <w:topLinePunct w:val="0"/>
        <w:autoSpaceDE/>
        <w:autoSpaceDN/>
        <w:bidi w:val="0"/>
        <w:adjustRightInd/>
        <w:snapToGrid/>
        <w:spacing w:line="580" w:lineRule="exact"/>
        <w:ind w:firstLine="640"/>
        <w:rPr>
          <w:rFonts w:hint="default" w:ascii="Nimbus Roman No9 L" w:hAnsi="Nimbus Roman No9 L" w:cs="Nimbus Roman No9 L"/>
          <w:bCs/>
          <w:szCs w:val="32"/>
        </w:rPr>
      </w:pPr>
      <w:r>
        <w:rPr>
          <w:rFonts w:hint="default" w:ascii="Nimbus Roman No9 L" w:hAnsi="Nimbus Roman No9 L" w:cs="Nimbus Roman No9 L"/>
          <w:bCs/>
          <w:szCs w:val="32"/>
        </w:rPr>
        <w:t>围绕产业创新发展需求，大力支持建设产业创新服务平台，推动产学研一体化发展，提高创新效率。支持建设国家级制造业创新中心，强化产业带动作用，形成从“基础研究、应用研究到产业转化”协同创新发展模式。支持建设产业技术研究院，支持大企业、高校院所联合多方主体成立产业技术研究院等新型研发机构，提升产业创新能力。推进建设工业设计中心，开展调研服务，推荐推选国家级工业设计中心，推动市级工业设计中心培育计划，培育若干天津市工业设计中心，提升制造业设计能力。积极打造双创平台，基于工业发展需求，增强产业创新服务和政策支持力度，切实营造利于中小企业创新发展的良好环境。</w:t>
      </w:r>
    </w:p>
    <w:p>
      <w:pPr>
        <w:pStyle w:val="5"/>
        <w:pageBreakBefore w:val="0"/>
        <w:widowControl w:val="0"/>
        <w:kinsoku/>
        <w:wordWrap/>
        <w:overflowPunct/>
        <w:topLinePunct w:val="0"/>
        <w:autoSpaceDE/>
        <w:autoSpaceDN/>
        <w:bidi w:val="0"/>
        <w:adjustRightInd/>
        <w:snapToGrid/>
        <w:spacing w:line="580" w:lineRule="exact"/>
        <w:rPr>
          <w:rFonts w:hint="default" w:ascii="Nimbus Roman No9 L" w:hAnsi="Nimbus Roman No9 L" w:cs="Nimbus Roman No9 L"/>
        </w:rPr>
      </w:pPr>
      <w:r>
        <w:rPr>
          <w:rFonts w:hint="default" w:ascii="Nimbus Roman No9 L" w:hAnsi="Nimbus Roman No9 L" w:cs="Nimbus Roman No9 L"/>
        </w:rPr>
        <w:t>3.加快汇聚产业创新人才</w:t>
      </w:r>
    </w:p>
    <w:p>
      <w:pPr>
        <w:pageBreakBefore w:val="0"/>
        <w:widowControl w:val="0"/>
        <w:kinsoku/>
        <w:wordWrap/>
        <w:overflowPunct/>
        <w:topLinePunct w:val="0"/>
        <w:autoSpaceDE/>
        <w:autoSpaceDN/>
        <w:bidi w:val="0"/>
        <w:adjustRightInd/>
        <w:snapToGrid/>
        <w:spacing w:line="580" w:lineRule="exact"/>
        <w:ind w:firstLine="640"/>
        <w:rPr>
          <w:rFonts w:hint="default" w:ascii="Nimbus Roman No9 L" w:hAnsi="Nimbus Roman No9 L" w:cs="Nimbus Roman No9 L"/>
          <w:szCs w:val="32"/>
        </w:rPr>
      </w:pPr>
      <w:r>
        <w:rPr>
          <w:rFonts w:hint="default" w:ascii="Nimbus Roman No9 L" w:hAnsi="Nimbus Roman No9 L" w:cs="Nimbus Roman No9 L"/>
          <w:szCs w:val="32"/>
        </w:rPr>
        <w:t>发挥产业（人才）联盟作用，加强人才国际化视野培养力度，统筹做好产业创新人才队伍建设。加强高层次人才引育，发挥天津（滨海）海外人才离岸创新创业基地等项目作用，发挥“世界智能大会”“津洽会”“华博会”“全国技能大赛”等平台作用，加强人才的对接及引进。突出“项目+团队”引进方式，鼓励领军人物打包人才团队、技术专利等资源“带土移植”，集聚一批高端科技项目和领军人才团队。加强高技能人才培养，全面推动“海河工匠”建设，鼓励企业、行业协会等开展职业技能培训，培养一批具有现代科技知识和创新能力的高技能人才队伍。</w:t>
      </w:r>
    </w:p>
    <w:p>
      <w:pPr>
        <w:pageBreakBefore w:val="0"/>
        <w:widowControl w:val="0"/>
        <w:kinsoku/>
        <w:wordWrap/>
        <w:overflowPunct/>
        <w:topLinePunct w:val="0"/>
        <w:autoSpaceDE/>
        <w:autoSpaceDN/>
        <w:bidi w:val="0"/>
        <w:adjustRightInd/>
        <w:snapToGrid/>
        <w:spacing w:line="580" w:lineRule="exact"/>
        <w:ind w:firstLine="643"/>
        <w:outlineLvl w:val="2"/>
        <w:rPr>
          <w:rFonts w:hint="default" w:ascii="Nimbus Roman No9 L" w:hAnsi="Nimbus Roman No9 L" w:cs="Nimbus Roman No9 L"/>
          <w:b/>
          <w:szCs w:val="32"/>
        </w:rPr>
      </w:pPr>
      <w:bookmarkStart w:id="57" w:name="_Toc505127888"/>
      <w:r>
        <w:rPr>
          <w:rFonts w:hint="default" w:ascii="Nimbus Roman No9 L" w:hAnsi="Nimbus Roman No9 L" w:cs="Nimbus Roman No9 L"/>
          <w:b/>
          <w:szCs w:val="32"/>
        </w:rPr>
        <w:t>4.推进工业质量品牌提升</w:t>
      </w:r>
      <w:bookmarkEnd w:id="57"/>
    </w:p>
    <w:p>
      <w:pPr>
        <w:pageBreakBefore w:val="0"/>
        <w:widowControl w:val="0"/>
        <w:kinsoku/>
        <w:wordWrap/>
        <w:overflowPunct/>
        <w:topLinePunct w:val="0"/>
        <w:autoSpaceDE/>
        <w:autoSpaceDN/>
        <w:bidi w:val="0"/>
        <w:adjustRightInd/>
        <w:snapToGrid/>
        <w:spacing w:line="580" w:lineRule="exact"/>
        <w:ind w:firstLine="640"/>
        <w:rPr>
          <w:rFonts w:hint="default" w:ascii="Nimbus Roman No9 L" w:hAnsi="Nimbus Roman No9 L" w:cs="Nimbus Roman No9 L"/>
          <w:bCs/>
          <w:szCs w:val="32"/>
        </w:rPr>
      </w:pPr>
      <w:r>
        <w:rPr>
          <w:rFonts w:hint="default" w:ascii="Nimbus Roman No9 L" w:hAnsi="Nimbus Roman No9 L" w:cs="Nimbus Roman No9 L"/>
          <w:bCs/>
          <w:szCs w:val="32"/>
        </w:rPr>
        <w:t>实施质量强区战略，加强“三品”打造，提升传统优势产业质量水准，促进滨海新区制造业高端化、高新化、高质化发展。全力实施质量强区战略，围绕改进生产技术，实行QC（质量控制）攻关，积极开展标杆经验推广活动，提高质量水平。深入实施“三品”战略，开展重点产品示范应用，实施重点基础产品和工艺“一条龙”应用计划；增加中高端消费品供给，发展个性化定制、云制造等新型制造模式；支持发展高附加值产品，培育一批拥有自主知识产权的创新型领军企业。推动工业企业品牌培育试点示范工作和品牌建设，支持企业参与或主导国家标准和国际标准制修订工作，打造一批品质卓越、服务优良、市场公认的滨海新区品牌、产业品牌。</w:t>
      </w:r>
    </w:p>
    <w:p>
      <w:pPr>
        <w:pageBreakBefore w:val="0"/>
        <w:widowControl w:val="0"/>
        <w:kinsoku/>
        <w:wordWrap/>
        <w:overflowPunct/>
        <w:topLinePunct w:val="0"/>
        <w:autoSpaceDE/>
        <w:autoSpaceDN/>
        <w:bidi w:val="0"/>
        <w:adjustRightInd/>
        <w:snapToGrid/>
        <w:spacing w:line="580" w:lineRule="exact"/>
        <w:ind w:firstLine="640"/>
        <w:outlineLvl w:val="1"/>
        <w:rPr>
          <w:rFonts w:hint="default" w:ascii="Nimbus Roman No9 L" w:hAnsi="Nimbus Roman No9 L" w:eastAsia="楷体_GB2312" w:cs="Nimbus Roman No9 L"/>
          <w:szCs w:val="32"/>
        </w:rPr>
      </w:pPr>
      <w:bookmarkStart w:id="58" w:name="_Toc64906432"/>
      <w:bookmarkStart w:id="59" w:name="_Toc17464"/>
      <w:r>
        <w:rPr>
          <w:rFonts w:hint="default" w:ascii="Nimbus Roman No9 L" w:hAnsi="Nimbus Roman No9 L" w:eastAsia="楷体_GB2312" w:cs="Nimbus Roman No9 L"/>
          <w:szCs w:val="32"/>
        </w:rPr>
        <w:t>（二）育苗成林，构建企业梯次培育格局</w:t>
      </w:r>
      <w:bookmarkEnd w:id="58"/>
      <w:bookmarkEnd w:id="59"/>
    </w:p>
    <w:p>
      <w:pPr>
        <w:pageBreakBefore w:val="0"/>
        <w:widowControl w:val="0"/>
        <w:kinsoku/>
        <w:wordWrap/>
        <w:overflowPunct/>
        <w:topLinePunct w:val="0"/>
        <w:autoSpaceDE/>
        <w:autoSpaceDN/>
        <w:bidi w:val="0"/>
        <w:adjustRightInd/>
        <w:snapToGrid/>
        <w:spacing w:line="580" w:lineRule="exact"/>
        <w:ind w:firstLine="640"/>
        <w:rPr>
          <w:rFonts w:hint="default" w:ascii="Nimbus Roman No9 L" w:hAnsi="Nimbus Roman No9 L" w:cs="Nimbus Roman No9 L"/>
        </w:rPr>
      </w:pPr>
      <w:r>
        <w:rPr>
          <w:rFonts w:hint="default" w:ascii="Nimbus Roman No9 L" w:hAnsi="Nimbus Roman No9 L" w:cs="Nimbus Roman No9 L"/>
        </w:rPr>
        <w:t>坚持“引育并重、分类培养、精准支持”，以大力引育领航企业为支撑，以推动中小企业高质量发展为核心，培育和集聚一批单项冠军、专精特新、瞪羚企业和独角兽企业，增强民营经济发展活力，打造层次多样、共生发展的企业群落。</w:t>
      </w:r>
    </w:p>
    <w:p>
      <w:pPr>
        <w:keepNext/>
        <w:keepLines/>
        <w:pageBreakBefore w:val="0"/>
        <w:widowControl w:val="0"/>
        <w:kinsoku/>
        <w:wordWrap/>
        <w:overflowPunct/>
        <w:topLinePunct w:val="0"/>
        <w:autoSpaceDE/>
        <w:autoSpaceDN/>
        <w:bidi w:val="0"/>
        <w:adjustRightInd/>
        <w:snapToGrid/>
        <w:spacing w:line="580" w:lineRule="exact"/>
        <w:ind w:firstLine="643"/>
        <w:outlineLvl w:val="2"/>
        <w:rPr>
          <w:rFonts w:hint="default" w:ascii="Nimbus Roman No9 L" w:hAnsi="Nimbus Roman No9 L" w:cs="Nimbus Roman No9 L"/>
          <w:b/>
          <w:bCs/>
          <w:szCs w:val="32"/>
        </w:rPr>
      </w:pPr>
      <w:r>
        <w:rPr>
          <w:rFonts w:hint="default" w:ascii="Nimbus Roman No9 L" w:hAnsi="Nimbus Roman No9 L" w:cs="Nimbus Roman No9 L"/>
          <w:b/>
          <w:bCs/>
          <w:szCs w:val="32"/>
        </w:rPr>
        <w:t>1.大力引育领航企业</w:t>
      </w:r>
    </w:p>
    <w:p>
      <w:pPr>
        <w:pageBreakBefore w:val="0"/>
        <w:widowControl w:val="0"/>
        <w:kinsoku/>
        <w:wordWrap/>
        <w:overflowPunct/>
        <w:topLinePunct w:val="0"/>
        <w:autoSpaceDE/>
        <w:autoSpaceDN/>
        <w:bidi w:val="0"/>
        <w:adjustRightInd/>
        <w:snapToGrid/>
        <w:spacing w:line="580" w:lineRule="exact"/>
        <w:ind w:firstLine="640"/>
        <w:rPr>
          <w:rFonts w:hint="default" w:ascii="Nimbus Roman No9 L" w:hAnsi="Nimbus Roman No9 L" w:cs="Nimbus Roman No9 L"/>
        </w:rPr>
      </w:pPr>
      <w:r>
        <w:rPr>
          <w:rFonts w:hint="default" w:ascii="Nimbus Roman No9 L" w:hAnsi="Nimbus Roman No9 L" w:cs="Nimbus Roman No9 L"/>
        </w:rPr>
        <w:t>发挥滨海新区大企业集聚的优势，做大做强领航企业，强化领航企业对工业经济发展的支撑作用。大力引育总部企业，瞄准世界500强、中国500强、民营企业500强，引进国内外知名工业企业的区域或功能性总部，培育新区优势企业成长为总部企业。推动企业开展平台化转型，通过制造众包、供应链合作、资本合作、资源开放共享等方式为配套中小企业提供嵌入服务，带动产业链上下游中小企业协同发展。支持企业参与重大研发专项，广泛承接国家、市基础与应用研究和重点领域研发计划项目。</w:t>
      </w:r>
    </w:p>
    <w:p>
      <w:pPr>
        <w:keepNext/>
        <w:keepLines/>
        <w:pageBreakBefore w:val="0"/>
        <w:widowControl w:val="0"/>
        <w:kinsoku/>
        <w:wordWrap/>
        <w:overflowPunct/>
        <w:topLinePunct w:val="0"/>
        <w:autoSpaceDE/>
        <w:autoSpaceDN/>
        <w:bidi w:val="0"/>
        <w:adjustRightInd/>
        <w:snapToGrid/>
        <w:spacing w:line="580" w:lineRule="exact"/>
        <w:ind w:firstLine="643"/>
        <w:outlineLvl w:val="2"/>
        <w:rPr>
          <w:rFonts w:hint="default" w:ascii="Nimbus Roman No9 L" w:hAnsi="Nimbus Roman No9 L" w:cs="Nimbus Roman No9 L"/>
          <w:b/>
          <w:bCs/>
          <w:szCs w:val="32"/>
        </w:rPr>
      </w:pPr>
      <w:r>
        <w:rPr>
          <w:rFonts w:hint="default" w:ascii="Nimbus Roman No9 L" w:hAnsi="Nimbus Roman No9 L" w:cs="Nimbus Roman No9 L"/>
          <w:b/>
          <w:bCs/>
          <w:szCs w:val="32"/>
        </w:rPr>
        <w:t>2.加快培育单项冠军</w:t>
      </w:r>
    </w:p>
    <w:p>
      <w:pPr>
        <w:pageBreakBefore w:val="0"/>
        <w:widowControl w:val="0"/>
        <w:kinsoku/>
        <w:wordWrap/>
        <w:overflowPunct/>
        <w:topLinePunct w:val="0"/>
        <w:autoSpaceDE/>
        <w:autoSpaceDN/>
        <w:bidi w:val="0"/>
        <w:adjustRightInd/>
        <w:snapToGrid/>
        <w:spacing w:line="580" w:lineRule="exact"/>
        <w:ind w:firstLine="640"/>
        <w:rPr>
          <w:rFonts w:hint="default" w:ascii="Nimbus Roman No9 L" w:hAnsi="Nimbus Roman No9 L" w:cs="Nimbus Roman No9 L"/>
          <w:szCs w:val="32"/>
        </w:rPr>
      </w:pPr>
      <w:r>
        <w:rPr>
          <w:rFonts w:hint="default" w:ascii="Nimbus Roman No9 L" w:hAnsi="Nimbus Roman No9 L" w:cs="Nimbus Roman No9 L"/>
          <w:szCs w:val="32"/>
        </w:rPr>
        <w:t>强化政策支持，加强示范引领，着力打造市级、国家级单项冠军企业、产品。大力培育天津市级单项冠军企业，支持企业专注细分市场，突出主业，深耕细作，形成一批发展前景好、市场占有率高、拥有自主知识产权的市级单项冠军企业。大力培育国家级单项冠军企业，支持企业在产业链关键环节开展技术攻关，推进单项冠军企业品牌培植计划，实现技术质量双提升、国内国际双领先，形成若干具有创新引领的排头兵企业和具有全球竞争力的一流企业。</w:t>
      </w:r>
    </w:p>
    <w:p>
      <w:pPr>
        <w:keepNext/>
        <w:keepLines/>
        <w:pageBreakBefore w:val="0"/>
        <w:widowControl w:val="0"/>
        <w:kinsoku/>
        <w:wordWrap/>
        <w:overflowPunct/>
        <w:topLinePunct w:val="0"/>
        <w:autoSpaceDE/>
        <w:autoSpaceDN/>
        <w:bidi w:val="0"/>
        <w:adjustRightInd/>
        <w:snapToGrid/>
        <w:spacing w:line="580" w:lineRule="exact"/>
        <w:ind w:firstLine="643"/>
        <w:outlineLvl w:val="2"/>
        <w:rPr>
          <w:rFonts w:hint="default" w:ascii="Nimbus Roman No9 L" w:hAnsi="Nimbus Roman No9 L" w:cs="Nimbus Roman No9 L"/>
          <w:b/>
          <w:bCs/>
          <w:szCs w:val="32"/>
        </w:rPr>
      </w:pPr>
      <w:r>
        <w:rPr>
          <w:rFonts w:hint="default" w:ascii="Nimbus Roman No9 L" w:hAnsi="Nimbus Roman No9 L" w:cs="Nimbus Roman No9 L"/>
          <w:b/>
          <w:bCs/>
          <w:szCs w:val="32"/>
        </w:rPr>
        <w:t>3.重点发展“专精特新”</w:t>
      </w:r>
    </w:p>
    <w:p>
      <w:pPr>
        <w:pageBreakBefore w:val="0"/>
        <w:widowControl w:val="0"/>
        <w:kinsoku/>
        <w:wordWrap/>
        <w:overflowPunct/>
        <w:topLinePunct w:val="0"/>
        <w:autoSpaceDE/>
        <w:autoSpaceDN/>
        <w:bidi w:val="0"/>
        <w:adjustRightInd/>
        <w:snapToGrid/>
        <w:spacing w:line="580" w:lineRule="exact"/>
        <w:ind w:firstLine="640"/>
        <w:rPr>
          <w:rFonts w:hint="default" w:ascii="Nimbus Roman No9 L" w:hAnsi="Nimbus Roman No9 L" w:cs="Nimbus Roman No9 L"/>
          <w:bCs/>
          <w:szCs w:val="32"/>
        </w:rPr>
      </w:pPr>
      <w:r>
        <w:rPr>
          <w:rFonts w:hint="default" w:ascii="Nimbus Roman No9 L" w:hAnsi="Nimbus Roman No9 L" w:cs="Nimbus Roman No9 L"/>
          <w:bCs/>
          <w:szCs w:val="32"/>
        </w:rPr>
        <w:t>推进“专精特新”企业精准培育和倍增发展，带动全区中小企业提档升级，做优做强。建设“专精特新”中小型工业企业培育库，引导主营业务突出、成长性好、发展潜力大的工业企业申报入库，在市场开拓、商业模式打磨、融资增信等方面给予支持。支持企业申报工信部“专精特新”小巨人企业，将入选企业列为财政项目优先支持对象，推动企业专业化、精细化、特色化、新颖化发展。建立“专精特新”企业联盟，围绕工业企业产业中的位置关系，组织行业或供应链活动，推动企业间开展业务合作。</w:t>
      </w:r>
    </w:p>
    <w:p>
      <w:pPr>
        <w:keepNext/>
        <w:keepLines/>
        <w:pageBreakBefore w:val="0"/>
        <w:widowControl w:val="0"/>
        <w:kinsoku/>
        <w:wordWrap/>
        <w:overflowPunct/>
        <w:topLinePunct w:val="0"/>
        <w:autoSpaceDE/>
        <w:autoSpaceDN/>
        <w:bidi w:val="0"/>
        <w:adjustRightInd/>
        <w:snapToGrid/>
        <w:spacing w:line="580" w:lineRule="exact"/>
        <w:ind w:firstLine="643"/>
        <w:outlineLvl w:val="2"/>
        <w:rPr>
          <w:rFonts w:hint="default" w:ascii="Nimbus Roman No9 L" w:hAnsi="Nimbus Roman No9 L" w:cs="Nimbus Roman No9 L"/>
          <w:b/>
          <w:bCs/>
          <w:szCs w:val="32"/>
        </w:rPr>
      </w:pPr>
      <w:r>
        <w:rPr>
          <w:rFonts w:hint="default" w:ascii="Nimbus Roman No9 L" w:hAnsi="Nimbus Roman No9 L" w:cs="Nimbus Roman No9 L"/>
          <w:b/>
          <w:bCs/>
          <w:szCs w:val="32"/>
        </w:rPr>
        <w:t>4.积极引培高成长企业</w:t>
      </w:r>
    </w:p>
    <w:p>
      <w:pPr>
        <w:pageBreakBefore w:val="0"/>
        <w:widowControl w:val="0"/>
        <w:kinsoku/>
        <w:wordWrap/>
        <w:overflowPunct/>
        <w:topLinePunct w:val="0"/>
        <w:autoSpaceDE/>
        <w:autoSpaceDN/>
        <w:bidi w:val="0"/>
        <w:adjustRightInd/>
        <w:snapToGrid/>
        <w:spacing w:line="580" w:lineRule="exact"/>
        <w:ind w:firstLine="640"/>
        <w:rPr>
          <w:rFonts w:hint="default" w:ascii="Nimbus Roman No9 L" w:hAnsi="Nimbus Roman No9 L" w:cs="Nimbus Roman No9 L"/>
          <w:szCs w:val="32"/>
        </w:rPr>
      </w:pPr>
      <w:r>
        <w:rPr>
          <w:rFonts w:hint="default" w:ascii="Nimbus Roman No9 L" w:hAnsi="Nimbus Roman No9 L" w:cs="Nimbus Roman No9 L"/>
          <w:szCs w:val="32"/>
        </w:rPr>
        <w:t>把握产业跨界融合催生的高成长机遇，打造雏鹰-哪吒-瞪羚-独角兽等创新型企业梯队。培育一批雏鹰企业，鼓励大学生、科研人员和龙头企业等有资源的人创新创业。制定哪吒企业遴选和培育计划，培育一批成长起点高、赛道领域新、场景创新强的哪吒企业，推动发展未来产业。支持瞪羚企业发展壮大，组建瞪羚企业俱乐部，为瞪羚企业提供人才、技术、资金等全面资源链接服务，实现瞪羚企业数量倍增。建立“独角兽企业”种子库，建立跟踪培育机制，采取“一事一议”“一企一策”政策，推动潜在独角兽企业成长为引爆行业新增长点的独角兽企业。</w:t>
      </w:r>
    </w:p>
    <w:p>
      <w:pPr>
        <w:keepNext/>
        <w:keepLines/>
        <w:pageBreakBefore w:val="0"/>
        <w:widowControl w:val="0"/>
        <w:kinsoku/>
        <w:wordWrap/>
        <w:overflowPunct/>
        <w:topLinePunct w:val="0"/>
        <w:autoSpaceDE/>
        <w:autoSpaceDN/>
        <w:bidi w:val="0"/>
        <w:adjustRightInd/>
        <w:snapToGrid/>
        <w:spacing w:line="580" w:lineRule="exact"/>
        <w:ind w:firstLine="643"/>
        <w:outlineLvl w:val="2"/>
        <w:rPr>
          <w:rFonts w:hint="default" w:ascii="Nimbus Roman No9 L" w:hAnsi="Nimbus Roman No9 L" w:cs="Nimbus Roman No9 L"/>
          <w:b/>
          <w:bCs/>
          <w:szCs w:val="32"/>
        </w:rPr>
      </w:pPr>
      <w:r>
        <w:rPr>
          <w:rFonts w:hint="default" w:ascii="Nimbus Roman No9 L" w:hAnsi="Nimbus Roman No9 L" w:cs="Nimbus Roman No9 L"/>
          <w:b/>
          <w:bCs/>
          <w:szCs w:val="32"/>
        </w:rPr>
        <w:t>5.激发民营企业活力</w:t>
      </w:r>
    </w:p>
    <w:p>
      <w:pPr>
        <w:pageBreakBefore w:val="0"/>
        <w:widowControl w:val="0"/>
        <w:kinsoku/>
        <w:wordWrap/>
        <w:overflowPunct/>
        <w:topLinePunct w:val="0"/>
        <w:autoSpaceDE/>
        <w:autoSpaceDN/>
        <w:bidi w:val="0"/>
        <w:adjustRightInd/>
        <w:snapToGrid/>
        <w:spacing w:line="580" w:lineRule="exact"/>
        <w:ind w:firstLine="640"/>
        <w:rPr>
          <w:rFonts w:hint="default" w:ascii="Nimbus Roman No9 L" w:hAnsi="Nimbus Roman No9 L" w:cs="Nimbus Roman No9 L"/>
          <w:szCs w:val="32"/>
        </w:rPr>
      </w:pPr>
      <w:r>
        <w:rPr>
          <w:rFonts w:hint="default" w:ascii="Nimbus Roman No9 L" w:hAnsi="Nimbus Roman No9 L" w:cs="Nimbus Roman No9 L"/>
          <w:szCs w:val="32"/>
        </w:rPr>
        <w:t>坚持政府引导与市场主导，优化民营经济发展环境，激发民营企业活力和发展动力，提升民营经济核心竞争力。鼓励民企参与国企混改，鼓励有条件的民营企业通过出资入股、收购股权、认购可转债等形式参与国企改革，提升滨海新区民营企业规模和市场竞争力。支持民营企业上市，创新支持企业上市融资政策措施，全力支持重点培育民营企业在主板、中小板、科创板、创业板上市融资。优化营商环境，深化商事制度改革，鼓励自主就业和“副业创新”，培育新个体经济，加大招商引资力度，大幅提升本地民营市场主体数量。</w:t>
      </w:r>
    </w:p>
    <w:p>
      <w:pPr>
        <w:pageBreakBefore w:val="0"/>
        <w:widowControl w:val="0"/>
        <w:kinsoku/>
        <w:wordWrap/>
        <w:overflowPunct/>
        <w:topLinePunct w:val="0"/>
        <w:autoSpaceDE/>
        <w:autoSpaceDN/>
        <w:bidi w:val="0"/>
        <w:adjustRightInd/>
        <w:snapToGrid/>
        <w:spacing w:line="580" w:lineRule="exact"/>
        <w:ind w:firstLine="640"/>
        <w:outlineLvl w:val="1"/>
        <w:rPr>
          <w:rFonts w:hint="default" w:ascii="Nimbus Roman No9 L" w:hAnsi="Nimbus Roman No9 L" w:eastAsia="楷体_GB2312" w:cs="Nimbus Roman No9 L"/>
          <w:szCs w:val="32"/>
        </w:rPr>
      </w:pPr>
      <w:bookmarkStart w:id="60" w:name="_Toc2877"/>
      <w:bookmarkStart w:id="61" w:name="_Toc64906433"/>
      <w:r>
        <w:rPr>
          <w:rFonts w:hint="default" w:ascii="Nimbus Roman No9 L" w:hAnsi="Nimbus Roman No9 L" w:eastAsia="楷体_GB2312" w:cs="Nimbus Roman No9 L"/>
          <w:szCs w:val="32"/>
        </w:rPr>
        <w:t>（三）以数赋能，推进智能应用场景创新</w:t>
      </w:r>
      <w:bookmarkEnd w:id="60"/>
      <w:bookmarkEnd w:id="61"/>
    </w:p>
    <w:p>
      <w:pPr>
        <w:pageBreakBefore w:val="0"/>
        <w:widowControl w:val="0"/>
        <w:kinsoku/>
        <w:wordWrap/>
        <w:overflowPunct/>
        <w:topLinePunct w:val="0"/>
        <w:autoSpaceDE/>
        <w:autoSpaceDN/>
        <w:bidi w:val="0"/>
        <w:adjustRightInd/>
        <w:snapToGrid/>
        <w:spacing w:line="580" w:lineRule="exact"/>
        <w:ind w:firstLine="640"/>
        <w:rPr>
          <w:rFonts w:hint="default" w:ascii="Nimbus Roman No9 L" w:hAnsi="Nimbus Roman No9 L" w:cs="Nimbus Roman No9 L"/>
        </w:rPr>
      </w:pPr>
      <w:r>
        <w:rPr>
          <w:rFonts w:hint="default" w:ascii="Nimbus Roman No9 L" w:hAnsi="Nimbus Roman No9 L" w:cs="Nimbus Roman No9 L"/>
        </w:rPr>
        <w:t>落实“数字中国”战略部署，加强5G引领的新型基础设施布局，打造一批加速产业发展的应用场景，推进制造业数字化、网络化、智能化升级，构建良好的产业生态。</w:t>
      </w:r>
    </w:p>
    <w:p>
      <w:pPr>
        <w:keepNext/>
        <w:keepLines/>
        <w:pageBreakBefore w:val="0"/>
        <w:widowControl w:val="0"/>
        <w:kinsoku/>
        <w:wordWrap/>
        <w:overflowPunct/>
        <w:topLinePunct w:val="0"/>
        <w:autoSpaceDE/>
        <w:autoSpaceDN/>
        <w:bidi w:val="0"/>
        <w:adjustRightInd/>
        <w:snapToGrid/>
        <w:spacing w:line="580" w:lineRule="exact"/>
        <w:ind w:firstLine="643"/>
        <w:outlineLvl w:val="2"/>
        <w:rPr>
          <w:rFonts w:hint="default" w:ascii="Nimbus Roman No9 L" w:hAnsi="Nimbus Roman No9 L" w:cs="Nimbus Roman No9 L"/>
          <w:b/>
          <w:bCs/>
          <w:szCs w:val="32"/>
        </w:rPr>
      </w:pPr>
      <w:r>
        <w:rPr>
          <w:rFonts w:hint="default" w:ascii="Nimbus Roman No9 L" w:hAnsi="Nimbus Roman No9 L" w:cs="Nimbus Roman No9 L"/>
          <w:b/>
          <w:bCs/>
          <w:szCs w:val="32"/>
        </w:rPr>
        <w:t>1.建设全国智能制造领航区</w:t>
      </w:r>
    </w:p>
    <w:p>
      <w:pPr>
        <w:pageBreakBefore w:val="0"/>
        <w:widowControl w:val="0"/>
        <w:kinsoku/>
        <w:wordWrap/>
        <w:overflowPunct/>
        <w:topLinePunct w:val="0"/>
        <w:autoSpaceDE/>
        <w:autoSpaceDN/>
        <w:bidi w:val="0"/>
        <w:adjustRightInd/>
        <w:snapToGrid/>
        <w:spacing w:line="580" w:lineRule="exact"/>
        <w:ind w:firstLine="640"/>
        <w:rPr>
          <w:rFonts w:hint="default" w:ascii="Nimbus Roman No9 L" w:hAnsi="Nimbus Roman No9 L" w:cs="Nimbus Roman No9 L"/>
        </w:rPr>
      </w:pPr>
      <w:r>
        <w:rPr>
          <w:rFonts w:hint="default" w:ascii="Nimbus Roman No9 L" w:hAnsi="Nimbus Roman No9 L" w:cs="Nimbus Roman No9 L"/>
        </w:rPr>
        <w:t>强化5G、工业互联网等信息基础设施支撑，推进制造业智能化升级，加快建设国家智能制造领航区。推动企业智能化改造，鼓励企业在各环节应用智能装备，实现关键核心装备与部件安全自主可控；推进企业上云，加强云计算基础设施建设，支持共有云服务开放共享。提升智能制造服务能力，大力培育有行业、专业特色的智能制造和工业互联网系统解决方案供应商。打造网络化协同平台，增强人工智能指引下的人机协作与企业间协作研发、设计与生产能力，鼓励企业积极参与制订智能制造国际标准。</w:t>
      </w:r>
    </w:p>
    <w:p>
      <w:pPr>
        <w:pStyle w:val="5"/>
        <w:pageBreakBefore w:val="0"/>
        <w:widowControl w:val="0"/>
        <w:kinsoku/>
        <w:wordWrap/>
        <w:overflowPunct/>
        <w:topLinePunct w:val="0"/>
        <w:autoSpaceDE/>
        <w:autoSpaceDN/>
        <w:bidi w:val="0"/>
        <w:adjustRightInd/>
        <w:snapToGrid/>
        <w:spacing w:line="580" w:lineRule="exact"/>
        <w:rPr>
          <w:rFonts w:hint="default" w:ascii="Nimbus Roman No9 L" w:hAnsi="Nimbus Roman No9 L" w:cs="Nimbus Roman No9 L"/>
        </w:rPr>
      </w:pPr>
      <w:r>
        <w:rPr>
          <w:rFonts w:hint="default" w:ascii="Nimbus Roman No9 L" w:hAnsi="Nimbus Roman No9 L" w:cs="Nimbus Roman No9 L"/>
        </w:rPr>
        <w:t>2.加速建设新型基础设施</w:t>
      </w:r>
    </w:p>
    <w:p>
      <w:pPr>
        <w:pageBreakBefore w:val="0"/>
        <w:widowControl w:val="0"/>
        <w:kinsoku/>
        <w:wordWrap/>
        <w:overflowPunct/>
        <w:topLinePunct w:val="0"/>
        <w:autoSpaceDE/>
        <w:autoSpaceDN/>
        <w:bidi w:val="0"/>
        <w:adjustRightInd/>
        <w:snapToGrid/>
        <w:spacing w:line="580" w:lineRule="exact"/>
        <w:ind w:firstLine="640"/>
        <w:rPr>
          <w:rFonts w:hint="default" w:ascii="Nimbus Roman No9 L" w:hAnsi="Nimbus Roman No9 L" w:cs="Nimbus Roman No9 L"/>
        </w:rPr>
      </w:pPr>
      <w:r>
        <w:rPr>
          <w:rFonts w:hint="default" w:ascii="Nimbus Roman No9 L" w:hAnsi="Nimbus Roman No9 L" w:cs="Nimbus Roman No9 L"/>
        </w:rPr>
        <w:t>以服务新动能引育和传统实体经济智能化转型为导向，布局5G、工业互联网、数据中心、智能感知等新型基础设施。加快5G基础设施建设，推进5G基站建设和商用试点布局，扩大开展智能网联汽车道路测试，构建形成优良的5G产业生态。进一步部署工业互联网，引导大企业业务系统云化改造，推动中小企业业务云端迁移。完善数据中心设施建设，推动大型数据中心有序建设使用、小微型数据中心升级改造，大力发展新型智能化计算设施。加强智能感知设施建设，部署多功能一体杆、智能路网、给排水、能源、环保、防灾与安全生产等智能感知设施，推进智慧城市建设。到2025年，率先建成全国一流5G城区。</w:t>
      </w:r>
    </w:p>
    <w:p>
      <w:pPr>
        <w:pStyle w:val="5"/>
        <w:pageBreakBefore w:val="0"/>
        <w:widowControl w:val="0"/>
        <w:kinsoku/>
        <w:wordWrap/>
        <w:overflowPunct/>
        <w:topLinePunct w:val="0"/>
        <w:autoSpaceDE/>
        <w:autoSpaceDN/>
        <w:bidi w:val="0"/>
        <w:adjustRightInd/>
        <w:snapToGrid/>
        <w:spacing w:line="580" w:lineRule="exact"/>
        <w:rPr>
          <w:rFonts w:hint="default" w:ascii="Nimbus Roman No9 L" w:hAnsi="Nimbus Roman No9 L" w:cs="Nimbus Roman No9 L"/>
        </w:rPr>
      </w:pPr>
      <w:r>
        <w:rPr>
          <w:rFonts w:hint="default" w:ascii="Nimbus Roman No9 L" w:hAnsi="Nimbus Roman No9 L" w:cs="Nimbus Roman No9 L"/>
        </w:rPr>
        <w:t>3.扩大布局产业创新场景</w:t>
      </w:r>
    </w:p>
    <w:p>
      <w:pPr>
        <w:pageBreakBefore w:val="0"/>
        <w:widowControl w:val="0"/>
        <w:kinsoku/>
        <w:wordWrap/>
        <w:overflowPunct/>
        <w:topLinePunct w:val="0"/>
        <w:autoSpaceDE/>
        <w:autoSpaceDN/>
        <w:bidi w:val="0"/>
        <w:adjustRightInd/>
        <w:snapToGrid/>
        <w:spacing w:line="580" w:lineRule="exact"/>
        <w:ind w:firstLine="640"/>
        <w:rPr>
          <w:rFonts w:hint="default" w:ascii="Nimbus Roman No9 L" w:hAnsi="Nimbus Roman No9 L" w:cs="Nimbus Roman No9 L"/>
          <w:szCs w:val="32"/>
        </w:rPr>
      </w:pPr>
      <w:r>
        <w:rPr>
          <w:rFonts w:hint="default" w:ascii="Nimbus Roman No9 L" w:hAnsi="Nimbus Roman No9 L" w:cs="Nimbus Roman No9 L"/>
          <w:szCs w:val="32"/>
        </w:rPr>
        <w:t>坚持“政府搭台、企业主导、多方参与”，聚焦“1+3+4”和海洋经济为特色的现代工业体系，大力布局推动产业发展的应用场景。实施场景标杆工程，建设一批展现新区魅力的特色示范场景，打造一批智能科技产业应用案例，培育一批具有示范意义的智能制造企业。重点聚焦工业互联网、5G等产业爆点，设计一批有特色、可落地、强体验的智慧工厂、新零售、无人驾驶等特色场景。加强在场景数据开放、基础资源开放、试点示范、牌照发放等方面的支持，推动创新型企业新技术、新产品、新模式推广应用。</w:t>
      </w:r>
    </w:p>
    <w:p>
      <w:pPr>
        <w:pStyle w:val="5"/>
        <w:pageBreakBefore w:val="0"/>
        <w:widowControl w:val="0"/>
        <w:kinsoku/>
        <w:wordWrap/>
        <w:overflowPunct/>
        <w:topLinePunct w:val="0"/>
        <w:autoSpaceDE/>
        <w:autoSpaceDN/>
        <w:bidi w:val="0"/>
        <w:adjustRightInd/>
        <w:snapToGrid/>
        <w:spacing w:line="580" w:lineRule="exact"/>
        <w:rPr>
          <w:rFonts w:hint="default" w:ascii="Nimbus Roman No9 L" w:hAnsi="Nimbus Roman No9 L" w:cs="Nimbus Roman No9 L"/>
        </w:rPr>
      </w:pPr>
      <w:r>
        <w:rPr>
          <w:rFonts w:hint="default" w:ascii="Nimbus Roman No9 L" w:hAnsi="Nimbus Roman No9 L" w:cs="Nimbus Roman No9 L"/>
        </w:rPr>
        <w:t>4.积极培育数据要素市场</w:t>
      </w:r>
    </w:p>
    <w:p>
      <w:pPr>
        <w:pageBreakBefore w:val="0"/>
        <w:widowControl w:val="0"/>
        <w:kinsoku/>
        <w:wordWrap/>
        <w:overflowPunct/>
        <w:topLinePunct w:val="0"/>
        <w:autoSpaceDE/>
        <w:autoSpaceDN/>
        <w:bidi w:val="0"/>
        <w:adjustRightInd/>
        <w:snapToGrid/>
        <w:spacing w:line="580" w:lineRule="exact"/>
        <w:ind w:firstLine="640"/>
        <w:rPr>
          <w:rFonts w:hint="default" w:ascii="Nimbus Roman No9 L" w:hAnsi="Nimbus Roman No9 L" w:cs="Nimbus Roman No9 L"/>
        </w:rPr>
      </w:pPr>
      <w:r>
        <w:rPr>
          <w:rFonts w:hint="default" w:ascii="Nimbus Roman No9 L" w:hAnsi="Nimbus Roman No9 L" w:cs="Nimbus Roman No9 L"/>
          <w:szCs w:val="32"/>
        </w:rPr>
        <w:t>强化数据战略资源与核心资产功能，推动数据资源共享开放。引导和培育大数据交易市场，建立健全数据资源交易机制和定价机制，加强数据治理和数据安全等关键标准研制，探索开展新区内试验验证和试点推广。推进数据开放共享，充分用好天津市大数据管理中心平台，探索制定政府数据共享责任清单，研究建立促进企业登记、公共数据开放和数据资源有效流动的制度规范。建立社会化数据统一获取、归集和合作机制，形成“政-政”数据共享、“政-企”数据开放、 “企-企”数据互通的数据要素流通体系。</w:t>
      </w:r>
    </w:p>
    <w:p>
      <w:pPr>
        <w:pageBreakBefore w:val="0"/>
        <w:widowControl w:val="0"/>
        <w:kinsoku/>
        <w:wordWrap/>
        <w:overflowPunct/>
        <w:topLinePunct w:val="0"/>
        <w:autoSpaceDE/>
        <w:autoSpaceDN/>
        <w:bidi w:val="0"/>
        <w:adjustRightInd/>
        <w:snapToGrid/>
        <w:spacing w:line="580" w:lineRule="exact"/>
        <w:ind w:firstLine="640"/>
        <w:outlineLvl w:val="1"/>
        <w:rPr>
          <w:rFonts w:hint="default" w:ascii="Nimbus Roman No9 L" w:hAnsi="Nimbus Roman No9 L" w:eastAsia="楷体_GB2312" w:cs="Nimbus Roman No9 L"/>
          <w:szCs w:val="32"/>
        </w:rPr>
      </w:pPr>
      <w:bookmarkStart w:id="62" w:name="_Toc64906434"/>
      <w:bookmarkStart w:id="63" w:name="_Toc18082"/>
      <w:r>
        <w:rPr>
          <w:rFonts w:hint="default" w:ascii="Nimbus Roman No9 L" w:hAnsi="Nimbus Roman No9 L" w:eastAsia="楷体_GB2312" w:cs="Nimbus Roman No9 L"/>
          <w:szCs w:val="32"/>
        </w:rPr>
        <w:t>（四）转型升级，提升服务化绿色化水平</w:t>
      </w:r>
      <w:bookmarkEnd w:id="62"/>
      <w:bookmarkEnd w:id="63"/>
    </w:p>
    <w:p>
      <w:pPr>
        <w:pageBreakBefore w:val="0"/>
        <w:widowControl w:val="0"/>
        <w:kinsoku/>
        <w:wordWrap/>
        <w:overflowPunct/>
        <w:topLinePunct w:val="0"/>
        <w:autoSpaceDE/>
        <w:autoSpaceDN/>
        <w:bidi w:val="0"/>
        <w:adjustRightInd/>
        <w:snapToGrid/>
        <w:spacing w:line="580" w:lineRule="exact"/>
        <w:ind w:firstLine="640"/>
        <w:rPr>
          <w:rFonts w:hint="default" w:ascii="Nimbus Roman No9 L" w:hAnsi="Nimbus Roman No9 L" w:cs="Nimbus Roman No9 L"/>
        </w:rPr>
      </w:pPr>
      <w:r>
        <w:rPr>
          <w:rFonts w:hint="default" w:ascii="Nimbus Roman No9 L" w:hAnsi="Nimbus Roman No9 L" w:cs="Nimbus Roman No9 L"/>
        </w:rPr>
        <w:t>围绕“3060”碳达峰、碳中和总体目标，加速工业转型升级，推动先进制造业和现代服务业融合创新，提升资源能源利用水平，构建高效清洁绿色体系，培育一批跨界融合新业态，增强制造业竞争新优势。</w:t>
      </w:r>
    </w:p>
    <w:p>
      <w:pPr>
        <w:keepNext/>
        <w:keepLines/>
        <w:pageBreakBefore w:val="0"/>
        <w:widowControl w:val="0"/>
        <w:kinsoku/>
        <w:wordWrap/>
        <w:overflowPunct/>
        <w:topLinePunct w:val="0"/>
        <w:autoSpaceDE/>
        <w:autoSpaceDN/>
        <w:bidi w:val="0"/>
        <w:adjustRightInd/>
        <w:snapToGrid/>
        <w:spacing w:line="580" w:lineRule="exact"/>
        <w:ind w:firstLine="643"/>
        <w:outlineLvl w:val="2"/>
        <w:rPr>
          <w:rFonts w:hint="default" w:ascii="Nimbus Roman No9 L" w:hAnsi="Nimbus Roman No9 L" w:cs="Nimbus Roman No9 L"/>
          <w:b/>
          <w:bCs/>
          <w:szCs w:val="32"/>
        </w:rPr>
      </w:pPr>
      <w:r>
        <w:rPr>
          <w:rFonts w:hint="default" w:ascii="Nimbus Roman No9 L" w:hAnsi="Nimbus Roman No9 L" w:cs="Nimbus Roman No9 L"/>
          <w:b/>
          <w:bCs/>
          <w:szCs w:val="32"/>
        </w:rPr>
        <w:t>1.打造两业融合发展核心区</w:t>
      </w:r>
    </w:p>
    <w:p>
      <w:pPr>
        <w:pageBreakBefore w:val="0"/>
        <w:widowControl w:val="0"/>
        <w:kinsoku/>
        <w:wordWrap/>
        <w:overflowPunct/>
        <w:topLinePunct w:val="0"/>
        <w:autoSpaceDE/>
        <w:autoSpaceDN/>
        <w:bidi w:val="0"/>
        <w:adjustRightInd/>
        <w:snapToGrid/>
        <w:spacing w:line="580" w:lineRule="exact"/>
        <w:ind w:firstLine="640"/>
        <w:rPr>
          <w:rFonts w:hint="default" w:ascii="Nimbus Roman No9 L" w:hAnsi="Nimbus Roman No9 L" w:cs="Nimbus Roman No9 L"/>
          <w:szCs w:val="32"/>
        </w:rPr>
      </w:pPr>
      <w:r>
        <w:rPr>
          <w:rFonts w:hint="default" w:ascii="Nimbus Roman No9 L" w:hAnsi="Nimbus Roman No9 L" w:cs="Nimbus Roman No9 L"/>
          <w:szCs w:val="32"/>
        </w:rPr>
        <w:t>推动两业融合发展，培育融合发展新业态新模式，打造两业融合发展核心区，增强制造业核心竞争力。鼓励服务企业向制造环节延伸，发展工业设计服务、定制化服务、供应链管理、检验检测认证服务、制造业服务外包等新模式。鼓励制造企业向增值服务环节延伸，引导研发与制造业企业嵌入式合作，围绕产品开展需求分析、创新试验服务。加快发展共享制造，推进共享制造平台建设，建设共享工厂，培育发展众包、众创、云共享等模式。</w:t>
      </w:r>
    </w:p>
    <w:p>
      <w:pPr>
        <w:keepNext/>
        <w:keepLines/>
        <w:pageBreakBefore w:val="0"/>
        <w:widowControl w:val="0"/>
        <w:kinsoku/>
        <w:wordWrap/>
        <w:overflowPunct/>
        <w:topLinePunct w:val="0"/>
        <w:autoSpaceDE/>
        <w:autoSpaceDN/>
        <w:bidi w:val="0"/>
        <w:adjustRightInd/>
        <w:snapToGrid/>
        <w:spacing w:line="580" w:lineRule="exact"/>
        <w:ind w:firstLine="643"/>
        <w:outlineLvl w:val="2"/>
        <w:rPr>
          <w:rFonts w:hint="default" w:ascii="Nimbus Roman No9 L" w:hAnsi="Nimbus Roman No9 L" w:cs="Nimbus Roman No9 L"/>
          <w:b/>
          <w:bCs/>
          <w:szCs w:val="32"/>
        </w:rPr>
      </w:pPr>
      <w:r>
        <w:rPr>
          <w:rFonts w:hint="default" w:ascii="Nimbus Roman No9 L" w:hAnsi="Nimbus Roman No9 L" w:cs="Nimbus Roman No9 L"/>
          <w:b/>
          <w:bCs/>
          <w:szCs w:val="32"/>
        </w:rPr>
        <w:t>2.高质量构建绿色制造体系</w:t>
      </w:r>
    </w:p>
    <w:p>
      <w:pPr>
        <w:pageBreakBefore w:val="0"/>
        <w:widowControl w:val="0"/>
        <w:kinsoku/>
        <w:wordWrap/>
        <w:overflowPunct/>
        <w:topLinePunct w:val="0"/>
        <w:autoSpaceDE/>
        <w:autoSpaceDN/>
        <w:bidi w:val="0"/>
        <w:adjustRightInd/>
        <w:snapToGrid/>
        <w:spacing w:line="580" w:lineRule="exact"/>
        <w:ind w:firstLine="640"/>
        <w:rPr>
          <w:rFonts w:hint="default" w:ascii="Nimbus Roman No9 L" w:hAnsi="Nimbus Roman No9 L" w:cs="Nimbus Roman No9 L"/>
          <w:bCs/>
          <w:szCs w:val="32"/>
        </w:rPr>
      </w:pPr>
      <w:r>
        <w:rPr>
          <w:rFonts w:hint="default" w:ascii="Nimbus Roman No9 L" w:hAnsi="Nimbus Roman No9 L" w:cs="Nimbus Roman No9 L"/>
          <w:bCs/>
          <w:szCs w:val="32"/>
        </w:rPr>
        <w:t>围绕资源能源利用效率水平提升，高质量构建绿色制造体系，增强制造业竞争新优势，助力实现碳达峰、碳中和。高质量推进绿色制造示范单位“五个一批”建设，开发一批绿色产品，建设一批绿色工厂，发展一批绿色园区，打造一批绿色供应链，培育一批绿色数据中心。强化绿色监管和服务，建立实施“有进有出”的绿色制造示范单位动态管理机制，提高工业企业、园区绿色技术服务水平。</w:t>
      </w:r>
    </w:p>
    <w:p>
      <w:pPr>
        <w:pStyle w:val="5"/>
        <w:pageBreakBefore w:val="0"/>
        <w:widowControl w:val="0"/>
        <w:kinsoku/>
        <w:wordWrap/>
        <w:overflowPunct/>
        <w:topLinePunct w:val="0"/>
        <w:autoSpaceDE/>
        <w:autoSpaceDN/>
        <w:bidi w:val="0"/>
        <w:adjustRightInd/>
        <w:snapToGrid/>
        <w:spacing w:line="580" w:lineRule="exact"/>
        <w:rPr>
          <w:rFonts w:hint="default" w:ascii="Nimbus Roman No9 L" w:hAnsi="Nimbus Roman No9 L" w:cs="Nimbus Roman No9 L"/>
        </w:rPr>
      </w:pPr>
      <w:r>
        <w:rPr>
          <w:rFonts w:hint="default" w:ascii="Nimbus Roman No9 L" w:hAnsi="Nimbus Roman No9 L" w:cs="Nimbus Roman No9 L"/>
        </w:rPr>
        <w:t>3.加速降低工业能耗物耗</w:t>
      </w:r>
    </w:p>
    <w:p>
      <w:pPr>
        <w:pageBreakBefore w:val="0"/>
        <w:widowControl w:val="0"/>
        <w:kinsoku/>
        <w:wordWrap/>
        <w:overflowPunct/>
        <w:topLinePunct w:val="0"/>
        <w:autoSpaceDE/>
        <w:autoSpaceDN/>
        <w:bidi w:val="0"/>
        <w:adjustRightInd/>
        <w:snapToGrid/>
        <w:spacing w:line="580" w:lineRule="exact"/>
        <w:ind w:firstLine="640"/>
        <w:rPr>
          <w:rFonts w:hint="default" w:ascii="Nimbus Roman No9 L" w:hAnsi="Nimbus Roman No9 L" w:cs="Nimbus Roman No9 L"/>
        </w:rPr>
      </w:pPr>
      <w:r>
        <w:rPr>
          <w:rFonts w:hint="default" w:ascii="Nimbus Roman No9 L" w:hAnsi="Nimbus Roman No9 L" w:cs="Nimbus Roman No9 L"/>
        </w:rPr>
        <w:t>以制造业绿色改造升级为重点，加强工业资源综合利用，减少工业能耗物耗水平。稳步提升工业能效，依法依规淘汰落后产能，推广应用国家工业节能技术装备及“能效之星”产品，发展能耗低、污染少的先进制造业和战略性新兴产业。加快提高工业水效，加快推广先进成熟的节水工艺、技术和装备，以石油化工、传统装备制造等行业为重点，积极开展示范创建。深入推进工业资源综合利用，以电力、石油化工等行业为重点，推进余热余压及废弃综合利用。</w:t>
      </w:r>
    </w:p>
    <w:p>
      <w:pPr>
        <w:pageBreakBefore w:val="0"/>
        <w:widowControl w:val="0"/>
        <w:kinsoku/>
        <w:wordWrap/>
        <w:overflowPunct/>
        <w:topLinePunct w:val="0"/>
        <w:autoSpaceDE/>
        <w:autoSpaceDN/>
        <w:bidi w:val="0"/>
        <w:adjustRightInd/>
        <w:snapToGrid/>
        <w:spacing w:line="580" w:lineRule="exact"/>
        <w:ind w:firstLine="640"/>
        <w:outlineLvl w:val="1"/>
        <w:rPr>
          <w:rFonts w:hint="default" w:ascii="Nimbus Roman No9 L" w:hAnsi="Nimbus Roman No9 L" w:eastAsia="楷体_GB2312" w:cs="Nimbus Roman No9 L"/>
          <w:szCs w:val="32"/>
        </w:rPr>
      </w:pPr>
      <w:bookmarkStart w:id="64" w:name="_Toc2376"/>
      <w:bookmarkStart w:id="65" w:name="_Toc64906435"/>
      <w:r>
        <w:rPr>
          <w:rFonts w:hint="default" w:ascii="Nimbus Roman No9 L" w:hAnsi="Nimbus Roman No9 L" w:eastAsia="楷体_GB2312" w:cs="Nimbus Roman No9 L"/>
          <w:szCs w:val="32"/>
        </w:rPr>
        <w:t>（五）夯实基础，加速产业链现代化发展</w:t>
      </w:r>
      <w:bookmarkEnd w:id="64"/>
      <w:bookmarkEnd w:id="65"/>
    </w:p>
    <w:p>
      <w:pPr>
        <w:pageBreakBefore w:val="0"/>
        <w:widowControl w:val="0"/>
        <w:kinsoku/>
        <w:wordWrap/>
        <w:overflowPunct/>
        <w:topLinePunct w:val="0"/>
        <w:autoSpaceDE/>
        <w:autoSpaceDN/>
        <w:bidi w:val="0"/>
        <w:adjustRightInd/>
        <w:snapToGrid/>
        <w:spacing w:line="580" w:lineRule="exact"/>
        <w:ind w:firstLine="640"/>
        <w:rPr>
          <w:rFonts w:hint="default" w:ascii="Nimbus Roman No9 L" w:hAnsi="Nimbus Roman No9 L" w:cs="Nimbus Roman No9 L"/>
          <w:szCs w:val="32"/>
        </w:rPr>
      </w:pPr>
      <w:r>
        <w:rPr>
          <w:rFonts w:hint="default" w:ascii="Nimbus Roman No9 L" w:hAnsi="Nimbus Roman No9 L" w:cs="Nimbus Roman No9 L"/>
          <w:szCs w:val="32"/>
        </w:rPr>
        <w:t>围绕重点产业和龙头企业，以串链补链强链为抓手提升产业链水平，以特色主题园区培育为抓手打造先进制造业集群，统筹推进产业基础高级和产业链现代化。</w:t>
      </w:r>
    </w:p>
    <w:p>
      <w:pPr>
        <w:keepNext/>
        <w:keepLines/>
        <w:pageBreakBefore w:val="0"/>
        <w:widowControl w:val="0"/>
        <w:kinsoku/>
        <w:wordWrap/>
        <w:overflowPunct/>
        <w:topLinePunct w:val="0"/>
        <w:autoSpaceDE/>
        <w:autoSpaceDN/>
        <w:bidi w:val="0"/>
        <w:adjustRightInd/>
        <w:snapToGrid/>
        <w:spacing w:line="580" w:lineRule="exact"/>
        <w:ind w:firstLine="643"/>
        <w:outlineLvl w:val="2"/>
        <w:rPr>
          <w:rFonts w:hint="default" w:ascii="Nimbus Roman No9 L" w:hAnsi="Nimbus Roman No9 L" w:cs="Nimbus Roman No9 L"/>
          <w:b/>
          <w:bCs/>
          <w:szCs w:val="32"/>
        </w:rPr>
      </w:pPr>
      <w:r>
        <w:rPr>
          <w:rFonts w:hint="default" w:ascii="Nimbus Roman No9 L" w:hAnsi="Nimbus Roman No9 L" w:cs="Nimbus Roman No9 L"/>
          <w:b/>
          <w:bCs/>
          <w:szCs w:val="32"/>
        </w:rPr>
        <w:t>1.强化串链补链强链</w:t>
      </w:r>
    </w:p>
    <w:p>
      <w:pPr>
        <w:pageBreakBefore w:val="0"/>
        <w:widowControl w:val="0"/>
        <w:kinsoku/>
        <w:wordWrap/>
        <w:overflowPunct/>
        <w:topLinePunct w:val="0"/>
        <w:autoSpaceDE/>
        <w:autoSpaceDN/>
        <w:bidi w:val="0"/>
        <w:adjustRightInd/>
        <w:snapToGrid/>
        <w:spacing w:line="580" w:lineRule="exact"/>
        <w:ind w:firstLine="640"/>
        <w:rPr>
          <w:rFonts w:hint="default" w:ascii="Nimbus Roman No9 L" w:hAnsi="Nimbus Roman No9 L" w:cs="Nimbus Roman No9 L"/>
          <w:szCs w:val="32"/>
        </w:rPr>
      </w:pPr>
      <w:r>
        <w:rPr>
          <w:rFonts w:hint="default" w:ascii="Nimbus Roman No9 L" w:hAnsi="Nimbus Roman No9 L" w:cs="Nimbus Roman No9 L"/>
          <w:szCs w:val="32"/>
        </w:rPr>
        <w:t>围绕滨海新区现代工业体系，优选重点产业链，实施串补强链工程，提升产业链供应链现代化水平。做优“强链”，做强新一代信息技术、生物医药、动力电池、汽车和新能源汽车等具有较高竞争力的产业链，打造一批引领高质量发展的特色产业链。做大“新链”，发展壮大智能网联汽车、氢能等新兴产业链，构建一批引领现代化发展的新兴产业链。延长“短链”，补齐石油化工、航空航天等存在短板和薄弱环节的产业链条，形成一批引领竞争力提升的优势产业链。培育形成一批链主企业，整合产业链上下游资源，进一步串联关键环节，补齐薄弱环节，强化优势环节，提升产业链整体竞争力。</w:t>
      </w:r>
    </w:p>
    <w:p>
      <w:pPr>
        <w:keepNext/>
        <w:keepLines/>
        <w:pageBreakBefore w:val="0"/>
        <w:widowControl w:val="0"/>
        <w:kinsoku/>
        <w:wordWrap/>
        <w:overflowPunct/>
        <w:topLinePunct w:val="0"/>
        <w:autoSpaceDE/>
        <w:autoSpaceDN/>
        <w:bidi w:val="0"/>
        <w:adjustRightInd/>
        <w:snapToGrid/>
        <w:spacing w:line="580" w:lineRule="exact"/>
        <w:ind w:firstLine="643"/>
        <w:outlineLvl w:val="2"/>
        <w:rPr>
          <w:rFonts w:hint="default" w:ascii="Nimbus Roman No9 L" w:hAnsi="Nimbus Roman No9 L" w:cs="Nimbus Roman No9 L"/>
          <w:b/>
          <w:bCs/>
          <w:szCs w:val="32"/>
        </w:rPr>
      </w:pPr>
      <w:r>
        <w:rPr>
          <w:rFonts w:hint="default" w:ascii="Nimbus Roman No9 L" w:hAnsi="Nimbus Roman No9 L" w:cs="Nimbus Roman No9 L"/>
          <w:b/>
          <w:bCs/>
          <w:szCs w:val="32"/>
        </w:rPr>
        <w:t>2.夯实产业基础能力</w:t>
      </w:r>
    </w:p>
    <w:p>
      <w:pPr>
        <w:pageBreakBefore w:val="0"/>
        <w:widowControl w:val="0"/>
        <w:kinsoku/>
        <w:wordWrap/>
        <w:overflowPunct/>
        <w:topLinePunct w:val="0"/>
        <w:autoSpaceDE/>
        <w:autoSpaceDN/>
        <w:bidi w:val="0"/>
        <w:adjustRightInd/>
        <w:snapToGrid/>
        <w:spacing w:line="580" w:lineRule="exact"/>
        <w:ind w:firstLine="640"/>
        <w:rPr>
          <w:rFonts w:hint="default" w:ascii="Nimbus Roman No9 L" w:hAnsi="Nimbus Roman No9 L" w:cs="Nimbus Roman No9 L"/>
          <w:szCs w:val="32"/>
        </w:rPr>
      </w:pPr>
      <w:r>
        <w:rPr>
          <w:rFonts w:hint="default" w:ascii="Nimbus Roman No9 L" w:hAnsi="Nimbus Roman No9 L" w:cs="Nimbus Roman No9 L"/>
          <w:szCs w:val="32"/>
        </w:rPr>
        <w:t>聚焦产业链供应链短板，以实现自主可控为目标，实施新五基强化工程，着力提升产品和技术竞争力。推动核心基础零部件和元器件自主化，实施重点产品一条龙计划、重点产业一揽子计划，实现产业化。加快关键基础材料核心技术攻关，着力建设高质量发展承载体，增强关键基础材料自主保障能力。加强先进基础工艺创新能力，组建产学研协同创新联盟，加强研发数字化、智能化发展。加快工业基础软件研发创新，突破高端工业软件核心技术，开发工业平台软件和应用软件，推动产业化应用。推进产业技术基础公共服务平台建设，为技术创新和产业发展提供支撑和服务。</w:t>
      </w:r>
    </w:p>
    <w:p>
      <w:pPr>
        <w:pStyle w:val="5"/>
        <w:pageBreakBefore w:val="0"/>
        <w:widowControl w:val="0"/>
        <w:kinsoku/>
        <w:wordWrap/>
        <w:overflowPunct/>
        <w:topLinePunct w:val="0"/>
        <w:autoSpaceDE/>
        <w:autoSpaceDN/>
        <w:bidi w:val="0"/>
        <w:adjustRightInd/>
        <w:snapToGrid/>
        <w:spacing w:line="580" w:lineRule="exact"/>
        <w:rPr>
          <w:rFonts w:hint="default" w:ascii="Nimbus Roman No9 L" w:hAnsi="Nimbus Roman No9 L" w:cs="Nimbus Roman No9 L"/>
        </w:rPr>
      </w:pPr>
      <w:r>
        <w:rPr>
          <w:rFonts w:hint="default" w:ascii="Nimbus Roman No9 L" w:hAnsi="Nimbus Roman No9 L" w:cs="Nimbus Roman No9 L"/>
        </w:rPr>
        <w:t>3.培育优势产业集群</w:t>
      </w:r>
    </w:p>
    <w:p>
      <w:pPr>
        <w:pageBreakBefore w:val="0"/>
        <w:widowControl w:val="0"/>
        <w:kinsoku/>
        <w:wordWrap/>
        <w:overflowPunct/>
        <w:topLinePunct w:val="0"/>
        <w:autoSpaceDE/>
        <w:autoSpaceDN/>
        <w:bidi w:val="0"/>
        <w:adjustRightInd/>
        <w:snapToGrid/>
        <w:spacing w:line="580" w:lineRule="exact"/>
        <w:ind w:firstLine="640"/>
        <w:rPr>
          <w:rFonts w:hint="default" w:ascii="Nimbus Roman No9 L" w:hAnsi="Nimbus Roman No9 L" w:cs="Nimbus Roman No9 L"/>
          <w:kern w:val="0"/>
          <w:szCs w:val="32"/>
        </w:rPr>
      </w:pPr>
      <w:r>
        <w:rPr>
          <w:rFonts w:hint="default" w:ascii="Nimbus Roman No9 L" w:hAnsi="Nimbus Roman No9 L" w:cs="Nimbus Roman No9 L"/>
          <w:kern w:val="0"/>
          <w:szCs w:val="32"/>
        </w:rPr>
        <w:t>对标世界制造业先进水平，坚持扩大优势，</w:t>
      </w:r>
      <w:r>
        <w:rPr>
          <w:rFonts w:hint="default" w:ascii="Nimbus Roman No9 L" w:hAnsi="Nimbus Roman No9 L" w:cs="Nimbus Roman No9 L"/>
          <w:szCs w:val="32"/>
        </w:rPr>
        <w:t>探索构建“一集群一机构”产业服务体系，</w:t>
      </w:r>
      <w:r>
        <w:rPr>
          <w:rFonts w:hint="default" w:ascii="Nimbus Roman No9 L" w:hAnsi="Nimbus Roman No9 L" w:cs="Nimbus Roman No9 L"/>
          <w:kern w:val="0"/>
          <w:szCs w:val="32"/>
        </w:rPr>
        <w:t>着力培育全国领先的先进制造业集群。积极参加国家先进制造业集群竞赛，在各开发区重点布局一批细分领域新兴产业集群，谋划打造1-2个先进制造业产业集群。举全区之力打造世界级的产业集聚区，打造新一代信息技术、生物医药、装备制造、新能源新材料、航空航天五大集群。发展区域特色名片产业，充分发挥各开发区产业优势，鼓励壮大集群规模，培育经开区汽车特色产业、经开区（南港工业区）石油化工特色产业、保税区海洋特色产业、高新区信息安全与服务特色产业四大特色产业集群。</w:t>
      </w:r>
    </w:p>
    <w:p>
      <w:pPr>
        <w:pStyle w:val="5"/>
        <w:pageBreakBefore w:val="0"/>
        <w:widowControl w:val="0"/>
        <w:kinsoku/>
        <w:wordWrap/>
        <w:overflowPunct/>
        <w:topLinePunct w:val="0"/>
        <w:autoSpaceDE/>
        <w:autoSpaceDN/>
        <w:bidi w:val="0"/>
        <w:adjustRightInd/>
        <w:snapToGrid/>
        <w:spacing w:line="580" w:lineRule="exact"/>
        <w:rPr>
          <w:rFonts w:hint="default" w:ascii="Nimbus Roman No9 L" w:hAnsi="Nimbus Roman No9 L" w:cs="Nimbus Roman No9 L"/>
        </w:rPr>
      </w:pPr>
      <w:r>
        <w:rPr>
          <w:rFonts w:hint="default" w:ascii="Nimbus Roman No9 L" w:hAnsi="Nimbus Roman No9 L" w:cs="Nimbus Roman No9 L"/>
        </w:rPr>
        <w:t>4.建设特色主题园区</w:t>
      </w:r>
    </w:p>
    <w:p>
      <w:pPr>
        <w:pageBreakBefore w:val="0"/>
        <w:widowControl w:val="0"/>
        <w:kinsoku/>
        <w:wordWrap/>
        <w:overflowPunct/>
        <w:topLinePunct w:val="0"/>
        <w:autoSpaceDE/>
        <w:autoSpaceDN/>
        <w:bidi w:val="0"/>
        <w:adjustRightInd/>
        <w:snapToGrid/>
        <w:spacing w:line="580" w:lineRule="exact"/>
        <w:ind w:firstLine="640"/>
        <w:rPr>
          <w:rFonts w:hint="default" w:ascii="Nimbus Roman No9 L" w:hAnsi="Nimbus Roman No9 L" w:cs="Nimbus Roman No9 L"/>
        </w:rPr>
      </w:pPr>
      <w:r>
        <w:rPr>
          <w:rFonts w:hint="default" w:ascii="Nimbus Roman No9 L" w:hAnsi="Nimbus Roman No9 L" w:cs="Nimbus Roman No9 L"/>
        </w:rPr>
        <w:t>坚持“求精、求专、求特”原则，依托特定载体空间，聚焦特色细分领域，重点依托经开区、保税区、高新区打造若干特色主题园区，成立共同缔造理事会等园区运营服务机构，推动园区专业化发展。打造“细胞谷”，重点依托经开区、高新区，聚焦生物医药产业，建设细胞存储-制备-生产平台、药物临床前研究平台、研发外包服务平台、医疗大数据服务平台等公共服务平台，建设集创业孵化、研究开发、技术中试为一体的市场化产业创新服务综合体。打造“北方声谷”，重点依托保税区讯飞人工智能开放平台，聚焦人工智能产业，探索人工智能在医疗、教育、交通、居家养老等场景在津落地应用，助力天津各行各业AI升级。打造“海洋装备主题园区”，重点依托保税区，聚焦海洋装备产业，发展海洋油气、高技术船舶、港口航道工程、海水淡化、海洋能开发利用五大海洋装备领域，加快临港海洋装备核心区建设。打造“中国信创谷”，重点依托高新区海洋片区，聚焦信息技术应用创新产业，引育一批自主可控的基础软、硬件重点企业，形成信创产业千亿级产业集群。</w:t>
      </w:r>
    </w:p>
    <w:tbl>
      <w:tblPr>
        <w:tblStyle w:val="15"/>
        <w:tblW w:w="81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36" w:type="dxa"/>
          </w:tcPr>
          <w:p>
            <w:pPr>
              <w:spacing w:line="580" w:lineRule="exact"/>
              <w:ind w:firstLine="0" w:firstLineChars="0"/>
              <w:jc w:val="center"/>
              <w:rPr>
                <w:rFonts w:hint="default" w:ascii="Nimbus Roman No9 L" w:hAnsi="Nimbus Roman No9 L" w:eastAsia="楷体" w:cs="Nimbus Roman No9 L"/>
                <w:b/>
                <w:bCs/>
                <w:kern w:val="0"/>
                <w:sz w:val="28"/>
                <w:szCs w:val="28"/>
              </w:rPr>
            </w:pPr>
            <w:r>
              <w:rPr>
                <w:rFonts w:hint="default" w:ascii="Nimbus Roman No9 L" w:hAnsi="Nimbus Roman No9 L" w:eastAsia="楷体" w:cs="Nimbus Roman No9 L"/>
                <w:b/>
                <w:bCs/>
                <w:kern w:val="0"/>
                <w:sz w:val="28"/>
                <w:szCs w:val="28"/>
              </w:rPr>
              <w:t>专栏 全力推进“中国信创谷”建设</w:t>
            </w:r>
          </w:p>
          <w:p>
            <w:pPr>
              <w:spacing w:line="580" w:lineRule="exact"/>
              <w:ind w:firstLine="560"/>
              <w:rPr>
                <w:rFonts w:hint="default" w:ascii="Nimbus Roman No9 L" w:hAnsi="Nimbus Roman No9 L" w:cs="Nimbus Roman No9 L"/>
                <w:bCs/>
                <w:sz w:val="28"/>
                <w:szCs w:val="28"/>
              </w:rPr>
            </w:pPr>
            <w:r>
              <w:rPr>
                <w:rFonts w:hint="default" w:ascii="Nimbus Roman No9 L" w:hAnsi="Nimbus Roman No9 L" w:cs="Nimbus Roman No9 L"/>
                <w:bCs/>
                <w:sz w:val="28"/>
                <w:szCs w:val="28"/>
              </w:rPr>
              <w:t>“中国信创谷”位于高新区海洋片区，规划面积58平方公里，聚焦发展信息技术应用创新产业，打造涵盖“芯片—整机终端—操作系统—应用软件—信息安全服务—整体解决方案”的全产业体系，形成千亿级信创产业集群，打造国家信息技术应用创新基地。</w:t>
            </w:r>
          </w:p>
          <w:p>
            <w:pPr>
              <w:spacing w:line="580" w:lineRule="exact"/>
              <w:ind w:firstLine="560"/>
              <w:rPr>
                <w:rFonts w:hint="default" w:ascii="Nimbus Roman No9 L" w:hAnsi="Nimbus Roman No9 L" w:eastAsia="楷体_GB2312" w:cs="Nimbus Roman No9 L"/>
                <w:bCs/>
                <w:sz w:val="28"/>
                <w:szCs w:val="28"/>
              </w:rPr>
            </w:pPr>
            <w:r>
              <w:rPr>
                <w:rFonts w:hint="default" w:ascii="Nimbus Roman No9 L" w:hAnsi="Nimbus Roman No9 L" w:cs="Nimbus Roman No9 L"/>
                <w:bCs/>
                <w:sz w:val="28"/>
                <w:szCs w:val="28"/>
              </w:rPr>
              <w:t>坚持生态引领，以行业龙头为引领，构建“企业集聚+平台赋能+应用驱动+群体突破”的协同创新、联合攻关模式。聚焦芯片制造与封测、固件/中间件、办公软件等薄弱环节，靶向引育一批创新能力强的龙头企业。加快发展以5G为引领的新型基础设施建设，打造国家级创新平台、国家级信创攻关适配云公共支撑平台等。提升本地企业配套能力，加强优势技术在金融、安防、能源、交通等领域的应用。发挥天津信息技术应用创新产业（人才）联盟作用，搭建信创产业的合作与促进平台，联合开展信创产业关键共性技术、标准和产业研究，共同探索信创产业发展新模式和新机制，推进技术、产业与应用研发，开展试点示范。</w:t>
            </w:r>
          </w:p>
        </w:tc>
      </w:tr>
    </w:tbl>
    <w:p>
      <w:pPr>
        <w:pageBreakBefore w:val="0"/>
        <w:widowControl w:val="0"/>
        <w:kinsoku/>
        <w:wordWrap/>
        <w:overflowPunct/>
        <w:topLinePunct w:val="0"/>
        <w:autoSpaceDE/>
        <w:autoSpaceDN/>
        <w:bidi w:val="0"/>
        <w:adjustRightInd/>
        <w:snapToGrid/>
        <w:spacing w:line="560" w:lineRule="exact"/>
        <w:ind w:firstLine="640"/>
        <w:textAlignment w:val="auto"/>
        <w:outlineLvl w:val="1"/>
        <w:rPr>
          <w:rFonts w:hint="default" w:ascii="Nimbus Roman No9 L" w:hAnsi="Nimbus Roman No9 L" w:eastAsia="楷体_GB2312" w:cs="Nimbus Roman No9 L"/>
          <w:szCs w:val="32"/>
        </w:rPr>
      </w:pPr>
      <w:bookmarkStart w:id="66" w:name="_Toc12358"/>
      <w:bookmarkStart w:id="67" w:name="_Toc64906436"/>
      <w:r>
        <w:rPr>
          <w:rFonts w:hint="default" w:ascii="Nimbus Roman No9 L" w:hAnsi="Nimbus Roman No9 L" w:eastAsia="楷体_GB2312" w:cs="Nimbus Roman No9 L"/>
          <w:szCs w:val="32"/>
        </w:rPr>
        <w:t>（六）开放协同，融入“双循环”新发展格局</w:t>
      </w:r>
      <w:bookmarkEnd w:id="66"/>
      <w:bookmarkEnd w:id="67"/>
    </w:p>
    <w:p>
      <w:pPr>
        <w:pageBreakBefore w:val="0"/>
        <w:widowControl w:val="0"/>
        <w:kinsoku/>
        <w:wordWrap/>
        <w:overflowPunct/>
        <w:topLinePunct w:val="0"/>
        <w:autoSpaceDE/>
        <w:autoSpaceDN/>
        <w:bidi w:val="0"/>
        <w:adjustRightInd/>
        <w:snapToGrid/>
        <w:spacing w:line="560" w:lineRule="exact"/>
        <w:ind w:firstLine="640"/>
        <w:textAlignment w:val="auto"/>
        <w:rPr>
          <w:rFonts w:hint="default" w:ascii="Nimbus Roman No9 L" w:hAnsi="Nimbus Roman No9 L" w:cs="Nimbus Roman No9 L"/>
        </w:rPr>
      </w:pPr>
      <w:r>
        <w:rPr>
          <w:rFonts w:hint="default" w:ascii="Nimbus Roman No9 L" w:hAnsi="Nimbus Roman No9 L" w:cs="Nimbus Roman No9 L"/>
        </w:rPr>
        <w:t>加速融入“双循环”新发展格局，深入贯彻京津冀协同发展国家战略，立足新区工业发展基础，加强与国际、国内创新高地对接合作，融入全球产业链供应链，全力支撑改革开放先行区建设。</w:t>
      </w:r>
    </w:p>
    <w:p>
      <w:pPr>
        <w:pStyle w:val="5"/>
        <w:pageBreakBefore w:val="0"/>
        <w:widowControl w:val="0"/>
        <w:kinsoku/>
        <w:wordWrap/>
        <w:overflowPunct/>
        <w:topLinePunct w:val="0"/>
        <w:autoSpaceDE/>
        <w:autoSpaceDN/>
        <w:bidi w:val="0"/>
        <w:adjustRightInd/>
        <w:snapToGrid/>
        <w:spacing w:line="560" w:lineRule="exact"/>
        <w:textAlignment w:val="auto"/>
        <w:rPr>
          <w:rFonts w:hint="default" w:ascii="Nimbus Roman No9 L" w:hAnsi="Nimbus Roman No9 L" w:cs="Nimbus Roman No9 L"/>
        </w:rPr>
      </w:pPr>
      <w:r>
        <w:rPr>
          <w:rFonts w:hint="default" w:ascii="Nimbus Roman No9 L" w:hAnsi="Nimbus Roman No9 L" w:cs="Nimbus Roman No9 L"/>
        </w:rPr>
        <w:t>1.融入京津冀发展格局</w:t>
      </w:r>
    </w:p>
    <w:p>
      <w:pPr>
        <w:pageBreakBefore w:val="0"/>
        <w:widowControl w:val="0"/>
        <w:kinsoku/>
        <w:wordWrap/>
        <w:overflowPunct/>
        <w:topLinePunct w:val="0"/>
        <w:autoSpaceDE/>
        <w:autoSpaceDN/>
        <w:bidi w:val="0"/>
        <w:adjustRightInd/>
        <w:snapToGrid/>
        <w:spacing w:line="560" w:lineRule="exact"/>
        <w:ind w:firstLine="640"/>
        <w:textAlignment w:val="auto"/>
        <w:rPr>
          <w:rFonts w:hint="default" w:ascii="Nimbus Roman No9 L" w:hAnsi="Nimbus Roman No9 L" w:cs="Nimbus Roman No9 L"/>
        </w:rPr>
      </w:pPr>
      <w:r>
        <w:rPr>
          <w:rFonts w:hint="default" w:ascii="Nimbus Roman No9 L" w:hAnsi="Nimbus Roman No9 L" w:cs="Nimbus Roman No9 L"/>
        </w:rPr>
        <w:t>积极承接北京非首都功能疏解，主动服务雄安新区，打造京津冀协同发展生态圈。加强与北京、河北创新高地对接，聚焦智能科技、装备制造等三地代表性产业，推动共同培育扶持区域龙头企业和配套产业链，联手打造世界级先进制造业集群。强化与北京创新资源互动，加快推进滨海-中关村科技园建设，加强与北京新赛道领域高成长企业对接，引导在天津成立第二总部或事业部，推动京津在研发、转化、产业化有效衔接。加强与雄安新区创新联动，推进在创新创业、产业协同等方面深度合作，实现创新要素优化配置。</w:t>
      </w:r>
    </w:p>
    <w:p>
      <w:pPr>
        <w:pStyle w:val="5"/>
        <w:pageBreakBefore w:val="0"/>
        <w:widowControl w:val="0"/>
        <w:kinsoku/>
        <w:wordWrap/>
        <w:overflowPunct/>
        <w:topLinePunct w:val="0"/>
        <w:autoSpaceDE/>
        <w:autoSpaceDN/>
        <w:bidi w:val="0"/>
        <w:adjustRightInd/>
        <w:snapToGrid/>
        <w:spacing w:line="560" w:lineRule="exact"/>
        <w:textAlignment w:val="auto"/>
        <w:rPr>
          <w:rFonts w:hint="default" w:ascii="Nimbus Roman No9 L" w:hAnsi="Nimbus Roman No9 L" w:cs="Nimbus Roman No9 L"/>
        </w:rPr>
      </w:pPr>
      <w:r>
        <w:rPr>
          <w:rFonts w:hint="default" w:ascii="Nimbus Roman No9 L" w:hAnsi="Nimbus Roman No9 L" w:cs="Nimbus Roman No9 L"/>
        </w:rPr>
        <w:t>2.深化国内创新高地合作</w:t>
      </w:r>
    </w:p>
    <w:p>
      <w:pPr>
        <w:pageBreakBefore w:val="0"/>
        <w:widowControl w:val="0"/>
        <w:kinsoku/>
        <w:wordWrap/>
        <w:overflowPunct/>
        <w:topLinePunct w:val="0"/>
        <w:autoSpaceDE/>
        <w:autoSpaceDN/>
        <w:bidi w:val="0"/>
        <w:adjustRightInd/>
        <w:snapToGrid/>
        <w:spacing w:line="560" w:lineRule="exact"/>
        <w:ind w:firstLine="640"/>
        <w:textAlignment w:val="auto"/>
        <w:rPr>
          <w:rFonts w:hint="default" w:ascii="Nimbus Roman No9 L" w:hAnsi="Nimbus Roman No9 L" w:cs="Nimbus Roman No9 L"/>
        </w:rPr>
      </w:pPr>
      <w:r>
        <w:rPr>
          <w:rFonts w:hint="default" w:ascii="Nimbus Roman No9 L" w:hAnsi="Nimbus Roman No9 L" w:cs="Nimbus Roman No9 L"/>
        </w:rPr>
        <w:t>把握扩大内需这一战略基点，加强与国内产业创新高地合作，提升产业综合配套和竞争能力。积极对接长三角、粤港澳、环渤海等先进区域，加强与先进地区在政策制定、资源链接、人才培养等方面的对接交流。共建产业合作基地，建立项目对接、平台共建和利益共享机制，实现产业互动良性发展。加强国内创新企业资源导入，聚焦新区工业发展需求，结合产业链发展基础，梳理拟引进的国内创新龙头企业资源清单，加强与清单企业对接，推动项目落地、企业入驻。</w:t>
      </w:r>
    </w:p>
    <w:p>
      <w:pPr>
        <w:pStyle w:val="5"/>
        <w:pageBreakBefore w:val="0"/>
        <w:widowControl w:val="0"/>
        <w:kinsoku/>
        <w:wordWrap/>
        <w:overflowPunct/>
        <w:topLinePunct w:val="0"/>
        <w:autoSpaceDE/>
        <w:autoSpaceDN/>
        <w:bidi w:val="0"/>
        <w:adjustRightInd/>
        <w:snapToGrid/>
        <w:spacing w:line="560" w:lineRule="exact"/>
        <w:textAlignment w:val="auto"/>
        <w:rPr>
          <w:rFonts w:hint="default" w:ascii="Nimbus Roman No9 L" w:hAnsi="Nimbus Roman No9 L" w:cs="Nimbus Roman No9 L"/>
        </w:rPr>
      </w:pPr>
      <w:r>
        <w:rPr>
          <w:rFonts w:hint="default" w:ascii="Nimbus Roman No9 L" w:hAnsi="Nimbus Roman No9 L" w:cs="Nimbus Roman No9 L"/>
        </w:rPr>
        <w:t>3.深度融入全球产业链</w:t>
      </w:r>
    </w:p>
    <w:p>
      <w:pPr>
        <w:pageBreakBefore w:val="0"/>
        <w:widowControl w:val="0"/>
        <w:kinsoku/>
        <w:wordWrap/>
        <w:overflowPunct/>
        <w:topLinePunct w:val="0"/>
        <w:autoSpaceDE/>
        <w:autoSpaceDN/>
        <w:bidi w:val="0"/>
        <w:adjustRightInd/>
        <w:snapToGrid/>
        <w:spacing w:line="560" w:lineRule="exact"/>
        <w:ind w:firstLine="640"/>
        <w:textAlignment w:val="auto"/>
        <w:rPr>
          <w:rFonts w:hint="default" w:ascii="Nimbus Roman No9 L" w:hAnsi="Nimbus Roman No9 L" w:cs="Nimbus Roman No9 L"/>
        </w:rPr>
      </w:pPr>
      <w:r>
        <w:rPr>
          <w:rFonts w:hint="default" w:ascii="Nimbus Roman No9 L" w:hAnsi="Nimbus Roman No9 L" w:cs="Nimbus Roman No9 L"/>
        </w:rPr>
        <w:t>融入“一带一路”建设，进一步加强国际对接合作，全面融入全球产业链供应链大循环。加强与国际创新高地资源链接，聚焦新兴领域，发挥天津自贸试验区、天津自创区制度优势，开展多渠道、多层次的国际交流与合作。支持国际产能合作，加快推进中欧先进制造产业园等建设进度，支持建设面向全球的国际合作产业园区，积极引入国外有竞争力的装备和生产线、先进技术、管理经验。把握中欧全面投资协定签署契机，着力引入一批欧洲隐形冠军企业。支持搭建国际研发平台，鼓励企业融入全球制造业产业链，探索在境外创新高地布局科研创新平台，引导国际先进技术和成果在新区转化。</w:t>
      </w:r>
      <w:bookmarkStart w:id="68" w:name="_Toc17959"/>
      <w:bookmarkStart w:id="69" w:name="_Toc64906437"/>
    </w:p>
    <w:p>
      <w:pPr>
        <w:pageBreakBefore w:val="0"/>
        <w:widowControl w:val="0"/>
        <w:kinsoku/>
        <w:wordWrap/>
        <w:overflowPunct/>
        <w:topLinePunct w:val="0"/>
        <w:autoSpaceDE/>
        <w:autoSpaceDN/>
        <w:bidi w:val="0"/>
        <w:adjustRightInd/>
        <w:snapToGrid/>
        <w:spacing w:line="560" w:lineRule="exact"/>
        <w:ind w:firstLine="640"/>
        <w:textAlignment w:val="auto"/>
        <w:outlineLvl w:val="0"/>
        <w:rPr>
          <w:rFonts w:hint="default" w:ascii="Nimbus Roman No9 L" w:hAnsi="Nimbus Roman No9 L" w:eastAsia="黑体" w:cs="Nimbus Roman No9 L"/>
          <w:szCs w:val="32"/>
        </w:rPr>
      </w:pPr>
      <w:r>
        <w:rPr>
          <w:rFonts w:hint="default" w:ascii="Nimbus Roman No9 L" w:hAnsi="Nimbus Roman No9 L" w:eastAsia="黑体" w:cs="Nimbus Roman No9 L"/>
          <w:szCs w:val="32"/>
        </w:rPr>
        <w:t>六、加强保障，强化规划高效落实</w:t>
      </w:r>
      <w:bookmarkEnd w:id="68"/>
      <w:bookmarkEnd w:id="69"/>
    </w:p>
    <w:p>
      <w:pPr>
        <w:pStyle w:val="4"/>
        <w:pageBreakBefore w:val="0"/>
        <w:widowControl w:val="0"/>
        <w:kinsoku/>
        <w:wordWrap/>
        <w:overflowPunct/>
        <w:topLinePunct w:val="0"/>
        <w:autoSpaceDE/>
        <w:autoSpaceDN/>
        <w:bidi w:val="0"/>
        <w:adjustRightInd/>
        <w:snapToGrid/>
        <w:spacing w:line="560" w:lineRule="exact"/>
        <w:ind w:firstLine="640"/>
        <w:textAlignment w:val="auto"/>
        <w:rPr>
          <w:rFonts w:hint="default" w:ascii="Nimbus Roman No9 L" w:hAnsi="Nimbus Roman No9 L" w:cs="Nimbus Roman No9 L"/>
          <w:b w:val="0"/>
          <w:bCs w:val="0"/>
        </w:rPr>
      </w:pPr>
      <w:bookmarkStart w:id="70" w:name="_Toc7400"/>
      <w:bookmarkStart w:id="71" w:name="_Toc64906438"/>
      <w:r>
        <w:rPr>
          <w:rFonts w:hint="default" w:ascii="Nimbus Roman No9 L" w:hAnsi="Nimbus Roman No9 L" w:cs="Nimbus Roman No9 L"/>
          <w:b w:val="0"/>
          <w:bCs w:val="0"/>
        </w:rPr>
        <w:t>（一）强化组织领导保障</w:t>
      </w:r>
      <w:bookmarkEnd w:id="70"/>
      <w:bookmarkEnd w:id="71"/>
    </w:p>
    <w:p>
      <w:pPr>
        <w:pageBreakBefore w:val="0"/>
        <w:widowControl w:val="0"/>
        <w:kinsoku/>
        <w:wordWrap/>
        <w:overflowPunct/>
        <w:topLinePunct w:val="0"/>
        <w:autoSpaceDE/>
        <w:autoSpaceDN/>
        <w:bidi w:val="0"/>
        <w:adjustRightInd/>
        <w:snapToGrid/>
        <w:spacing w:line="560" w:lineRule="exact"/>
        <w:ind w:firstLine="640"/>
        <w:textAlignment w:val="auto"/>
        <w:rPr>
          <w:rFonts w:hint="default" w:ascii="Nimbus Roman No9 L" w:hAnsi="Nimbus Roman No9 L" w:cs="Nimbus Roman No9 L"/>
          <w:szCs w:val="32"/>
        </w:rPr>
      </w:pPr>
      <w:r>
        <w:rPr>
          <w:rFonts w:hint="default" w:ascii="Nimbus Roman No9 L" w:hAnsi="Nimbus Roman No9 L" w:cs="Nimbus Roman No9 L"/>
          <w:szCs w:val="32"/>
        </w:rPr>
        <w:t>强化协调机制和推进力度，充分发挥滨海新区规划编制领导小组作用，强化部门间统筹联动，高效推进规划实施、政策落地，高质量建设美丽“滨城”。加强专业智库外脑支撑，发挥产业（人才）联盟作用，引入产业界、学术界的知名专家担任顾问，充分发挥智囊辅助作用。形成中期评估和动态监测分析机制，加大对重点发展指标监测分析，确保规划确定的各项目标任务如期实现。</w:t>
      </w:r>
    </w:p>
    <w:p>
      <w:pPr>
        <w:pStyle w:val="4"/>
        <w:pageBreakBefore w:val="0"/>
        <w:widowControl w:val="0"/>
        <w:kinsoku/>
        <w:wordWrap/>
        <w:overflowPunct/>
        <w:topLinePunct w:val="0"/>
        <w:autoSpaceDE/>
        <w:autoSpaceDN/>
        <w:bidi w:val="0"/>
        <w:adjustRightInd/>
        <w:snapToGrid/>
        <w:spacing w:line="560" w:lineRule="exact"/>
        <w:ind w:firstLine="640"/>
        <w:textAlignment w:val="auto"/>
        <w:rPr>
          <w:rFonts w:hint="default" w:ascii="Nimbus Roman No9 L" w:hAnsi="Nimbus Roman No9 L" w:cs="Nimbus Roman No9 L"/>
          <w:b w:val="0"/>
          <w:bCs w:val="0"/>
        </w:rPr>
      </w:pPr>
      <w:bookmarkStart w:id="72" w:name="_Toc64906439"/>
      <w:bookmarkStart w:id="73" w:name="_Toc25770"/>
      <w:r>
        <w:rPr>
          <w:rFonts w:hint="default" w:ascii="Nimbus Roman No9 L" w:hAnsi="Nimbus Roman No9 L" w:cs="Nimbus Roman No9 L"/>
          <w:b w:val="0"/>
          <w:bCs w:val="0"/>
        </w:rPr>
        <w:t>（二）加强政策体系建设</w:t>
      </w:r>
      <w:bookmarkEnd w:id="72"/>
      <w:bookmarkEnd w:id="73"/>
    </w:p>
    <w:p>
      <w:pPr>
        <w:pageBreakBefore w:val="0"/>
        <w:widowControl w:val="0"/>
        <w:kinsoku/>
        <w:wordWrap/>
        <w:overflowPunct/>
        <w:topLinePunct w:val="0"/>
        <w:autoSpaceDE/>
        <w:autoSpaceDN/>
        <w:bidi w:val="0"/>
        <w:adjustRightInd/>
        <w:snapToGrid/>
        <w:spacing w:line="560" w:lineRule="exact"/>
        <w:ind w:firstLine="640"/>
        <w:textAlignment w:val="auto"/>
        <w:rPr>
          <w:rFonts w:hint="default" w:ascii="Nimbus Roman No9 L" w:hAnsi="Nimbus Roman No9 L" w:cs="Nimbus Roman No9 L"/>
          <w:szCs w:val="32"/>
        </w:rPr>
      </w:pPr>
      <w:r>
        <w:rPr>
          <w:rFonts w:hint="default" w:ascii="Nimbus Roman No9 L" w:hAnsi="Nimbus Roman No9 L" w:cs="Nimbus Roman No9 L"/>
          <w:szCs w:val="32"/>
        </w:rPr>
        <w:t>创新政策制定机制，支持企业、科研院所、联盟、社会组织等多方参与政策制定。完善政策体系，进一步完善高层次人才引进、企业创新等政策。推进政策创新，加强产业促进政策支持，强化与市级政策衔接力度，加快载体盘活，探索制定出台主题园区培育相关政策；立足滨海新区经济社会发展全局，统筹设计发布场景清单，面向全球企业公开征集解决方案，对需求单位及入选企业给予政策支持。加大政策执行力度，定期开展宣讲会等活动推进政策实施，采用部门自评、第三方评估等方式推进政策评估。</w:t>
      </w:r>
    </w:p>
    <w:p>
      <w:pPr>
        <w:pStyle w:val="4"/>
        <w:pageBreakBefore w:val="0"/>
        <w:widowControl w:val="0"/>
        <w:kinsoku/>
        <w:wordWrap/>
        <w:overflowPunct/>
        <w:topLinePunct w:val="0"/>
        <w:autoSpaceDE/>
        <w:autoSpaceDN/>
        <w:bidi w:val="0"/>
        <w:adjustRightInd/>
        <w:snapToGrid/>
        <w:spacing w:line="560" w:lineRule="exact"/>
        <w:ind w:firstLine="640"/>
        <w:textAlignment w:val="auto"/>
        <w:rPr>
          <w:rFonts w:hint="default" w:ascii="Nimbus Roman No9 L" w:hAnsi="Nimbus Roman No9 L" w:cs="Nimbus Roman No9 L"/>
          <w:b w:val="0"/>
          <w:bCs w:val="0"/>
        </w:rPr>
      </w:pPr>
      <w:bookmarkStart w:id="74" w:name="_Toc64906440"/>
      <w:bookmarkStart w:id="75" w:name="_Toc10692"/>
      <w:r>
        <w:rPr>
          <w:rFonts w:hint="default" w:ascii="Nimbus Roman No9 L" w:hAnsi="Nimbus Roman No9 L" w:cs="Nimbus Roman No9 L"/>
          <w:b w:val="0"/>
          <w:bCs w:val="0"/>
        </w:rPr>
        <w:t>（三）加大资金支持力度</w:t>
      </w:r>
      <w:bookmarkEnd w:id="74"/>
      <w:bookmarkEnd w:id="75"/>
    </w:p>
    <w:p>
      <w:pPr>
        <w:pageBreakBefore w:val="0"/>
        <w:widowControl w:val="0"/>
        <w:kinsoku/>
        <w:wordWrap/>
        <w:overflowPunct/>
        <w:topLinePunct w:val="0"/>
        <w:autoSpaceDE/>
        <w:autoSpaceDN/>
        <w:bidi w:val="0"/>
        <w:adjustRightInd/>
        <w:snapToGrid/>
        <w:spacing w:line="560" w:lineRule="exact"/>
        <w:ind w:firstLine="640"/>
        <w:textAlignment w:val="auto"/>
        <w:rPr>
          <w:rFonts w:hint="default" w:ascii="Nimbus Roman No9 L" w:hAnsi="Nimbus Roman No9 L" w:cs="Nimbus Roman No9 L"/>
          <w:szCs w:val="32"/>
        </w:rPr>
      </w:pPr>
      <w:r>
        <w:rPr>
          <w:rFonts w:hint="default" w:ascii="Nimbus Roman No9 L" w:hAnsi="Nimbus Roman No9 L" w:cs="Nimbus Roman No9 L"/>
          <w:szCs w:val="32"/>
        </w:rPr>
        <w:t>加大金融支持力度，引进更多风险投资、私募股权投资等投资基金，支持企业上市融资，提高企业直接融资比例。创新金融服务，发挥东疆租赁产业（人才）联盟等组织作用，积极发展融资租赁、商业保理等金融服务模式。积极争取国家、市级资金支持，围绕符合条件的重点项目，强化服务意识，全力推动报批促批等工作，确保资金到位。充分利用海河产业基金、滨海产业发展基金，围绕优势产业和新兴产业，大力引育高成长企业在滨海新区落户，加大基金对新区产业的促进作用，促进实体经济稳健快速发展。</w:t>
      </w:r>
    </w:p>
    <w:p>
      <w:pPr>
        <w:pStyle w:val="4"/>
        <w:pageBreakBefore w:val="0"/>
        <w:widowControl w:val="0"/>
        <w:kinsoku/>
        <w:wordWrap/>
        <w:overflowPunct/>
        <w:topLinePunct w:val="0"/>
        <w:autoSpaceDE/>
        <w:autoSpaceDN/>
        <w:bidi w:val="0"/>
        <w:adjustRightInd/>
        <w:snapToGrid/>
        <w:spacing w:line="560" w:lineRule="exact"/>
        <w:ind w:firstLine="640"/>
        <w:textAlignment w:val="auto"/>
        <w:rPr>
          <w:rFonts w:hint="default" w:ascii="Nimbus Roman No9 L" w:hAnsi="Nimbus Roman No9 L" w:cs="Nimbus Roman No9 L"/>
          <w:b w:val="0"/>
          <w:bCs w:val="0"/>
        </w:rPr>
      </w:pPr>
      <w:bookmarkStart w:id="76" w:name="_Toc64906441"/>
      <w:bookmarkStart w:id="77" w:name="_Toc17413"/>
      <w:r>
        <w:rPr>
          <w:rFonts w:hint="default" w:ascii="Nimbus Roman No9 L" w:hAnsi="Nimbus Roman No9 L" w:cs="Nimbus Roman No9 L"/>
          <w:b w:val="0"/>
          <w:bCs w:val="0"/>
        </w:rPr>
        <w:t>（四）提升土地利用效能</w:t>
      </w:r>
      <w:bookmarkEnd w:id="76"/>
      <w:bookmarkEnd w:id="77"/>
    </w:p>
    <w:p>
      <w:pPr>
        <w:pageBreakBefore w:val="0"/>
        <w:widowControl w:val="0"/>
        <w:kinsoku/>
        <w:wordWrap/>
        <w:overflowPunct/>
        <w:topLinePunct w:val="0"/>
        <w:autoSpaceDE/>
        <w:autoSpaceDN/>
        <w:bidi w:val="0"/>
        <w:adjustRightInd/>
        <w:snapToGrid/>
        <w:spacing w:line="560" w:lineRule="exact"/>
        <w:ind w:firstLine="640"/>
        <w:textAlignment w:val="auto"/>
        <w:rPr>
          <w:rFonts w:hint="default" w:ascii="Nimbus Roman No9 L" w:hAnsi="Nimbus Roman No9 L" w:cs="Nimbus Roman No9 L"/>
          <w:szCs w:val="32"/>
        </w:rPr>
      </w:pPr>
      <w:r>
        <w:rPr>
          <w:rFonts w:hint="default" w:ascii="Nimbus Roman No9 L" w:hAnsi="Nimbus Roman No9 L" w:cs="Nimbus Roman No9 L"/>
          <w:szCs w:val="32"/>
        </w:rPr>
        <w:t>鼓励先行先试新型产业用地政策，提升产业层级和用地效率，进一步增强配套服务能力。推进工业用地集约化，根据工业空间布局规划，严格新供应工业用地产业准入和用地标准，从严控制限制类工业项目用地。建立土地利用评估考核体系，推行使用土地亩均投资强度指标衡量准入制定，提高土地配置和产出效率要求。创新工业用地出让方式，鼓励工业企业先租赁后购买、长期租赁、租赁与购买相结合，积极盘活存量土地。</w:t>
      </w:r>
    </w:p>
    <w:p>
      <w:pPr>
        <w:pStyle w:val="4"/>
        <w:pageBreakBefore w:val="0"/>
        <w:widowControl w:val="0"/>
        <w:kinsoku/>
        <w:wordWrap/>
        <w:overflowPunct/>
        <w:topLinePunct w:val="0"/>
        <w:autoSpaceDE/>
        <w:autoSpaceDN/>
        <w:bidi w:val="0"/>
        <w:adjustRightInd/>
        <w:snapToGrid/>
        <w:spacing w:line="560" w:lineRule="exact"/>
        <w:ind w:firstLine="640"/>
        <w:textAlignment w:val="auto"/>
        <w:rPr>
          <w:rFonts w:hint="default" w:ascii="Nimbus Roman No9 L" w:hAnsi="Nimbus Roman No9 L" w:cs="Nimbus Roman No9 L"/>
          <w:b w:val="0"/>
          <w:bCs w:val="0"/>
        </w:rPr>
      </w:pPr>
      <w:bookmarkStart w:id="78" w:name="_Toc64906442"/>
      <w:bookmarkStart w:id="79" w:name="_Toc15489"/>
      <w:r>
        <w:rPr>
          <w:rFonts w:hint="default" w:ascii="Nimbus Roman No9 L" w:hAnsi="Nimbus Roman No9 L" w:cs="Nimbus Roman No9 L"/>
          <w:b w:val="0"/>
          <w:bCs w:val="0"/>
        </w:rPr>
        <w:t>（五）强化基础设施保障</w:t>
      </w:r>
      <w:bookmarkEnd w:id="78"/>
      <w:bookmarkEnd w:id="79"/>
    </w:p>
    <w:p>
      <w:pPr>
        <w:pageBreakBefore w:val="0"/>
        <w:widowControl w:val="0"/>
        <w:kinsoku/>
        <w:wordWrap/>
        <w:overflowPunct/>
        <w:topLinePunct w:val="0"/>
        <w:autoSpaceDE/>
        <w:autoSpaceDN/>
        <w:bidi w:val="0"/>
        <w:adjustRightInd/>
        <w:snapToGrid/>
        <w:spacing w:line="560" w:lineRule="exact"/>
        <w:ind w:firstLine="640"/>
        <w:textAlignment w:val="auto"/>
        <w:rPr>
          <w:rFonts w:hint="default" w:ascii="Nimbus Roman No9 L" w:hAnsi="Nimbus Roman No9 L" w:cs="Nimbus Roman No9 L"/>
          <w:szCs w:val="32"/>
        </w:rPr>
      </w:pPr>
      <w:r>
        <w:rPr>
          <w:rFonts w:hint="default" w:ascii="Nimbus Roman No9 L" w:hAnsi="Nimbus Roman No9 L" w:cs="Nimbus Roman No9 L"/>
          <w:szCs w:val="32"/>
        </w:rPr>
        <w:t>面向未来的产业布局，加快新型基础设施建设，激发新消费需求、助力产业升级、促进城市品质提升。加大信息基础设施布局，制定并落实关于规范通信管道（光纤）使用的相关意见，进一步推进5G基站、人工智能、物联网、工业互联网、大数据中心等新型基础设施建设。强化工业企业基础设施支撑，加大特高压、新能源汽车充电桩、智能网联汽车公共道路等设施建设力度。加快城市传统基础设施提档升级，推动智能交通基础设施等建设。</w:t>
      </w:r>
    </w:p>
    <w:p>
      <w:pPr>
        <w:pStyle w:val="4"/>
        <w:pageBreakBefore w:val="0"/>
        <w:widowControl w:val="0"/>
        <w:kinsoku/>
        <w:wordWrap/>
        <w:overflowPunct/>
        <w:topLinePunct w:val="0"/>
        <w:autoSpaceDE/>
        <w:autoSpaceDN/>
        <w:bidi w:val="0"/>
        <w:adjustRightInd/>
        <w:snapToGrid/>
        <w:spacing w:line="560" w:lineRule="exact"/>
        <w:ind w:firstLine="640"/>
        <w:textAlignment w:val="auto"/>
        <w:rPr>
          <w:rFonts w:hint="default" w:ascii="Nimbus Roman No9 L" w:hAnsi="Nimbus Roman No9 L" w:cs="Nimbus Roman No9 L"/>
          <w:b w:val="0"/>
          <w:bCs w:val="0"/>
        </w:rPr>
      </w:pPr>
      <w:bookmarkStart w:id="80" w:name="_Toc64906443"/>
      <w:bookmarkStart w:id="81" w:name="_Toc12673"/>
      <w:r>
        <w:rPr>
          <w:rFonts w:hint="default" w:ascii="Nimbus Roman No9 L" w:hAnsi="Nimbus Roman No9 L" w:cs="Nimbus Roman No9 L"/>
          <w:b w:val="0"/>
          <w:bCs w:val="0"/>
        </w:rPr>
        <w:t>（六）增强重大项目支撑</w:t>
      </w:r>
      <w:bookmarkEnd w:id="80"/>
      <w:bookmarkEnd w:id="81"/>
    </w:p>
    <w:p>
      <w:pPr>
        <w:pageBreakBefore w:val="0"/>
        <w:widowControl w:val="0"/>
        <w:kinsoku/>
        <w:wordWrap/>
        <w:overflowPunct/>
        <w:topLinePunct w:val="0"/>
        <w:autoSpaceDE/>
        <w:autoSpaceDN/>
        <w:bidi w:val="0"/>
        <w:adjustRightInd/>
        <w:snapToGrid/>
        <w:spacing w:line="560" w:lineRule="exact"/>
        <w:ind w:firstLine="640"/>
        <w:textAlignment w:val="auto"/>
        <w:rPr>
          <w:rFonts w:hint="default" w:ascii="Nimbus Roman No9 L" w:hAnsi="Nimbus Roman No9 L" w:cs="Nimbus Roman No9 L"/>
          <w:szCs w:val="32"/>
        </w:rPr>
      </w:pPr>
      <w:r>
        <w:rPr>
          <w:rFonts w:hint="default" w:ascii="Nimbus Roman No9 L" w:hAnsi="Nimbus Roman No9 L" w:cs="Nimbus Roman No9 L"/>
          <w:szCs w:val="32"/>
        </w:rPr>
        <w:t>科学谋划重大项目，落实绿色发展、安全发展理念，加强项目前期审批论证，以规划带动项目建设，加快实施一批重大项目。创新招商模式，提升招商服务水平与精准招商能力，扎实推进重大项目建设，形成“建成投产一批、启动建设一批、谋划储备一批”的滚动发展机制。健全政府投资管理制度，强化项目监管，完善后评价制度，提高政府投资管理水平和投资效益。</w:t>
      </w:r>
    </w:p>
    <w:bookmarkEnd w:id="25"/>
    <w:p>
      <w:pPr>
        <w:pStyle w:val="4"/>
        <w:pageBreakBefore w:val="0"/>
        <w:widowControl w:val="0"/>
        <w:kinsoku/>
        <w:wordWrap/>
        <w:overflowPunct/>
        <w:topLinePunct w:val="0"/>
        <w:autoSpaceDE/>
        <w:autoSpaceDN/>
        <w:bidi w:val="0"/>
        <w:adjustRightInd/>
        <w:snapToGrid/>
        <w:spacing w:line="560" w:lineRule="exact"/>
        <w:ind w:firstLine="640"/>
        <w:textAlignment w:val="auto"/>
        <w:rPr>
          <w:rFonts w:hint="default" w:ascii="Nimbus Roman No9 L" w:hAnsi="Nimbus Roman No9 L" w:cs="Nimbus Roman No9 L"/>
          <w:b w:val="0"/>
          <w:bCs w:val="0"/>
        </w:rPr>
      </w:pPr>
      <w:bookmarkStart w:id="82" w:name="_Toc64906444"/>
      <w:bookmarkStart w:id="83" w:name="_Toc23195"/>
      <w:r>
        <w:rPr>
          <w:rFonts w:hint="default" w:ascii="Nimbus Roman No9 L" w:hAnsi="Nimbus Roman No9 L" w:cs="Nimbus Roman No9 L"/>
          <w:b w:val="0"/>
          <w:bCs w:val="0"/>
        </w:rPr>
        <w:t>（七）坚守安全环保底线</w:t>
      </w:r>
      <w:bookmarkEnd w:id="82"/>
      <w:bookmarkEnd w:id="83"/>
    </w:p>
    <w:p>
      <w:pPr>
        <w:pageBreakBefore w:val="0"/>
        <w:widowControl w:val="0"/>
        <w:kinsoku/>
        <w:wordWrap/>
        <w:overflowPunct/>
        <w:topLinePunct w:val="0"/>
        <w:autoSpaceDE/>
        <w:autoSpaceDN/>
        <w:bidi w:val="0"/>
        <w:adjustRightInd/>
        <w:snapToGrid/>
        <w:spacing w:line="560" w:lineRule="exact"/>
        <w:ind w:firstLine="640"/>
        <w:textAlignment w:val="auto"/>
        <w:rPr>
          <w:rFonts w:hint="default" w:ascii="Nimbus Roman No9 L" w:hAnsi="Nimbus Roman No9 L" w:cs="Nimbus Roman No9 L"/>
          <w:szCs w:val="32"/>
        </w:rPr>
      </w:pPr>
      <w:r>
        <w:rPr>
          <w:rFonts w:hint="default" w:ascii="Nimbus Roman No9 L" w:hAnsi="Nimbus Roman No9 L" w:cs="Nimbus Roman No9 L"/>
          <w:szCs w:val="32"/>
        </w:rPr>
        <w:t>落实企业主体责任，编制应急处置预案，完善安全生产技术装备，提升安全管理水平。大力发展应急产业,提升应对突发事件能力和水平。开展安全专项整治行动，全力消除重点领域安全隐患。落实严格的生态环境保护制度，统筹推进落实“三线一单”分区管控。加强工业污染治理，加大对违法排放污染物、违规处置危险废物的打击力度。加强工业固体废物综合利用的监督管理，完善相关数据统计汇总，落实固体废物资源化、减量化、无害化要求。加强环保执法监督，建立环境突发事件应急预防及处置机制。</w:t>
      </w:r>
    </w:p>
    <w:p>
      <w:pPr>
        <w:widowControl/>
        <w:spacing w:line="580" w:lineRule="exact"/>
        <w:ind w:firstLine="0" w:firstLineChars="0"/>
        <w:jc w:val="left"/>
        <w:rPr>
          <w:rFonts w:hint="default" w:ascii="Nimbus Roman No9 L" w:hAnsi="Nimbus Roman No9 L" w:eastAsia="黑体" w:cs="Nimbus Roman No9 L"/>
          <w:b/>
          <w:bCs/>
          <w:spacing w:val="-4"/>
          <w:kern w:val="44"/>
          <w:sz w:val="36"/>
          <w:szCs w:val="36"/>
        </w:rPr>
      </w:pPr>
      <w:bookmarkStart w:id="84" w:name="_Toc64906445"/>
      <w:bookmarkStart w:id="85" w:name="_Hlk64980099"/>
      <w:r>
        <w:rPr>
          <w:rFonts w:hint="default" w:ascii="Nimbus Roman No9 L" w:hAnsi="Nimbus Roman No9 L" w:cs="Nimbus Roman No9 L"/>
        </w:rPr>
        <w:br w:type="page"/>
      </w:r>
    </w:p>
    <w:p>
      <w:pPr>
        <w:pStyle w:val="3"/>
        <w:numPr>
          <w:ilvl w:val="0"/>
          <w:numId w:val="1"/>
        </w:numPr>
        <w:spacing w:line="580" w:lineRule="exact"/>
        <w:ind w:firstLine="640" w:firstLineChars="200"/>
        <w:jc w:val="both"/>
        <w:rPr>
          <w:rFonts w:hint="default" w:ascii="Nimbus Roman No9 L" w:hAnsi="Nimbus Roman No9 L" w:cs="Nimbus Roman No9 L"/>
          <w:b w:val="0"/>
          <w:bCs w:val="0"/>
          <w:spacing w:val="0"/>
          <w:kern w:val="2"/>
          <w:sz w:val="32"/>
          <w:szCs w:val="32"/>
        </w:rPr>
      </w:pPr>
      <w:bookmarkStart w:id="86" w:name="_Toc7345"/>
      <w:r>
        <w:rPr>
          <w:rFonts w:hint="default" w:ascii="Nimbus Roman No9 L" w:hAnsi="Nimbus Roman No9 L" w:cs="Nimbus Roman No9 L"/>
          <w:b w:val="0"/>
          <w:bCs w:val="0"/>
          <w:spacing w:val="0"/>
          <w:kern w:val="2"/>
          <w:sz w:val="32"/>
          <w:szCs w:val="32"/>
        </w:rPr>
        <w:t>附表</w:t>
      </w:r>
    </w:p>
    <w:p>
      <w:pPr>
        <w:pStyle w:val="3"/>
        <w:numPr>
          <w:ilvl w:val="-1"/>
          <w:numId w:val="0"/>
        </w:numPr>
        <w:spacing w:line="580" w:lineRule="exact"/>
        <w:ind w:firstLine="1445" w:firstLineChars="450"/>
        <w:jc w:val="both"/>
        <w:rPr>
          <w:rFonts w:hint="default" w:ascii="Nimbus Roman No9 L" w:hAnsi="Nimbus Roman No9 L" w:eastAsia="仿宋_GB2312" w:cs="Nimbus Roman No9 L"/>
          <w:spacing w:val="0"/>
          <w:kern w:val="2"/>
          <w:sz w:val="32"/>
          <w:szCs w:val="32"/>
        </w:rPr>
      </w:pPr>
      <w:r>
        <w:rPr>
          <w:rFonts w:hint="default" w:ascii="Nimbus Roman No9 L" w:hAnsi="Nimbus Roman No9 L" w:eastAsia="仿宋_GB2312" w:cs="Nimbus Roman No9 L"/>
          <w:spacing w:val="0"/>
          <w:kern w:val="2"/>
          <w:sz w:val="32"/>
          <w:szCs w:val="32"/>
        </w:rPr>
        <w:t>附表1滨海新区工业“十四五”发展重点领域布局</w:t>
      </w:r>
      <w:bookmarkEnd w:id="84"/>
      <w:bookmarkEnd w:id="86"/>
    </w:p>
    <w:tbl>
      <w:tblPr>
        <w:tblStyle w:val="34"/>
        <w:tblW w:w="900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30"/>
        <w:gridCol w:w="2221"/>
        <w:gridCol w:w="54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jc w:val="center"/>
        </w:trPr>
        <w:tc>
          <w:tcPr>
            <w:tcW w:w="1330" w:type="dxa"/>
            <w:tcBorders>
              <w:top w:val="single" w:color="000000" w:themeColor="text1" w:sz="4" w:space="0"/>
              <w:left w:val="single" w:color="000000" w:themeColor="text1" w:sz="4" w:space="0"/>
              <w:bottom w:val="single" w:color="000000" w:themeColor="text1" w:sz="4" w:space="0"/>
              <w:right w:val="nil"/>
              <w:insideH w:val="single" w:sz="4" w:space="0"/>
              <w:insideV w:val="nil"/>
            </w:tcBorders>
            <w:shd w:val="clear" w:color="auto" w:fill="auto"/>
            <w:vAlign w:val="center"/>
          </w:tcPr>
          <w:p>
            <w:pPr>
              <w:spacing w:line="240" w:lineRule="auto"/>
              <w:ind w:firstLine="0" w:firstLineChars="0"/>
              <w:jc w:val="center"/>
              <w:rPr>
                <w:rFonts w:hint="default" w:ascii="Nimbus Roman No9 L" w:hAnsi="Nimbus Roman No9 L" w:cs="Nimbus Roman No9 L"/>
                <w:b/>
                <w:bCs/>
                <w:color w:val="FFFFFF" w:themeColor="background1"/>
                <w:sz w:val="24"/>
                <w:szCs w:val="24"/>
                <w14:textFill>
                  <w14:solidFill>
                    <w14:schemeClr w14:val="bg1"/>
                  </w14:solidFill>
                </w14:textFill>
              </w:rPr>
            </w:pPr>
            <w:bookmarkStart w:id="87" w:name="_Hlk48817299"/>
            <w:r>
              <w:rPr>
                <w:rFonts w:hint="default" w:ascii="Nimbus Roman No9 L" w:hAnsi="Nimbus Roman No9 L" w:cs="Nimbus Roman No9 L"/>
                <w:b/>
                <w:bCs/>
                <w:color w:val="auto"/>
                <w:sz w:val="24"/>
                <w:szCs w:val="24"/>
              </w:rPr>
              <w:t>重点领域</w:t>
            </w:r>
          </w:p>
        </w:tc>
        <w:tc>
          <w:tcPr>
            <w:tcW w:w="2221" w:type="dxa"/>
            <w:tcBorders>
              <w:top w:val="single" w:color="000000" w:themeColor="text1" w:sz="4" w:space="0"/>
              <w:left w:val="single" w:color="000000" w:sz="4" w:space="0"/>
              <w:bottom w:val="single" w:color="000000" w:themeColor="text1" w:sz="4" w:space="0"/>
              <w:right w:val="nil"/>
              <w:insideH w:val="single" w:sz="4" w:space="0"/>
              <w:insideV w:val="nil"/>
            </w:tcBorders>
            <w:shd w:val="clear" w:color="auto" w:fill="auto"/>
            <w:vAlign w:val="center"/>
          </w:tcPr>
          <w:p>
            <w:pPr>
              <w:spacing w:line="240" w:lineRule="auto"/>
              <w:ind w:firstLine="0" w:firstLineChars="0"/>
              <w:jc w:val="center"/>
              <w:rPr>
                <w:rFonts w:hint="default" w:ascii="Nimbus Roman No9 L" w:hAnsi="Nimbus Roman No9 L" w:cs="Nimbus Roman No9 L"/>
                <w:b w:val="0"/>
                <w:bCs/>
                <w:color w:val="FFFFFF" w:themeColor="background1"/>
                <w:sz w:val="24"/>
                <w:szCs w:val="24"/>
                <w14:textFill>
                  <w14:solidFill>
                    <w14:schemeClr w14:val="bg1"/>
                  </w14:solidFill>
                </w14:textFill>
              </w:rPr>
            </w:pPr>
            <w:r>
              <w:rPr>
                <w:rFonts w:hint="default" w:ascii="Nimbus Roman No9 L" w:hAnsi="Nimbus Roman No9 L" w:cs="Nimbus Roman No9 L"/>
                <w:b/>
                <w:bCs/>
                <w:color w:val="auto"/>
                <w:sz w:val="24"/>
                <w:szCs w:val="24"/>
              </w:rPr>
              <w:t>细分领域</w:t>
            </w:r>
          </w:p>
        </w:tc>
        <w:tc>
          <w:tcPr>
            <w:tcW w:w="5452" w:type="dxa"/>
            <w:tcBorders>
              <w:top w:val="single" w:color="000000" w:themeColor="text1" w:sz="4" w:space="0"/>
              <w:left w:val="single" w:color="000000" w:sz="4" w:space="0"/>
              <w:bottom w:val="single" w:color="000000" w:themeColor="text1" w:sz="4" w:space="0"/>
              <w:right w:val="single" w:color="000000" w:themeColor="text1" w:sz="4" w:space="0"/>
              <w:insideH w:val="single" w:sz="4" w:space="0"/>
              <w:insideV w:val="nil"/>
            </w:tcBorders>
            <w:shd w:val="clear" w:color="auto" w:fill="auto"/>
            <w:vAlign w:val="center"/>
          </w:tcPr>
          <w:p>
            <w:pPr>
              <w:spacing w:line="240" w:lineRule="auto"/>
              <w:ind w:firstLine="0" w:firstLineChars="0"/>
              <w:jc w:val="center"/>
              <w:rPr>
                <w:rFonts w:hint="default" w:ascii="Nimbus Roman No9 L" w:hAnsi="Nimbus Roman No9 L" w:cs="Nimbus Roman No9 L"/>
                <w:b w:val="0"/>
                <w:bCs/>
                <w:color w:val="FFFFFF" w:themeColor="background1"/>
                <w:sz w:val="24"/>
                <w:szCs w:val="24"/>
                <w14:textFill>
                  <w14:solidFill>
                    <w14:schemeClr w14:val="bg1"/>
                  </w14:solidFill>
                </w14:textFill>
              </w:rPr>
            </w:pPr>
            <w:r>
              <w:rPr>
                <w:rFonts w:hint="default" w:ascii="Nimbus Roman No9 L" w:hAnsi="Nimbus Roman No9 L" w:cs="Nimbus Roman No9 L"/>
                <w:b/>
                <w:bCs/>
                <w:color w:val="auto"/>
                <w:sz w:val="24"/>
                <w:szCs w:val="24"/>
              </w:rPr>
              <w:t>关键产品/技术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30" w:type="dxa"/>
            <w:vMerge w:val="restart"/>
            <w:shd w:val="clear" w:color="auto" w:fill="auto"/>
            <w:vAlign w:val="center"/>
          </w:tcPr>
          <w:p>
            <w:pPr>
              <w:spacing w:line="240" w:lineRule="auto"/>
              <w:ind w:firstLine="0" w:firstLineChars="0"/>
              <w:jc w:val="center"/>
              <w:rPr>
                <w:rFonts w:hint="default" w:ascii="Nimbus Roman No9 L" w:hAnsi="Nimbus Roman No9 L" w:cs="Nimbus Roman No9 L"/>
                <w:b/>
                <w:bCs/>
                <w:sz w:val="24"/>
                <w:szCs w:val="24"/>
              </w:rPr>
            </w:pPr>
            <w:r>
              <w:rPr>
                <w:rFonts w:hint="default" w:ascii="Nimbus Roman No9 L" w:hAnsi="Nimbus Roman No9 L" w:cs="Nimbus Roman No9 L"/>
                <w:b/>
                <w:bCs/>
                <w:sz w:val="24"/>
                <w:szCs w:val="24"/>
              </w:rPr>
              <w:t>智能科技</w:t>
            </w:r>
          </w:p>
        </w:tc>
        <w:tc>
          <w:tcPr>
            <w:tcW w:w="2221" w:type="dxa"/>
            <w:shd w:val="clear" w:color="auto" w:fill="auto"/>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新一代信息技术</w:t>
            </w:r>
          </w:p>
        </w:tc>
        <w:tc>
          <w:tcPr>
            <w:tcW w:w="5452" w:type="dxa"/>
            <w:shd w:val="clear" w:color="auto" w:fill="auto"/>
            <w:vAlign w:val="center"/>
          </w:tcPr>
          <w:p>
            <w:pPr>
              <w:spacing w:line="240" w:lineRule="auto"/>
              <w:ind w:firstLine="0" w:firstLineChars="0"/>
              <w:jc w:val="left"/>
              <w:rPr>
                <w:rFonts w:hint="default" w:ascii="Nimbus Roman No9 L" w:hAnsi="Nimbus Roman No9 L" w:cs="Nimbus Roman No9 L"/>
                <w:sz w:val="24"/>
                <w:szCs w:val="24"/>
              </w:rPr>
            </w:pPr>
            <w:r>
              <w:rPr>
                <w:rFonts w:hint="default" w:ascii="Nimbus Roman No9 L" w:hAnsi="Nimbus Roman No9 L" w:cs="Nimbus Roman No9 L"/>
                <w:sz w:val="24"/>
                <w:szCs w:val="24"/>
              </w:rPr>
              <w:t>集成电路、基础软件、信息安全与服务、大数据、云计算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30" w:type="dxa"/>
            <w:vMerge w:val="continue"/>
            <w:shd w:val="clear" w:color="auto" w:fill="auto"/>
            <w:vAlign w:val="center"/>
          </w:tcPr>
          <w:p>
            <w:pPr>
              <w:spacing w:line="240" w:lineRule="auto"/>
              <w:ind w:firstLine="0" w:firstLineChars="0"/>
              <w:jc w:val="center"/>
              <w:rPr>
                <w:rFonts w:hint="default" w:ascii="Nimbus Roman No9 L" w:hAnsi="Nimbus Roman No9 L" w:cs="Nimbus Roman No9 L"/>
                <w:b/>
                <w:bCs/>
                <w:sz w:val="24"/>
                <w:szCs w:val="24"/>
              </w:rPr>
            </w:pPr>
          </w:p>
        </w:tc>
        <w:tc>
          <w:tcPr>
            <w:tcW w:w="2221" w:type="dxa"/>
            <w:shd w:val="clear" w:color="auto" w:fill="auto"/>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人工智能</w:t>
            </w:r>
          </w:p>
        </w:tc>
        <w:tc>
          <w:tcPr>
            <w:tcW w:w="5452" w:type="dxa"/>
            <w:shd w:val="clear" w:color="auto" w:fill="auto"/>
            <w:vAlign w:val="center"/>
          </w:tcPr>
          <w:p>
            <w:pPr>
              <w:spacing w:line="240" w:lineRule="auto"/>
              <w:ind w:firstLine="0" w:firstLineChars="0"/>
              <w:jc w:val="left"/>
              <w:rPr>
                <w:rFonts w:hint="default" w:ascii="Nimbus Roman No9 L" w:hAnsi="Nimbus Roman No9 L" w:cs="Nimbus Roman No9 L"/>
                <w:sz w:val="24"/>
                <w:szCs w:val="24"/>
              </w:rPr>
            </w:pPr>
            <w:r>
              <w:rPr>
                <w:rFonts w:hint="default" w:ascii="Nimbus Roman No9 L" w:hAnsi="Nimbus Roman No9 L" w:cs="Nimbus Roman No9 L"/>
                <w:sz w:val="24"/>
                <w:szCs w:val="24"/>
              </w:rPr>
              <w:t>人工智能基础软硬件、智能终端、智能应用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30" w:type="dxa"/>
            <w:vMerge w:val="continue"/>
            <w:shd w:val="clear" w:color="auto" w:fill="auto"/>
            <w:vAlign w:val="center"/>
          </w:tcPr>
          <w:p>
            <w:pPr>
              <w:spacing w:line="240" w:lineRule="auto"/>
              <w:ind w:firstLine="0" w:firstLineChars="0"/>
              <w:jc w:val="center"/>
              <w:rPr>
                <w:rFonts w:hint="default" w:ascii="Nimbus Roman No9 L" w:hAnsi="Nimbus Roman No9 L" w:cs="Nimbus Roman No9 L"/>
                <w:b/>
                <w:bCs/>
                <w:sz w:val="24"/>
                <w:szCs w:val="24"/>
              </w:rPr>
            </w:pPr>
          </w:p>
        </w:tc>
        <w:tc>
          <w:tcPr>
            <w:tcW w:w="2221" w:type="dxa"/>
            <w:shd w:val="clear" w:color="auto" w:fill="auto"/>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5G</w:t>
            </w:r>
          </w:p>
        </w:tc>
        <w:tc>
          <w:tcPr>
            <w:tcW w:w="5452" w:type="dxa"/>
            <w:shd w:val="clear" w:color="auto" w:fill="auto"/>
            <w:vAlign w:val="center"/>
          </w:tcPr>
          <w:p>
            <w:pPr>
              <w:spacing w:line="240" w:lineRule="auto"/>
              <w:ind w:firstLine="0" w:firstLineChars="0"/>
              <w:rPr>
                <w:rFonts w:hint="default" w:ascii="Nimbus Roman No9 L" w:hAnsi="Nimbus Roman No9 L" w:cs="Nimbus Roman No9 L"/>
                <w:sz w:val="24"/>
                <w:szCs w:val="24"/>
              </w:rPr>
            </w:pPr>
            <w:r>
              <w:rPr>
                <w:rFonts w:hint="default" w:ascii="Nimbus Roman No9 L" w:hAnsi="Nimbus Roman No9 L" w:cs="Nimbus Roman No9 L"/>
                <w:sz w:val="24"/>
                <w:szCs w:val="24"/>
              </w:rPr>
              <w:t>5G基带芯片、终端核心射频器件、智能传感器、关键材料、天线、模组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30" w:type="dxa"/>
            <w:vMerge w:val="restart"/>
            <w:shd w:val="clear" w:color="auto" w:fill="auto"/>
            <w:vAlign w:val="center"/>
          </w:tcPr>
          <w:p>
            <w:pPr>
              <w:spacing w:line="240" w:lineRule="auto"/>
              <w:ind w:firstLine="0" w:firstLineChars="0"/>
              <w:jc w:val="center"/>
              <w:rPr>
                <w:rFonts w:hint="default" w:ascii="Nimbus Roman No9 L" w:hAnsi="Nimbus Roman No9 L" w:cs="Nimbus Roman No9 L"/>
                <w:b w:val="0"/>
                <w:bCs w:val="0"/>
                <w:sz w:val="24"/>
                <w:szCs w:val="24"/>
              </w:rPr>
            </w:pPr>
            <w:r>
              <w:rPr>
                <w:rFonts w:hint="default" w:ascii="Nimbus Roman No9 L" w:hAnsi="Nimbus Roman No9 L" w:cs="Nimbus Roman No9 L"/>
                <w:b/>
                <w:bCs/>
                <w:sz w:val="24"/>
                <w:szCs w:val="24"/>
              </w:rPr>
              <w:t>生物医药</w:t>
            </w:r>
          </w:p>
        </w:tc>
        <w:tc>
          <w:tcPr>
            <w:tcW w:w="2221" w:type="dxa"/>
            <w:shd w:val="clear" w:color="auto" w:fill="auto"/>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化学药</w:t>
            </w:r>
          </w:p>
        </w:tc>
        <w:tc>
          <w:tcPr>
            <w:tcW w:w="5452" w:type="dxa"/>
            <w:shd w:val="clear" w:color="auto" w:fill="auto"/>
            <w:vAlign w:val="center"/>
          </w:tcPr>
          <w:p>
            <w:pPr>
              <w:spacing w:line="240" w:lineRule="auto"/>
              <w:ind w:firstLine="0" w:firstLineChars="0"/>
              <w:rPr>
                <w:rFonts w:hint="default" w:ascii="Nimbus Roman No9 L" w:hAnsi="Nimbus Roman No9 L" w:cs="Nimbus Roman No9 L"/>
                <w:sz w:val="24"/>
                <w:szCs w:val="24"/>
              </w:rPr>
            </w:pPr>
            <w:r>
              <w:rPr>
                <w:rFonts w:hint="default" w:ascii="Nimbus Roman No9 L" w:hAnsi="Nimbus Roman No9 L" w:cs="Nimbus Roman No9 L"/>
                <w:sz w:val="24"/>
                <w:szCs w:val="24"/>
              </w:rPr>
              <w:t>药物中间体和高端原料药、化学药物制剂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30" w:type="dxa"/>
            <w:vMerge w:val="continue"/>
            <w:shd w:val="clear" w:color="auto" w:fill="auto"/>
            <w:vAlign w:val="center"/>
          </w:tcPr>
          <w:p>
            <w:pPr>
              <w:spacing w:line="240" w:lineRule="auto"/>
              <w:ind w:firstLine="0" w:firstLineChars="0"/>
              <w:jc w:val="center"/>
              <w:rPr>
                <w:rFonts w:hint="default" w:ascii="Nimbus Roman No9 L" w:hAnsi="Nimbus Roman No9 L" w:cs="Nimbus Roman No9 L"/>
                <w:b/>
                <w:bCs/>
                <w:sz w:val="24"/>
                <w:szCs w:val="24"/>
              </w:rPr>
            </w:pPr>
          </w:p>
        </w:tc>
        <w:tc>
          <w:tcPr>
            <w:tcW w:w="2221" w:type="dxa"/>
            <w:shd w:val="clear" w:color="auto" w:fill="auto"/>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现代中药</w:t>
            </w:r>
          </w:p>
        </w:tc>
        <w:tc>
          <w:tcPr>
            <w:tcW w:w="5452" w:type="dxa"/>
            <w:shd w:val="clear" w:color="auto" w:fill="auto"/>
            <w:vAlign w:val="center"/>
          </w:tcPr>
          <w:p>
            <w:pPr>
              <w:spacing w:line="240" w:lineRule="auto"/>
              <w:ind w:firstLine="0" w:firstLineChars="0"/>
              <w:rPr>
                <w:rFonts w:hint="default" w:ascii="Nimbus Roman No9 L" w:hAnsi="Nimbus Roman No9 L" w:cs="Nimbus Roman No9 L"/>
                <w:sz w:val="24"/>
                <w:szCs w:val="24"/>
              </w:rPr>
            </w:pPr>
            <w:r>
              <w:rPr>
                <w:rFonts w:hint="default" w:ascii="Nimbus Roman No9 L" w:hAnsi="Nimbus Roman No9 L" w:cs="Nimbus Roman No9 L"/>
                <w:sz w:val="24"/>
                <w:szCs w:val="24"/>
              </w:rPr>
              <w:t>组分中药、中药制剂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30" w:type="dxa"/>
            <w:vMerge w:val="continue"/>
            <w:shd w:val="clear" w:color="auto" w:fill="auto"/>
            <w:vAlign w:val="center"/>
          </w:tcPr>
          <w:p>
            <w:pPr>
              <w:spacing w:line="240" w:lineRule="auto"/>
              <w:ind w:firstLine="0" w:firstLineChars="0"/>
              <w:jc w:val="center"/>
              <w:rPr>
                <w:rFonts w:hint="default" w:ascii="Nimbus Roman No9 L" w:hAnsi="Nimbus Roman No9 L" w:cs="Nimbus Roman No9 L"/>
                <w:b/>
                <w:bCs/>
                <w:sz w:val="24"/>
                <w:szCs w:val="24"/>
              </w:rPr>
            </w:pPr>
          </w:p>
        </w:tc>
        <w:tc>
          <w:tcPr>
            <w:tcW w:w="2221" w:type="dxa"/>
            <w:shd w:val="clear" w:color="auto" w:fill="auto"/>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生物药</w:t>
            </w:r>
          </w:p>
        </w:tc>
        <w:tc>
          <w:tcPr>
            <w:tcW w:w="5452" w:type="dxa"/>
            <w:shd w:val="clear" w:color="auto" w:fill="auto"/>
            <w:vAlign w:val="center"/>
          </w:tcPr>
          <w:p>
            <w:pPr>
              <w:spacing w:line="240" w:lineRule="auto"/>
              <w:ind w:firstLine="0" w:firstLineChars="0"/>
              <w:rPr>
                <w:rFonts w:hint="default" w:ascii="Nimbus Roman No9 L" w:hAnsi="Nimbus Roman No9 L" w:cs="Nimbus Roman No9 L"/>
                <w:sz w:val="24"/>
                <w:szCs w:val="24"/>
              </w:rPr>
            </w:pPr>
            <w:r>
              <w:rPr>
                <w:rFonts w:hint="default" w:ascii="Nimbus Roman No9 L" w:hAnsi="Nimbus Roman No9 L" w:cs="Nimbus Roman No9 L"/>
                <w:sz w:val="24"/>
                <w:szCs w:val="24"/>
              </w:rPr>
              <w:t>疫苗、重组蛋白、干细胞、海洋药物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30" w:type="dxa"/>
            <w:vMerge w:val="continue"/>
            <w:shd w:val="clear" w:color="auto" w:fill="auto"/>
            <w:vAlign w:val="center"/>
          </w:tcPr>
          <w:p>
            <w:pPr>
              <w:spacing w:line="240" w:lineRule="auto"/>
              <w:ind w:firstLine="0" w:firstLineChars="0"/>
              <w:jc w:val="center"/>
              <w:rPr>
                <w:rFonts w:hint="default" w:ascii="Nimbus Roman No9 L" w:hAnsi="Nimbus Roman No9 L" w:cs="Nimbus Roman No9 L"/>
                <w:b/>
                <w:bCs/>
                <w:sz w:val="24"/>
                <w:szCs w:val="24"/>
              </w:rPr>
            </w:pPr>
          </w:p>
        </w:tc>
        <w:tc>
          <w:tcPr>
            <w:tcW w:w="2221" w:type="dxa"/>
            <w:shd w:val="clear" w:color="auto" w:fill="auto"/>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高端医疗器械</w:t>
            </w:r>
          </w:p>
        </w:tc>
        <w:tc>
          <w:tcPr>
            <w:tcW w:w="5452" w:type="dxa"/>
            <w:shd w:val="clear" w:color="auto" w:fill="auto"/>
            <w:vAlign w:val="center"/>
          </w:tcPr>
          <w:p>
            <w:pPr>
              <w:spacing w:line="240" w:lineRule="auto"/>
              <w:ind w:firstLine="0" w:firstLineChars="0"/>
              <w:rPr>
                <w:rFonts w:hint="default" w:ascii="Nimbus Roman No9 L" w:hAnsi="Nimbus Roman No9 L" w:cs="Nimbus Roman No9 L"/>
                <w:sz w:val="24"/>
                <w:szCs w:val="24"/>
              </w:rPr>
            </w:pPr>
            <w:r>
              <w:rPr>
                <w:rFonts w:hint="default" w:ascii="Nimbus Roman No9 L" w:hAnsi="Nimbus Roman No9 L" w:cs="Nimbus Roman No9 L"/>
                <w:sz w:val="24"/>
                <w:szCs w:val="24"/>
              </w:rPr>
              <w:t>通用诊断装备、植介入器械、高端医用试剂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30" w:type="dxa"/>
            <w:vMerge w:val="restart"/>
            <w:shd w:val="clear" w:color="auto" w:fill="auto"/>
            <w:vAlign w:val="center"/>
          </w:tcPr>
          <w:p>
            <w:pPr>
              <w:spacing w:line="240" w:lineRule="auto"/>
              <w:ind w:firstLine="0" w:firstLineChars="0"/>
              <w:jc w:val="center"/>
              <w:rPr>
                <w:rFonts w:hint="default" w:ascii="Nimbus Roman No9 L" w:hAnsi="Nimbus Roman No9 L" w:cs="Nimbus Roman No9 L"/>
                <w:b/>
                <w:bCs/>
                <w:sz w:val="24"/>
                <w:szCs w:val="24"/>
              </w:rPr>
            </w:pPr>
            <w:r>
              <w:rPr>
                <w:rFonts w:hint="default" w:ascii="Nimbus Roman No9 L" w:hAnsi="Nimbus Roman No9 L" w:cs="Nimbus Roman No9 L"/>
                <w:b/>
                <w:bCs/>
                <w:sz w:val="24"/>
                <w:szCs w:val="24"/>
              </w:rPr>
              <w:t>新能源</w:t>
            </w:r>
          </w:p>
        </w:tc>
        <w:tc>
          <w:tcPr>
            <w:tcW w:w="2221" w:type="dxa"/>
            <w:shd w:val="clear" w:color="auto" w:fill="auto"/>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动力电池</w:t>
            </w:r>
          </w:p>
        </w:tc>
        <w:tc>
          <w:tcPr>
            <w:tcW w:w="5452" w:type="dxa"/>
            <w:shd w:val="clear" w:color="auto" w:fill="auto"/>
            <w:vAlign w:val="center"/>
          </w:tcPr>
          <w:p>
            <w:pPr>
              <w:spacing w:line="240" w:lineRule="auto"/>
              <w:ind w:firstLine="0" w:firstLineChars="0"/>
              <w:rPr>
                <w:rFonts w:hint="default" w:ascii="Nimbus Roman No9 L" w:hAnsi="Nimbus Roman No9 L" w:cs="Nimbus Roman No9 L"/>
                <w:sz w:val="24"/>
                <w:szCs w:val="24"/>
              </w:rPr>
            </w:pPr>
            <w:r>
              <w:rPr>
                <w:rFonts w:hint="default" w:ascii="Nimbus Roman No9 L" w:hAnsi="Nimbus Roman No9 L" w:cs="Nimbus Roman No9 L"/>
                <w:sz w:val="24"/>
                <w:szCs w:val="24"/>
              </w:rPr>
              <w:t>电池研发设计、高性能动力电池制造、动力电池回收与利用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30" w:type="dxa"/>
            <w:vMerge w:val="continue"/>
            <w:shd w:val="clear" w:color="auto" w:fill="auto"/>
            <w:vAlign w:val="center"/>
          </w:tcPr>
          <w:p>
            <w:pPr>
              <w:spacing w:line="240" w:lineRule="auto"/>
              <w:ind w:firstLine="0" w:firstLineChars="0"/>
              <w:jc w:val="center"/>
              <w:rPr>
                <w:rFonts w:hint="default" w:ascii="Nimbus Roman No9 L" w:hAnsi="Nimbus Roman No9 L" w:cs="Nimbus Roman No9 L"/>
                <w:b/>
                <w:bCs/>
                <w:sz w:val="24"/>
                <w:szCs w:val="24"/>
              </w:rPr>
            </w:pPr>
          </w:p>
        </w:tc>
        <w:tc>
          <w:tcPr>
            <w:tcW w:w="2221" w:type="dxa"/>
            <w:shd w:val="clear" w:color="auto" w:fill="auto"/>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风电</w:t>
            </w:r>
          </w:p>
        </w:tc>
        <w:tc>
          <w:tcPr>
            <w:tcW w:w="5452" w:type="dxa"/>
            <w:shd w:val="clear" w:color="auto" w:fill="auto"/>
            <w:vAlign w:val="center"/>
          </w:tcPr>
          <w:p>
            <w:pPr>
              <w:spacing w:line="240" w:lineRule="auto"/>
              <w:ind w:firstLine="0" w:firstLineChars="0"/>
              <w:rPr>
                <w:rFonts w:hint="default" w:ascii="Nimbus Roman No9 L" w:hAnsi="Nimbus Roman No9 L" w:cs="Nimbus Roman No9 L"/>
                <w:sz w:val="24"/>
                <w:szCs w:val="24"/>
              </w:rPr>
            </w:pPr>
            <w:r>
              <w:rPr>
                <w:rFonts w:hint="default" w:ascii="Nimbus Roman No9 L" w:hAnsi="Nimbus Roman No9 L" w:cs="Nimbus Roman No9 L"/>
                <w:sz w:val="24"/>
                <w:szCs w:val="24"/>
              </w:rPr>
              <w:t>风电设备关键零部件、风电整机制造、风电场运营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30" w:type="dxa"/>
            <w:vMerge w:val="continue"/>
            <w:shd w:val="clear" w:color="auto" w:fill="auto"/>
            <w:vAlign w:val="center"/>
          </w:tcPr>
          <w:p>
            <w:pPr>
              <w:spacing w:line="240" w:lineRule="auto"/>
              <w:ind w:firstLine="0" w:firstLineChars="0"/>
              <w:jc w:val="center"/>
              <w:rPr>
                <w:rFonts w:hint="default" w:ascii="Nimbus Roman No9 L" w:hAnsi="Nimbus Roman No9 L" w:cs="Nimbus Roman No9 L"/>
                <w:b/>
                <w:bCs/>
                <w:sz w:val="24"/>
                <w:szCs w:val="24"/>
              </w:rPr>
            </w:pPr>
          </w:p>
        </w:tc>
        <w:tc>
          <w:tcPr>
            <w:tcW w:w="2221" w:type="dxa"/>
            <w:shd w:val="clear" w:color="auto" w:fill="auto"/>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光伏</w:t>
            </w:r>
          </w:p>
        </w:tc>
        <w:tc>
          <w:tcPr>
            <w:tcW w:w="5452" w:type="dxa"/>
            <w:shd w:val="clear" w:color="auto" w:fill="auto"/>
            <w:vAlign w:val="center"/>
          </w:tcPr>
          <w:p>
            <w:pPr>
              <w:spacing w:line="240" w:lineRule="auto"/>
              <w:ind w:firstLine="0" w:firstLineChars="0"/>
              <w:rPr>
                <w:rFonts w:hint="default" w:ascii="Nimbus Roman No9 L" w:hAnsi="Nimbus Roman No9 L" w:cs="Nimbus Roman No9 L"/>
                <w:sz w:val="24"/>
                <w:szCs w:val="24"/>
              </w:rPr>
            </w:pPr>
            <w:r>
              <w:rPr>
                <w:rFonts w:hint="default" w:ascii="Nimbus Roman No9 L" w:hAnsi="Nimbus Roman No9 L" w:cs="Nimbus Roman No9 L"/>
                <w:sz w:val="24"/>
                <w:szCs w:val="24"/>
              </w:rPr>
              <w:t>光伏组件、光伏电池、光伏发电系统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30" w:type="dxa"/>
            <w:vMerge w:val="restart"/>
            <w:shd w:val="clear" w:color="auto" w:fill="auto"/>
            <w:vAlign w:val="center"/>
          </w:tcPr>
          <w:p>
            <w:pPr>
              <w:spacing w:line="240" w:lineRule="auto"/>
              <w:ind w:firstLine="0" w:firstLineChars="0"/>
              <w:jc w:val="center"/>
              <w:rPr>
                <w:rFonts w:hint="default" w:ascii="Nimbus Roman No9 L" w:hAnsi="Nimbus Roman No9 L" w:cs="Nimbus Roman No9 L"/>
                <w:b/>
                <w:bCs/>
                <w:sz w:val="24"/>
                <w:szCs w:val="24"/>
              </w:rPr>
            </w:pPr>
            <w:r>
              <w:rPr>
                <w:rFonts w:hint="default" w:ascii="Nimbus Roman No9 L" w:hAnsi="Nimbus Roman No9 L" w:cs="Nimbus Roman No9 L"/>
                <w:b/>
                <w:bCs/>
                <w:sz w:val="24"/>
                <w:szCs w:val="24"/>
              </w:rPr>
              <w:t>新材料</w:t>
            </w:r>
          </w:p>
        </w:tc>
        <w:tc>
          <w:tcPr>
            <w:tcW w:w="2221" w:type="dxa"/>
            <w:shd w:val="clear" w:color="auto" w:fill="auto"/>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先进化工材料</w:t>
            </w:r>
          </w:p>
        </w:tc>
        <w:tc>
          <w:tcPr>
            <w:tcW w:w="5452" w:type="dxa"/>
            <w:shd w:val="clear" w:color="auto" w:fill="auto"/>
            <w:vAlign w:val="center"/>
          </w:tcPr>
          <w:p>
            <w:pPr>
              <w:spacing w:line="240" w:lineRule="auto"/>
              <w:ind w:firstLine="0" w:firstLineChars="0"/>
              <w:rPr>
                <w:rFonts w:hint="default" w:ascii="Nimbus Roman No9 L" w:hAnsi="Nimbus Roman No9 L" w:cs="Nimbus Roman No9 L"/>
                <w:sz w:val="24"/>
                <w:szCs w:val="24"/>
              </w:rPr>
            </w:pPr>
            <w:r>
              <w:rPr>
                <w:rFonts w:hint="default" w:ascii="Nimbus Roman No9 L" w:hAnsi="Nimbus Roman No9 L" w:cs="Nimbus Roman No9 L"/>
                <w:sz w:val="24"/>
                <w:szCs w:val="24"/>
              </w:rPr>
              <w:t>高性能工程塑料、高性能合成橡胶、高分子材料助剂、高性能分离膜材料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30" w:type="dxa"/>
            <w:vMerge w:val="continue"/>
            <w:shd w:val="clear" w:color="auto" w:fill="auto"/>
            <w:vAlign w:val="center"/>
          </w:tcPr>
          <w:p>
            <w:pPr>
              <w:spacing w:line="240" w:lineRule="auto"/>
              <w:ind w:firstLine="0" w:firstLineChars="0"/>
              <w:jc w:val="center"/>
              <w:rPr>
                <w:rFonts w:hint="default" w:ascii="Nimbus Roman No9 L" w:hAnsi="Nimbus Roman No9 L" w:cs="Nimbus Roman No9 L"/>
                <w:b/>
                <w:bCs/>
                <w:sz w:val="24"/>
                <w:szCs w:val="24"/>
              </w:rPr>
            </w:pPr>
          </w:p>
        </w:tc>
        <w:tc>
          <w:tcPr>
            <w:tcW w:w="2221" w:type="dxa"/>
            <w:shd w:val="clear" w:color="auto" w:fill="auto"/>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新一代信息技术</w:t>
            </w:r>
          </w:p>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材料</w:t>
            </w:r>
          </w:p>
        </w:tc>
        <w:tc>
          <w:tcPr>
            <w:tcW w:w="5452" w:type="dxa"/>
            <w:shd w:val="clear" w:color="auto" w:fill="auto"/>
            <w:vAlign w:val="center"/>
          </w:tcPr>
          <w:p>
            <w:pPr>
              <w:spacing w:line="240" w:lineRule="auto"/>
              <w:ind w:firstLine="0" w:firstLineChars="0"/>
              <w:rPr>
                <w:rFonts w:hint="default" w:ascii="Nimbus Roman No9 L" w:hAnsi="Nimbus Roman No9 L" w:cs="Nimbus Roman No9 L"/>
                <w:sz w:val="24"/>
                <w:szCs w:val="24"/>
              </w:rPr>
            </w:pPr>
            <w:r>
              <w:rPr>
                <w:rFonts w:hint="default" w:ascii="Nimbus Roman No9 L" w:hAnsi="Nimbus Roman No9 L" w:cs="Nimbus Roman No9 L"/>
                <w:sz w:val="24"/>
                <w:szCs w:val="24"/>
              </w:rPr>
              <w:t>新型半导体材料、光电子材料、工艺辅助及封装材料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30" w:type="dxa"/>
            <w:vMerge w:val="continue"/>
            <w:shd w:val="clear" w:color="auto" w:fill="auto"/>
            <w:vAlign w:val="center"/>
          </w:tcPr>
          <w:p>
            <w:pPr>
              <w:spacing w:line="240" w:lineRule="auto"/>
              <w:ind w:firstLine="0" w:firstLineChars="0"/>
              <w:jc w:val="center"/>
              <w:rPr>
                <w:rFonts w:hint="default" w:ascii="Nimbus Roman No9 L" w:hAnsi="Nimbus Roman No9 L" w:cs="Nimbus Roman No9 L"/>
                <w:b/>
                <w:bCs/>
                <w:sz w:val="24"/>
                <w:szCs w:val="24"/>
              </w:rPr>
            </w:pPr>
          </w:p>
        </w:tc>
        <w:tc>
          <w:tcPr>
            <w:tcW w:w="2221" w:type="dxa"/>
            <w:shd w:val="clear" w:color="auto" w:fill="auto"/>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新能源材料</w:t>
            </w:r>
          </w:p>
        </w:tc>
        <w:tc>
          <w:tcPr>
            <w:tcW w:w="5452" w:type="dxa"/>
            <w:shd w:val="clear" w:color="auto" w:fill="auto"/>
            <w:vAlign w:val="center"/>
          </w:tcPr>
          <w:p>
            <w:pPr>
              <w:spacing w:line="240" w:lineRule="auto"/>
              <w:ind w:firstLine="0" w:firstLineChars="0"/>
              <w:rPr>
                <w:rFonts w:hint="default" w:ascii="Nimbus Roman No9 L" w:hAnsi="Nimbus Roman No9 L" w:cs="Nimbus Roman No9 L"/>
                <w:sz w:val="24"/>
                <w:szCs w:val="24"/>
              </w:rPr>
            </w:pPr>
            <w:r>
              <w:rPr>
                <w:rFonts w:hint="default" w:ascii="Nimbus Roman No9 L" w:hAnsi="Nimbus Roman No9 L" w:cs="Nimbus Roman No9 L"/>
                <w:sz w:val="24"/>
                <w:szCs w:val="24"/>
              </w:rPr>
              <w:t>锂电池材料、氢电池材料、太阳能电池材料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30" w:type="dxa"/>
            <w:vMerge w:val="continue"/>
            <w:shd w:val="clear" w:color="auto" w:fill="auto"/>
            <w:vAlign w:val="center"/>
          </w:tcPr>
          <w:p>
            <w:pPr>
              <w:spacing w:line="240" w:lineRule="auto"/>
              <w:ind w:firstLine="0" w:firstLineChars="0"/>
              <w:jc w:val="center"/>
              <w:rPr>
                <w:rFonts w:hint="default" w:ascii="Nimbus Roman No9 L" w:hAnsi="Nimbus Roman No9 L" w:cs="Nimbus Roman No9 L"/>
                <w:b/>
                <w:bCs/>
                <w:sz w:val="24"/>
                <w:szCs w:val="24"/>
              </w:rPr>
            </w:pPr>
          </w:p>
        </w:tc>
        <w:tc>
          <w:tcPr>
            <w:tcW w:w="2221" w:type="dxa"/>
            <w:shd w:val="clear" w:color="auto" w:fill="auto"/>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节能环保材料</w:t>
            </w:r>
          </w:p>
        </w:tc>
        <w:tc>
          <w:tcPr>
            <w:tcW w:w="5452" w:type="dxa"/>
            <w:shd w:val="clear" w:color="auto" w:fill="auto"/>
            <w:vAlign w:val="center"/>
          </w:tcPr>
          <w:p>
            <w:pPr>
              <w:spacing w:line="240" w:lineRule="auto"/>
              <w:ind w:firstLine="0" w:firstLineChars="0"/>
              <w:rPr>
                <w:rFonts w:hint="default" w:ascii="Nimbus Roman No9 L" w:hAnsi="Nimbus Roman No9 L" w:cs="Nimbus Roman No9 L"/>
                <w:sz w:val="24"/>
                <w:szCs w:val="24"/>
              </w:rPr>
            </w:pPr>
            <w:r>
              <w:rPr>
                <w:rFonts w:hint="default" w:ascii="Nimbus Roman No9 L" w:hAnsi="Nimbus Roman No9 L" w:cs="Nimbus Roman No9 L"/>
                <w:sz w:val="24"/>
                <w:szCs w:val="24"/>
              </w:rPr>
              <w:t>新型保温隔热材料、节能建筑玻璃、新型环保管材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30" w:type="dxa"/>
            <w:vMerge w:val="continue"/>
            <w:shd w:val="clear" w:color="auto" w:fill="auto"/>
            <w:vAlign w:val="center"/>
          </w:tcPr>
          <w:p>
            <w:pPr>
              <w:spacing w:line="240" w:lineRule="auto"/>
              <w:ind w:firstLine="0" w:firstLineChars="0"/>
              <w:jc w:val="center"/>
              <w:rPr>
                <w:rFonts w:hint="default" w:ascii="Nimbus Roman No9 L" w:hAnsi="Nimbus Roman No9 L" w:cs="Nimbus Roman No9 L"/>
                <w:b/>
                <w:bCs/>
                <w:sz w:val="24"/>
                <w:szCs w:val="24"/>
              </w:rPr>
            </w:pPr>
          </w:p>
        </w:tc>
        <w:tc>
          <w:tcPr>
            <w:tcW w:w="2221" w:type="dxa"/>
            <w:shd w:val="clear" w:color="auto" w:fill="auto"/>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超导材料</w:t>
            </w:r>
          </w:p>
        </w:tc>
        <w:tc>
          <w:tcPr>
            <w:tcW w:w="5452" w:type="dxa"/>
            <w:shd w:val="clear" w:color="auto" w:fill="auto"/>
            <w:vAlign w:val="center"/>
          </w:tcPr>
          <w:p>
            <w:pPr>
              <w:spacing w:line="240" w:lineRule="auto"/>
              <w:ind w:firstLine="0" w:firstLineChars="0"/>
              <w:rPr>
                <w:rFonts w:hint="default" w:ascii="Nimbus Roman No9 L" w:hAnsi="Nimbus Roman No9 L" w:cs="Nimbus Roman No9 L"/>
                <w:sz w:val="24"/>
                <w:szCs w:val="24"/>
              </w:rPr>
            </w:pPr>
            <w:r>
              <w:rPr>
                <w:rFonts w:hint="default" w:ascii="Nimbus Roman No9 L" w:hAnsi="Nimbus Roman No9 L" w:cs="Nimbus Roman No9 L"/>
                <w:sz w:val="24"/>
                <w:szCs w:val="24"/>
              </w:rPr>
              <w:t>超导薄膜材料、高温超导电缆材料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30" w:type="dxa"/>
            <w:vMerge w:val="continue"/>
            <w:shd w:val="clear" w:color="auto" w:fill="auto"/>
            <w:vAlign w:val="center"/>
          </w:tcPr>
          <w:p>
            <w:pPr>
              <w:spacing w:line="240" w:lineRule="auto"/>
              <w:ind w:firstLine="0" w:firstLineChars="0"/>
              <w:jc w:val="center"/>
              <w:rPr>
                <w:rFonts w:hint="default" w:ascii="Nimbus Roman No9 L" w:hAnsi="Nimbus Roman No9 L" w:cs="Nimbus Roman No9 L"/>
                <w:b/>
                <w:bCs/>
                <w:sz w:val="24"/>
                <w:szCs w:val="24"/>
              </w:rPr>
            </w:pPr>
          </w:p>
        </w:tc>
        <w:tc>
          <w:tcPr>
            <w:tcW w:w="2221" w:type="dxa"/>
            <w:shd w:val="clear" w:color="auto" w:fill="auto"/>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石墨烯材料</w:t>
            </w:r>
          </w:p>
        </w:tc>
        <w:tc>
          <w:tcPr>
            <w:tcW w:w="5452" w:type="dxa"/>
            <w:shd w:val="clear" w:color="auto" w:fill="auto"/>
            <w:vAlign w:val="center"/>
          </w:tcPr>
          <w:p>
            <w:pPr>
              <w:spacing w:line="240" w:lineRule="auto"/>
              <w:ind w:firstLine="0" w:firstLineChars="0"/>
              <w:rPr>
                <w:rFonts w:hint="default" w:ascii="Nimbus Roman No9 L" w:hAnsi="Nimbus Roman No9 L" w:cs="Nimbus Roman No9 L"/>
                <w:sz w:val="24"/>
                <w:szCs w:val="24"/>
              </w:rPr>
            </w:pPr>
            <w:r>
              <w:rPr>
                <w:rFonts w:hint="default" w:ascii="Nimbus Roman No9 L" w:hAnsi="Nimbus Roman No9 L" w:cs="Nimbus Roman No9 L"/>
                <w:sz w:val="24"/>
                <w:szCs w:val="24"/>
              </w:rPr>
              <w:t>石墨烯锂离子电池材料、石墨烯弹性体材料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30" w:type="dxa"/>
            <w:vMerge w:val="restart"/>
            <w:shd w:val="clear" w:color="auto" w:fill="auto"/>
            <w:vAlign w:val="center"/>
          </w:tcPr>
          <w:p>
            <w:pPr>
              <w:spacing w:line="240" w:lineRule="auto"/>
              <w:ind w:firstLine="0" w:firstLineChars="0"/>
              <w:jc w:val="center"/>
              <w:rPr>
                <w:rFonts w:hint="default" w:ascii="Nimbus Roman No9 L" w:hAnsi="Nimbus Roman No9 L" w:cs="Nimbus Roman No9 L"/>
                <w:b w:val="0"/>
                <w:bCs w:val="0"/>
                <w:sz w:val="24"/>
                <w:szCs w:val="24"/>
              </w:rPr>
            </w:pPr>
            <w:r>
              <w:rPr>
                <w:rFonts w:hint="default" w:ascii="Nimbus Roman No9 L" w:hAnsi="Nimbus Roman No9 L" w:cs="Nimbus Roman No9 L"/>
                <w:b/>
                <w:bCs/>
                <w:sz w:val="24"/>
                <w:szCs w:val="24"/>
              </w:rPr>
              <w:t>汽车</w:t>
            </w:r>
          </w:p>
        </w:tc>
        <w:tc>
          <w:tcPr>
            <w:tcW w:w="2221" w:type="dxa"/>
            <w:shd w:val="clear" w:color="auto" w:fill="auto"/>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整车制造及</w:t>
            </w:r>
          </w:p>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关键零部件</w:t>
            </w:r>
          </w:p>
        </w:tc>
        <w:tc>
          <w:tcPr>
            <w:tcW w:w="5452" w:type="dxa"/>
            <w:shd w:val="clear" w:color="auto" w:fill="auto"/>
            <w:vAlign w:val="center"/>
          </w:tcPr>
          <w:p>
            <w:pPr>
              <w:spacing w:line="240" w:lineRule="auto"/>
              <w:ind w:firstLine="0" w:firstLineChars="0"/>
              <w:rPr>
                <w:rFonts w:hint="default" w:ascii="Nimbus Roman No9 L" w:hAnsi="Nimbus Roman No9 L" w:cs="Nimbus Roman No9 L"/>
                <w:sz w:val="24"/>
                <w:szCs w:val="24"/>
              </w:rPr>
            </w:pPr>
            <w:r>
              <w:rPr>
                <w:rFonts w:hint="default" w:ascii="Nimbus Roman No9 L" w:hAnsi="Nimbus Roman No9 L" w:cs="Nimbus Roman No9 L"/>
                <w:sz w:val="24"/>
                <w:szCs w:val="24"/>
              </w:rPr>
              <w:t>高端乘用车、特色专用车等整车制造；自动变速器、发动机、传动系统、助力转向等关键汽车零部件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30" w:type="dxa"/>
            <w:vMerge w:val="continue"/>
            <w:shd w:val="clear" w:color="auto" w:fill="auto"/>
            <w:vAlign w:val="center"/>
          </w:tcPr>
          <w:p>
            <w:pPr>
              <w:spacing w:line="240" w:lineRule="auto"/>
              <w:ind w:firstLine="0" w:firstLineChars="0"/>
              <w:jc w:val="center"/>
              <w:rPr>
                <w:rFonts w:hint="default" w:ascii="Nimbus Roman No9 L" w:hAnsi="Nimbus Roman No9 L" w:cs="Nimbus Roman No9 L"/>
                <w:b/>
                <w:bCs/>
                <w:sz w:val="24"/>
                <w:szCs w:val="24"/>
              </w:rPr>
            </w:pPr>
          </w:p>
        </w:tc>
        <w:tc>
          <w:tcPr>
            <w:tcW w:w="2221" w:type="dxa"/>
            <w:shd w:val="clear" w:color="auto" w:fill="auto"/>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新能源汽车</w:t>
            </w:r>
          </w:p>
        </w:tc>
        <w:tc>
          <w:tcPr>
            <w:tcW w:w="5452" w:type="dxa"/>
            <w:shd w:val="clear" w:color="auto" w:fill="auto"/>
            <w:vAlign w:val="center"/>
          </w:tcPr>
          <w:p>
            <w:pPr>
              <w:spacing w:line="240" w:lineRule="auto"/>
              <w:ind w:firstLine="0" w:firstLineChars="0"/>
              <w:rPr>
                <w:rFonts w:hint="default" w:ascii="Nimbus Roman No9 L" w:hAnsi="Nimbus Roman No9 L" w:cs="Nimbus Roman No9 L"/>
                <w:sz w:val="24"/>
                <w:szCs w:val="24"/>
              </w:rPr>
            </w:pPr>
            <w:r>
              <w:rPr>
                <w:rFonts w:hint="default" w:ascii="Nimbus Roman No9 L" w:hAnsi="Nimbus Roman No9 L" w:cs="Nimbus Roman No9 L"/>
                <w:sz w:val="24"/>
                <w:szCs w:val="24"/>
              </w:rPr>
              <w:t>驱动电机和控制系统、电助力转向、电动空调、电制动等新能源汽车关键零部件；纯电动汽车、插电式混合动力汽车、氢燃料电池汽车等新能源整车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30" w:type="dxa"/>
            <w:vMerge w:val="restart"/>
            <w:shd w:val="clear" w:color="auto" w:fill="auto"/>
            <w:vAlign w:val="center"/>
          </w:tcPr>
          <w:p>
            <w:pPr>
              <w:spacing w:line="240" w:lineRule="auto"/>
              <w:ind w:firstLine="0" w:firstLineChars="0"/>
              <w:jc w:val="center"/>
              <w:rPr>
                <w:rFonts w:hint="default" w:ascii="Nimbus Roman No9 L" w:hAnsi="Nimbus Roman No9 L" w:cs="Nimbus Roman No9 L"/>
                <w:b w:val="0"/>
                <w:bCs w:val="0"/>
                <w:sz w:val="24"/>
                <w:szCs w:val="24"/>
              </w:rPr>
            </w:pPr>
            <w:r>
              <w:rPr>
                <w:rFonts w:hint="default" w:ascii="Nimbus Roman No9 L" w:hAnsi="Nimbus Roman No9 L" w:cs="Nimbus Roman No9 L"/>
                <w:b/>
                <w:bCs/>
                <w:sz w:val="24"/>
                <w:szCs w:val="24"/>
              </w:rPr>
              <w:t>装备制造</w:t>
            </w:r>
          </w:p>
        </w:tc>
        <w:tc>
          <w:tcPr>
            <w:tcW w:w="2221" w:type="dxa"/>
            <w:shd w:val="clear" w:color="auto" w:fill="auto"/>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智能装备</w:t>
            </w:r>
          </w:p>
        </w:tc>
        <w:tc>
          <w:tcPr>
            <w:tcW w:w="5452" w:type="dxa"/>
            <w:shd w:val="clear" w:color="auto" w:fill="auto"/>
            <w:vAlign w:val="center"/>
          </w:tcPr>
          <w:p>
            <w:pPr>
              <w:spacing w:line="240" w:lineRule="auto"/>
              <w:ind w:firstLine="0" w:firstLineChars="0"/>
              <w:rPr>
                <w:rFonts w:hint="default" w:ascii="Nimbus Roman No9 L" w:hAnsi="Nimbus Roman No9 L" w:cs="Nimbus Roman No9 L"/>
                <w:sz w:val="24"/>
                <w:szCs w:val="24"/>
              </w:rPr>
            </w:pPr>
            <w:r>
              <w:rPr>
                <w:rFonts w:hint="default" w:ascii="Nimbus Roman No9 L" w:hAnsi="Nimbus Roman No9 L" w:cs="Nimbus Roman No9 L"/>
                <w:sz w:val="24"/>
                <w:szCs w:val="24"/>
              </w:rPr>
              <w:t>机器人、高档数控机床、智能装备关键部件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30" w:type="dxa"/>
            <w:vMerge w:val="continue"/>
            <w:shd w:val="clear" w:color="auto" w:fill="auto"/>
            <w:vAlign w:val="center"/>
          </w:tcPr>
          <w:p>
            <w:pPr>
              <w:spacing w:line="240" w:lineRule="auto"/>
              <w:ind w:firstLine="0" w:firstLineChars="0"/>
              <w:jc w:val="center"/>
              <w:rPr>
                <w:rFonts w:hint="default" w:ascii="Nimbus Roman No9 L" w:hAnsi="Nimbus Roman No9 L" w:cs="Nimbus Roman No9 L"/>
                <w:b/>
                <w:bCs/>
                <w:sz w:val="24"/>
                <w:szCs w:val="24"/>
              </w:rPr>
            </w:pPr>
          </w:p>
        </w:tc>
        <w:tc>
          <w:tcPr>
            <w:tcW w:w="2221" w:type="dxa"/>
            <w:shd w:val="clear" w:color="auto" w:fill="auto"/>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轨道交通装备</w:t>
            </w:r>
          </w:p>
        </w:tc>
        <w:tc>
          <w:tcPr>
            <w:tcW w:w="5452" w:type="dxa"/>
            <w:shd w:val="clear" w:color="auto" w:fill="auto"/>
            <w:vAlign w:val="center"/>
          </w:tcPr>
          <w:p>
            <w:pPr>
              <w:spacing w:line="240" w:lineRule="auto"/>
              <w:ind w:firstLine="0" w:firstLineChars="0"/>
              <w:rPr>
                <w:rFonts w:hint="default" w:ascii="Nimbus Roman No9 L" w:hAnsi="Nimbus Roman No9 L" w:cs="Nimbus Roman No9 L"/>
                <w:sz w:val="24"/>
                <w:szCs w:val="24"/>
              </w:rPr>
            </w:pPr>
            <w:r>
              <w:rPr>
                <w:rFonts w:hint="default" w:ascii="Nimbus Roman No9 L" w:hAnsi="Nimbus Roman No9 L" w:cs="Nimbus Roman No9 L"/>
                <w:sz w:val="24"/>
                <w:szCs w:val="24"/>
              </w:rPr>
              <w:t>信号系统、综合控制系统等关键系统；轨道交通整车制造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30" w:type="dxa"/>
            <w:vMerge w:val="continue"/>
            <w:shd w:val="clear" w:color="auto" w:fill="auto"/>
            <w:vAlign w:val="center"/>
          </w:tcPr>
          <w:p>
            <w:pPr>
              <w:spacing w:line="240" w:lineRule="auto"/>
              <w:ind w:firstLine="0" w:firstLineChars="0"/>
              <w:jc w:val="center"/>
              <w:rPr>
                <w:rFonts w:hint="default" w:ascii="Nimbus Roman No9 L" w:hAnsi="Nimbus Roman No9 L" w:cs="Nimbus Roman No9 L"/>
                <w:b/>
                <w:bCs/>
                <w:sz w:val="24"/>
                <w:szCs w:val="24"/>
              </w:rPr>
            </w:pPr>
          </w:p>
        </w:tc>
        <w:tc>
          <w:tcPr>
            <w:tcW w:w="2221" w:type="dxa"/>
            <w:shd w:val="clear" w:color="auto" w:fill="auto"/>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海洋装备</w:t>
            </w:r>
          </w:p>
        </w:tc>
        <w:tc>
          <w:tcPr>
            <w:tcW w:w="5452" w:type="dxa"/>
            <w:shd w:val="clear" w:color="auto" w:fill="auto"/>
            <w:vAlign w:val="center"/>
          </w:tcPr>
          <w:p>
            <w:pPr>
              <w:spacing w:line="240" w:lineRule="auto"/>
              <w:ind w:firstLine="0" w:firstLineChars="0"/>
              <w:rPr>
                <w:rFonts w:hint="default" w:ascii="Nimbus Roman No9 L" w:hAnsi="Nimbus Roman No9 L" w:cs="Nimbus Roman No9 L"/>
                <w:sz w:val="24"/>
                <w:szCs w:val="24"/>
              </w:rPr>
            </w:pPr>
            <w:r>
              <w:rPr>
                <w:rFonts w:hint="default" w:ascii="Nimbus Roman No9 L" w:hAnsi="Nimbus Roman No9 L" w:cs="Nimbus Roman No9 L"/>
                <w:sz w:val="24"/>
                <w:szCs w:val="24"/>
              </w:rPr>
              <w:t>海洋工程装备、高技术船舶、海水淡化装备、海洋智能装备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30" w:type="dxa"/>
            <w:vMerge w:val="restart"/>
            <w:shd w:val="clear" w:color="auto" w:fill="auto"/>
            <w:vAlign w:val="center"/>
          </w:tcPr>
          <w:p>
            <w:pPr>
              <w:spacing w:line="240" w:lineRule="auto"/>
              <w:ind w:firstLine="0" w:firstLineChars="0"/>
              <w:jc w:val="center"/>
              <w:rPr>
                <w:rFonts w:hint="default" w:ascii="Nimbus Roman No9 L" w:hAnsi="Nimbus Roman No9 L" w:cs="Nimbus Roman No9 L"/>
                <w:b w:val="0"/>
                <w:bCs w:val="0"/>
                <w:sz w:val="24"/>
                <w:szCs w:val="24"/>
              </w:rPr>
            </w:pPr>
            <w:r>
              <w:rPr>
                <w:rFonts w:hint="default" w:ascii="Nimbus Roman No9 L" w:hAnsi="Nimbus Roman No9 L" w:cs="Nimbus Roman No9 L"/>
                <w:b/>
                <w:bCs/>
                <w:sz w:val="24"/>
                <w:szCs w:val="24"/>
              </w:rPr>
              <w:t>航空航天</w:t>
            </w:r>
          </w:p>
        </w:tc>
        <w:tc>
          <w:tcPr>
            <w:tcW w:w="2221" w:type="dxa"/>
            <w:shd w:val="clear" w:color="auto" w:fill="auto"/>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航空产业</w:t>
            </w:r>
          </w:p>
        </w:tc>
        <w:tc>
          <w:tcPr>
            <w:tcW w:w="5452" w:type="dxa"/>
            <w:shd w:val="clear" w:color="auto" w:fill="auto"/>
            <w:vAlign w:val="center"/>
          </w:tcPr>
          <w:p>
            <w:pPr>
              <w:spacing w:line="240" w:lineRule="auto"/>
              <w:ind w:firstLine="0" w:firstLineChars="0"/>
              <w:rPr>
                <w:rFonts w:hint="default" w:ascii="Nimbus Roman No9 L" w:hAnsi="Nimbus Roman No9 L" w:cs="Nimbus Roman No9 L"/>
                <w:sz w:val="24"/>
                <w:szCs w:val="24"/>
              </w:rPr>
            </w:pPr>
            <w:r>
              <w:rPr>
                <w:rFonts w:hint="default" w:ascii="Nimbus Roman No9 L" w:hAnsi="Nimbus Roman No9 L" w:cs="Nimbus Roman No9 L"/>
                <w:sz w:val="24"/>
                <w:szCs w:val="24"/>
              </w:rPr>
              <w:t>大飞机、直升机、无人机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30" w:type="dxa"/>
            <w:vMerge w:val="continue"/>
            <w:shd w:val="clear" w:color="auto" w:fill="auto"/>
            <w:vAlign w:val="center"/>
          </w:tcPr>
          <w:p>
            <w:pPr>
              <w:spacing w:line="240" w:lineRule="auto"/>
              <w:ind w:firstLine="0" w:firstLineChars="0"/>
              <w:rPr>
                <w:rFonts w:hint="default" w:ascii="Nimbus Roman No9 L" w:hAnsi="Nimbus Roman No9 L" w:cs="Nimbus Roman No9 L"/>
                <w:b/>
                <w:bCs/>
                <w:sz w:val="24"/>
                <w:szCs w:val="24"/>
              </w:rPr>
            </w:pPr>
          </w:p>
        </w:tc>
        <w:tc>
          <w:tcPr>
            <w:tcW w:w="2221" w:type="dxa"/>
            <w:shd w:val="clear" w:color="auto" w:fill="auto"/>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航天产业</w:t>
            </w:r>
          </w:p>
        </w:tc>
        <w:tc>
          <w:tcPr>
            <w:tcW w:w="5452" w:type="dxa"/>
            <w:shd w:val="clear" w:color="auto" w:fill="auto"/>
            <w:vAlign w:val="center"/>
          </w:tcPr>
          <w:p>
            <w:pPr>
              <w:spacing w:line="240" w:lineRule="auto"/>
              <w:ind w:firstLine="0" w:firstLineChars="0"/>
              <w:rPr>
                <w:rFonts w:hint="default" w:ascii="Nimbus Roman No9 L" w:hAnsi="Nimbus Roman No9 L" w:cs="Nimbus Roman No9 L"/>
                <w:sz w:val="24"/>
                <w:szCs w:val="24"/>
              </w:rPr>
            </w:pPr>
            <w:r>
              <w:rPr>
                <w:rFonts w:hint="default" w:ascii="Nimbus Roman No9 L" w:hAnsi="Nimbus Roman No9 L" w:cs="Nimbus Roman No9 L"/>
                <w:sz w:val="24"/>
                <w:szCs w:val="24"/>
              </w:rPr>
              <w:t>运载火箭、卫星、空间站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30" w:type="dxa"/>
            <w:vMerge w:val="restart"/>
            <w:shd w:val="clear" w:color="auto" w:fill="auto"/>
            <w:vAlign w:val="center"/>
          </w:tcPr>
          <w:p>
            <w:pPr>
              <w:spacing w:line="240" w:lineRule="auto"/>
              <w:ind w:firstLine="0" w:firstLineChars="0"/>
              <w:jc w:val="center"/>
              <w:rPr>
                <w:rFonts w:hint="default" w:ascii="Nimbus Roman No9 L" w:hAnsi="Nimbus Roman No9 L" w:cs="Nimbus Roman No9 L"/>
                <w:b w:val="0"/>
                <w:bCs w:val="0"/>
                <w:sz w:val="24"/>
                <w:szCs w:val="24"/>
              </w:rPr>
            </w:pPr>
            <w:r>
              <w:rPr>
                <w:rFonts w:hint="default" w:ascii="Nimbus Roman No9 L" w:hAnsi="Nimbus Roman No9 L" w:cs="Nimbus Roman No9 L"/>
                <w:b/>
                <w:bCs/>
                <w:sz w:val="24"/>
                <w:szCs w:val="24"/>
              </w:rPr>
              <w:t>石油化工</w:t>
            </w:r>
          </w:p>
        </w:tc>
        <w:tc>
          <w:tcPr>
            <w:tcW w:w="2221" w:type="dxa"/>
            <w:shd w:val="clear" w:color="auto" w:fill="auto"/>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炼油</w:t>
            </w:r>
          </w:p>
        </w:tc>
        <w:tc>
          <w:tcPr>
            <w:tcW w:w="5452" w:type="dxa"/>
            <w:shd w:val="clear" w:color="auto" w:fill="auto"/>
            <w:vAlign w:val="center"/>
          </w:tcPr>
          <w:p>
            <w:pPr>
              <w:spacing w:line="240" w:lineRule="auto"/>
              <w:ind w:firstLine="0" w:firstLineChars="0"/>
              <w:rPr>
                <w:rFonts w:hint="default" w:ascii="Nimbus Roman No9 L" w:hAnsi="Nimbus Roman No9 L" w:cs="Nimbus Roman No9 L"/>
                <w:sz w:val="24"/>
                <w:szCs w:val="24"/>
              </w:rPr>
            </w:pPr>
            <w:r>
              <w:rPr>
                <w:rFonts w:hint="default" w:ascii="Nimbus Roman No9 L" w:hAnsi="Nimbus Roman No9 L" w:cs="Nimbus Roman No9 L"/>
                <w:sz w:val="24"/>
                <w:szCs w:val="24"/>
              </w:rPr>
              <w:t>新型大炼化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30" w:type="dxa"/>
            <w:vMerge w:val="continue"/>
            <w:shd w:val="clear" w:color="auto" w:fill="auto"/>
            <w:vAlign w:val="center"/>
          </w:tcPr>
          <w:p>
            <w:pPr>
              <w:spacing w:line="240" w:lineRule="auto"/>
              <w:ind w:firstLine="0" w:firstLineChars="0"/>
              <w:rPr>
                <w:rFonts w:hint="default" w:ascii="Nimbus Roman No9 L" w:hAnsi="Nimbus Roman No9 L" w:cs="Nimbus Roman No9 L"/>
                <w:b/>
                <w:bCs/>
                <w:sz w:val="24"/>
                <w:szCs w:val="24"/>
              </w:rPr>
            </w:pPr>
          </w:p>
        </w:tc>
        <w:tc>
          <w:tcPr>
            <w:tcW w:w="2221" w:type="dxa"/>
            <w:shd w:val="clear" w:color="auto" w:fill="auto"/>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烃类</w:t>
            </w:r>
          </w:p>
        </w:tc>
        <w:tc>
          <w:tcPr>
            <w:tcW w:w="5452" w:type="dxa"/>
            <w:shd w:val="clear" w:color="auto" w:fill="auto"/>
            <w:vAlign w:val="center"/>
          </w:tcPr>
          <w:p>
            <w:pPr>
              <w:spacing w:line="240" w:lineRule="auto"/>
              <w:ind w:firstLine="0" w:firstLineChars="0"/>
              <w:rPr>
                <w:rFonts w:hint="default" w:ascii="Nimbus Roman No9 L" w:hAnsi="Nimbus Roman No9 L" w:cs="Nimbus Roman No9 L"/>
                <w:sz w:val="24"/>
                <w:szCs w:val="24"/>
              </w:rPr>
            </w:pPr>
            <w:r>
              <w:rPr>
                <w:rFonts w:hint="default" w:ascii="Nimbus Roman No9 L" w:hAnsi="Nimbus Roman No9 L" w:cs="Nimbus Roman No9 L"/>
                <w:sz w:val="24"/>
                <w:szCs w:val="24"/>
              </w:rPr>
              <w:t>乙烯及衍生物、丙烯及衍生物、苯及衍生物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30" w:type="dxa"/>
            <w:vMerge w:val="continue"/>
            <w:shd w:val="clear" w:color="auto" w:fill="auto"/>
            <w:vAlign w:val="center"/>
          </w:tcPr>
          <w:p>
            <w:pPr>
              <w:spacing w:line="240" w:lineRule="auto"/>
              <w:ind w:firstLine="0" w:firstLineChars="0"/>
              <w:rPr>
                <w:rFonts w:hint="default" w:ascii="Nimbus Roman No9 L" w:hAnsi="Nimbus Roman No9 L" w:cs="Nimbus Roman No9 L"/>
                <w:b/>
                <w:bCs/>
                <w:sz w:val="24"/>
                <w:szCs w:val="24"/>
              </w:rPr>
            </w:pPr>
          </w:p>
        </w:tc>
        <w:tc>
          <w:tcPr>
            <w:tcW w:w="2221" w:type="dxa"/>
            <w:shd w:val="clear" w:color="auto" w:fill="auto"/>
            <w:vAlign w:val="center"/>
          </w:tcPr>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高端精细</w:t>
            </w:r>
          </w:p>
          <w:p>
            <w:pPr>
              <w:spacing w:line="240" w:lineRule="auto"/>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及专用化学品</w:t>
            </w:r>
          </w:p>
        </w:tc>
        <w:tc>
          <w:tcPr>
            <w:tcW w:w="5452" w:type="dxa"/>
            <w:shd w:val="clear" w:color="auto" w:fill="auto"/>
            <w:vAlign w:val="center"/>
          </w:tcPr>
          <w:p>
            <w:pPr>
              <w:spacing w:line="240" w:lineRule="auto"/>
              <w:ind w:firstLine="0" w:firstLineChars="0"/>
              <w:rPr>
                <w:rFonts w:hint="default" w:ascii="Nimbus Roman No9 L" w:hAnsi="Nimbus Roman No9 L" w:cs="Nimbus Roman No9 L"/>
                <w:sz w:val="24"/>
                <w:szCs w:val="24"/>
              </w:rPr>
            </w:pPr>
            <w:r>
              <w:rPr>
                <w:rFonts w:hint="default" w:ascii="Nimbus Roman No9 L" w:hAnsi="Nimbus Roman No9 L" w:cs="Nimbus Roman No9 L"/>
                <w:sz w:val="24"/>
                <w:szCs w:val="24"/>
              </w:rPr>
              <w:t>特种助剂、胶黏剂、电子化学品、高端涂料</w:t>
            </w:r>
          </w:p>
        </w:tc>
      </w:tr>
      <w:bookmarkEnd w:id="85"/>
      <w:bookmarkEnd w:id="87"/>
    </w:tbl>
    <w:p>
      <w:pPr>
        <w:spacing w:line="580" w:lineRule="exact"/>
        <w:ind w:firstLine="480"/>
        <w:rPr>
          <w:rFonts w:hint="default" w:ascii="Nimbus Roman No9 L" w:hAnsi="Nimbus Roman No9 L" w:cs="Nimbus Roman No9 L" w:eastAsiaTheme="minorEastAsia"/>
          <w:kern w:val="0"/>
          <w:sz w:val="24"/>
          <w:szCs w:val="24"/>
        </w:rPr>
      </w:pPr>
    </w:p>
    <w:p>
      <w:pPr>
        <w:widowControl/>
        <w:spacing w:line="580" w:lineRule="exact"/>
        <w:ind w:firstLine="0" w:firstLineChars="0"/>
        <w:jc w:val="left"/>
        <w:rPr>
          <w:rFonts w:hint="default" w:ascii="Nimbus Roman No9 L" w:hAnsi="Nimbus Roman No9 L" w:cs="Nimbus Roman No9 L" w:eastAsiaTheme="minorEastAsia"/>
          <w:kern w:val="0"/>
          <w:sz w:val="20"/>
          <w:szCs w:val="20"/>
        </w:rPr>
      </w:pPr>
      <w:r>
        <w:rPr>
          <w:rFonts w:hint="default" w:ascii="Nimbus Roman No9 L" w:hAnsi="Nimbus Roman No9 L" w:cs="Nimbus Roman No9 L" w:eastAsiaTheme="minorEastAsia"/>
          <w:kern w:val="0"/>
          <w:sz w:val="20"/>
          <w:szCs w:val="20"/>
        </w:rPr>
        <w:br w:type="page"/>
      </w:r>
    </w:p>
    <w:p>
      <w:pPr>
        <w:pStyle w:val="3"/>
        <w:spacing w:line="580" w:lineRule="exact"/>
        <w:jc w:val="center"/>
        <w:rPr>
          <w:rFonts w:hint="default" w:ascii="Nimbus Roman No9 L" w:hAnsi="Nimbus Roman No9 L" w:eastAsia="仿宋_GB2312" w:cs="Nimbus Roman No9 L"/>
          <w:spacing w:val="0"/>
          <w:kern w:val="2"/>
          <w:sz w:val="32"/>
          <w:szCs w:val="32"/>
        </w:rPr>
      </w:pPr>
      <w:bookmarkStart w:id="88" w:name="_Toc23861"/>
      <w:bookmarkStart w:id="89" w:name="_Toc64906446"/>
      <w:r>
        <w:rPr>
          <w:rFonts w:hint="default" w:ascii="Nimbus Roman No9 L" w:hAnsi="Nimbus Roman No9 L" w:eastAsia="仿宋_GB2312" w:cs="Nimbus Roman No9 L"/>
          <w:spacing w:val="0"/>
          <w:kern w:val="2"/>
          <w:sz w:val="32"/>
          <w:szCs w:val="32"/>
        </w:rPr>
        <w:t>附表2滨海新区街镇工业园区产业指引</w:t>
      </w:r>
      <w:bookmarkEnd w:id="88"/>
      <w:bookmarkEnd w:id="89"/>
    </w:p>
    <w:tbl>
      <w:tblPr>
        <w:tblStyle w:val="15"/>
        <w:tblW w:w="816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45"/>
        <w:gridCol w:w="39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45" w:type="dxa"/>
            <w:vAlign w:val="center"/>
          </w:tcPr>
          <w:p>
            <w:pPr>
              <w:spacing w:line="580" w:lineRule="exact"/>
              <w:ind w:firstLine="0" w:firstLineChars="0"/>
              <w:jc w:val="center"/>
              <w:rPr>
                <w:rFonts w:hint="default" w:ascii="Nimbus Roman No9 L" w:hAnsi="Nimbus Roman No9 L" w:cs="Nimbus Roman No9 L"/>
                <w:b/>
                <w:bCs/>
                <w:sz w:val="24"/>
                <w:szCs w:val="24"/>
              </w:rPr>
            </w:pPr>
            <w:r>
              <w:rPr>
                <w:rFonts w:hint="default" w:ascii="Nimbus Roman No9 L" w:hAnsi="Nimbus Roman No9 L" w:cs="Nimbus Roman No9 L"/>
                <w:b/>
                <w:bCs/>
                <w:sz w:val="24"/>
                <w:szCs w:val="24"/>
              </w:rPr>
              <w:t>园区名称</w:t>
            </w:r>
          </w:p>
        </w:tc>
        <w:tc>
          <w:tcPr>
            <w:tcW w:w="3917" w:type="dxa"/>
            <w:vAlign w:val="center"/>
          </w:tcPr>
          <w:p>
            <w:pPr>
              <w:spacing w:line="580" w:lineRule="exact"/>
              <w:ind w:firstLine="0" w:firstLineChars="0"/>
              <w:jc w:val="center"/>
              <w:rPr>
                <w:rFonts w:hint="default" w:ascii="Nimbus Roman No9 L" w:hAnsi="Nimbus Roman No9 L" w:cs="Nimbus Roman No9 L"/>
                <w:b/>
                <w:bCs/>
                <w:sz w:val="24"/>
                <w:szCs w:val="24"/>
              </w:rPr>
            </w:pPr>
            <w:r>
              <w:rPr>
                <w:rFonts w:hint="default" w:ascii="Nimbus Roman No9 L" w:hAnsi="Nimbus Roman No9 L" w:cs="Nimbus Roman No9 L"/>
                <w:b/>
                <w:bCs/>
                <w:sz w:val="24"/>
                <w:szCs w:val="24"/>
              </w:rPr>
              <w:t>主导产业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45" w:type="dxa"/>
            <w:vAlign w:val="center"/>
          </w:tcPr>
          <w:p>
            <w:pPr>
              <w:spacing w:line="580" w:lineRule="exact"/>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天津中塘工业园</w:t>
            </w:r>
          </w:p>
        </w:tc>
        <w:tc>
          <w:tcPr>
            <w:tcW w:w="3917" w:type="dxa"/>
            <w:vAlign w:val="center"/>
          </w:tcPr>
          <w:p>
            <w:pPr>
              <w:spacing w:line="580" w:lineRule="exact"/>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汽车关键零部件、机械装备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45" w:type="dxa"/>
            <w:vAlign w:val="center"/>
          </w:tcPr>
          <w:p>
            <w:pPr>
              <w:spacing w:line="580" w:lineRule="exact"/>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大港经济技术开发区</w:t>
            </w:r>
          </w:p>
        </w:tc>
        <w:tc>
          <w:tcPr>
            <w:tcW w:w="3917" w:type="dxa"/>
            <w:vAlign w:val="center"/>
          </w:tcPr>
          <w:p>
            <w:pPr>
              <w:spacing w:line="580" w:lineRule="exact"/>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机械装备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4245" w:type="dxa"/>
            <w:vAlign w:val="center"/>
          </w:tcPr>
          <w:p>
            <w:pPr>
              <w:spacing w:line="580" w:lineRule="exact"/>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大港石化产业园区</w:t>
            </w:r>
          </w:p>
        </w:tc>
        <w:tc>
          <w:tcPr>
            <w:tcW w:w="3917" w:type="dxa"/>
            <w:vAlign w:val="center"/>
          </w:tcPr>
          <w:p>
            <w:pPr>
              <w:spacing w:line="580" w:lineRule="exact"/>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新材料、生物医药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45" w:type="dxa"/>
            <w:vAlign w:val="center"/>
          </w:tcPr>
          <w:p>
            <w:pPr>
              <w:spacing w:line="580" w:lineRule="exact"/>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滨海物流加工区</w:t>
            </w:r>
          </w:p>
        </w:tc>
        <w:tc>
          <w:tcPr>
            <w:tcW w:w="3917" w:type="dxa"/>
            <w:vAlign w:val="center"/>
          </w:tcPr>
          <w:p>
            <w:pPr>
              <w:spacing w:line="580" w:lineRule="exact"/>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物流业、高端装备制造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45" w:type="dxa"/>
            <w:vAlign w:val="center"/>
          </w:tcPr>
          <w:p>
            <w:pPr>
              <w:spacing w:line="580" w:lineRule="exact"/>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胡家园产业园区</w:t>
            </w:r>
          </w:p>
        </w:tc>
        <w:tc>
          <w:tcPr>
            <w:tcW w:w="3917" w:type="dxa"/>
            <w:vAlign w:val="center"/>
          </w:tcPr>
          <w:p>
            <w:pPr>
              <w:spacing w:line="580" w:lineRule="exact"/>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商贸物流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45" w:type="dxa"/>
            <w:vAlign w:val="center"/>
          </w:tcPr>
          <w:p>
            <w:pPr>
              <w:spacing w:line="580" w:lineRule="exact"/>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港西工业区</w:t>
            </w:r>
          </w:p>
        </w:tc>
        <w:tc>
          <w:tcPr>
            <w:tcW w:w="3917" w:type="dxa"/>
            <w:vAlign w:val="center"/>
          </w:tcPr>
          <w:p>
            <w:pPr>
              <w:spacing w:line="580" w:lineRule="exact"/>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机械装备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4245" w:type="dxa"/>
            <w:vAlign w:val="center"/>
          </w:tcPr>
          <w:p>
            <w:pPr>
              <w:spacing w:line="580" w:lineRule="exact"/>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古林工业区</w:t>
            </w:r>
          </w:p>
        </w:tc>
        <w:tc>
          <w:tcPr>
            <w:tcW w:w="3917" w:type="dxa"/>
            <w:vAlign w:val="center"/>
          </w:tcPr>
          <w:p>
            <w:pPr>
              <w:spacing w:line="580" w:lineRule="exact"/>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新材料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45" w:type="dxa"/>
            <w:vAlign w:val="center"/>
          </w:tcPr>
          <w:p>
            <w:pPr>
              <w:spacing w:line="580" w:lineRule="exact"/>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小王庄工业园区</w:t>
            </w:r>
          </w:p>
        </w:tc>
        <w:tc>
          <w:tcPr>
            <w:tcW w:w="3917" w:type="dxa"/>
            <w:vAlign w:val="center"/>
          </w:tcPr>
          <w:p>
            <w:pPr>
              <w:spacing w:line="580" w:lineRule="exact"/>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新一代信息技术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45" w:type="dxa"/>
            <w:vAlign w:val="center"/>
          </w:tcPr>
          <w:p>
            <w:pPr>
              <w:spacing w:line="580" w:lineRule="exact"/>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营城工业聚集区</w:t>
            </w:r>
          </w:p>
        </w:tc>
        <w:tc>
          <w:tcPr>
            <w:tcW w:w="3917" w:type="dxa"/>
            <w:vAlign w:val="center"/>
          </w:tcPr>
          <w:p>
            <w:pPr>
              <w:spacing w:line="580" w:lineRule="exact"/>
              <w:ind w:firstLine="0" w:firstLineChars="0"/>
              <w:jc w:val="center"/>
              <w:rPr>
                <w:rFonts w:hint="default" w:ascii="Nimbus Roman No9 L" w:hAnsi="Nimbus Roman No9 L" w:cs="Nimbus Roman No9 L"/>
                <w:sz w:val="24"/>
                <w:szCs w:val="24"/>
              </w:rPr>
            </w:pPr>
            <w:r>
              <w:rPr>
                <w:rFonts w:hint="default" w:ascii="Nimbus Roman No9 L" w:hAnsi="Nimbus Roman No9 L" w:cs="Nimbus Roman No9 L"/>
                <w:sz w:val="24"/>
                <w:szCs w:val="24"/>
              </w:rPr>
              <w:t>新能源新材料</w:t>
            </w:r>
          </w:p>
        </w:tc>
      </w:tr>
    </w:tbl>
    <w:p>
      <w:pPr>
        <w:spacing w:line="580" w:lineRule="exact"/>
        <w:ind w:firstLine="400"/>
        <w:rPr>
          <w:rFonts w:hint="default" w:ascii="Nimbus Roman No9 L" w:hAnsi="Nimbus Roman No9 L" w:cs="Nimbus Roman No9 L" w:eastAsiaTheme="minorEastAsia"/>
          <w:kern w:val="0"/>
          <w:sz w:val="20"/>
          <w:szCs w:val="20"/>
        </w:rPr>
      </w:pPr>
    </w:p>
    <w:sectPr>
      <w:headerReference r:id="rId7" w:type="first"/>
      <w:footerReference r:id="rId10" w:type="first"/>
      <w:headerReference r:id="rId5" w:type="default"/>
      <w:footerReference r:id="rId8" w:type="default"/>
      <w:headerReference r:id="rId6" w:type="even"/>
      <w:footerReference r:id="rId9" w:type="even"/>
      <w:pgSz w:w="11906" w:h="16838"/>
      <w:pgMar w:top="2098" w:right="1474" w:bottom="1984" w:left="1587" w:header="851" w:footer="992" w:gutter="0"/>
      <w:pgNumType w:fmt="decimal"/>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00007A87" w:usb1="80000000" w:usb2="00000008"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华文中宋">
    <w:altName w:val="方正书宋_GBK"/>
    <w:panose1 w:val="02010600040101010101"/>
    <w:charset w:val="86"/>
    <w:family w:val="auto"/>
    <w:pitch w:val="default"/>
    <w:sig w:usb0="00000000" w:usb1="00000000" w:usb2="00000010" w:usb3="00000000" w:csb0="0004009F" w:csb1="00000000"/>
  </w:font>
  <w:font w:name="等线 Light">
    <w:altName w:val="宋体"/>
    <w:panose1 w:val="02010600030101010101"/>
    <w:charset w:val="86"/>
    <w:family w:val="auto"/>
    <w:pitch w:val="default"/>
    <w:sig w:usb0="00000000" w:usb1="00000000" w:usb2="00000016" w:usb3="00000000" w:csb0="0004000F" w:csb1="00000000"/>
  </w:font>
  <w:font w:name="Nimbus Roman No9 L">
    <w:panose1 w:val="00000000000000000000"/>
    <w:charset w:val="00"/>
    <w:family w:val="auto"/>
    <w:pitch w:val="default"/>
    <w:sig w:usb0="00000000" w:usb1="00000000" w:usb2="00000000" w:usb3="00000000" w:csb0="00000000" w:csb1="00000000"/>
  </w:font>
  <w:font w:name="方正小标宋简体">
    <w:panose1 w:val="02000000000000000000"/>
    <w:charset w:val="86"/>
    <w:family w:val="auto"/>
    <w:pitch w:val="default"/>
    <w:sig w:usb0="A00002BF" w:usb1="184F6CFA" w:usb2="00000012" w:usb3="00000000" w:csb0="00040001" w:csb1="00000000"/>
  </w:font>
  <w:font w:name="楷体">
    <w:panose1 w:val="02010609060101010101"/>
    <w:charset w:val="86"/>
    <w:family w:val="modern"/>
    <w:pitch w:val="default"/>
    <w:sig w:usb0="800002BF" w:usb1="38CF7CFA" w:usb2="00000016" w:usb3="00000000" w:csb0="00040001" w:csb1="00000000"/>
  </w:font>
  <w:font w:name="等线">
    <w:altName w:val="宋体"/>
    <w:panose1 w:val="02010600030101010101"/>
    <w:charset w:val="86"/>
    <w:family w:val="auto"/>
    <w:pitch w:val="default"/>
    <w:sig w:usb0="00000000" w:usb1="00000000" w:usb2="00000016" w:usb3="00000000" w:csb0="0004000F" w:csb1="00000000"/>
  </w:font>
  <w:font w:name="方正宋体S-超大字符集">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ind w:firstLine="360"/>
    </w:pPr>
    <w:r>
      <w:rPr>
        <w:sz w:val="18"/>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-508635</wp:posOffset>
              </wp:positionV>
              <wp:extent cx="1103630" cy="467360"/>
              <wp:effectExtent l="0" t="0" r="0" b="0"/>
              <wp:wrapNone/>
              <wp:docPr id="2" name="文本框 2"/>
              <wp:cNvGraphicFramePr/>
              <a:graphic xmlns:a="http://schemas.openxmlformats.org/drawingml/2006/main">
                <a:graphicData uri="http://schemas.microsoft.com/office/word/2010/wordprocessingShape">
                  <wps:wsp>
                    <wps:cNvSpPr txBox="true"/>
                    <wps:spPr>
                      <a:xfrm>
                        <a:off x="0" y="0"/>
                        <a:ext cx="1103630" cy="46736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r>
                            <w:rPr>
                              <w:rFonts w:hint="eastAsia" w:ascii="宋体" w:hAnsi="宋体" w:eastAsia="宋体" w:cs="宋体"/>
                              <w:sz w:val="28"/>
                              <w:szCs w:val="28"/>
                            </w:rPr>
                            <w:t xml:space="preserve">— </w:t>
                          </w:r>
                          <w:r>
                            <w:rPr>
                              <w:rFonts w:hint="default" w:ascii="Times New Roman" w:hAnsi="Times New Roman" w:eastAsia="宋体" w:cs="Times New Roman"/>
                              <w:sz w:val="28"/>
                              <w:szCs w:val="28"/>
                            </w:rPr>
                            <w:fldChar w:fldCharType="begin"/>
                          </w:r>
                          <w:r>
                            <w:rPr>
                              <w:rFonts w:hint="default" w:ascii="Times New Roman" w:hAnsi="Times New Roman" w:eastAsia="宋体" w:cs="Times New Roman"/>
                              <w:sz w:val="28"/>
                              <w:szCs w:val="28"/>
                            </w:rPr>
                            <w:instrText xml:space="preserve"> PAGE  \* MERGEFORMAT </w:instrText>
                          </w:r>
                          <w:r>
                            <w:rPr>
                              <w:rFonts w:hint="default" w:ascii="Times New Roman" w:hAnsi="Times New Roman" w:eastAsia="宋体" w:cs="Times New Roman"/>
                              <w:sz w:val="28"/>
                              <w:szCs w:val="28"/>
                            </w:rPr>
                            <w:fldChar w:fldCharType="separate"/>
                          </w:r>
                          <w:r>
                            <w:rPr>
                              <w:rFonts w:hint="default" w:ascii="Times New Roman" w:hAnsi="Times New Roman" w:eastAsia="宋体" w:cs="Times New Roman"/>
                              <w:sz w:val="28"/>
                              <w:szCs w:val="28"/>
                            </w:rPr>
                            <w:t>- 1 -</w:t>
                          </w:r>
                          <w:r>
                            <w:rPr>
                              <w:rFonts w:hint="default" w:ascii="Times New Roman" w:hAnsi="Times New Roman" w:eastAsia="宋体" w:cs="Times New Roman"/>
                              <w:sz w:val="28"/>
                              <w:szCs w:val="28"/>
                            </w:rPr>
                            <w:fldChar w:fldCharType="end"/>
                          </w:r>
                          <w:r>
                            <w:rPr>
                              <w:rFonts w:hint="eastAsia" w:ascii="宋体" w:hAnsi="宋体" w:eastAsia="宋体" w:cs="宋体"/>
                              <w:sz w:val="28"/>
                              <w:szCs w:val="28"/>
                            </w:rPr>
                            <w:t xml:space="preserve"> —</w:t>
                          </w:r>
                        </w:p>
                      </w:txbxContent>
                    </wps:txbx>
                    <wps:bodyPr rot="0" spcFirstLastPara="0" vertOverflow="overflow" horzOverflow="overflow" vert="horz" wrap="square" lIns="0" tIns="0" rIns="0" bIns="0" numCol="1" spcCol="0" rtlCol="0" fromWordArt="false" anchor="t" anchorCtr="false" forceAA="false" upright="false" compatLnSpc="true">
                      <a:noAutofit/>
                    </wps:bodyPr>
                  </wps:wsp>
                </a:graphicData>
              </a:graphic>
            </wp:anchor>
          </w:drawing>
        </mc:Choice>
        <mc:Fallback>
          <w:pict>
            <v:shape id="_x0000_s1026" o:spid="_x0000_s1026" o:spt="202" type="#_x0000_t202" style="position:absolute;left:0pt;margin-top:-40.05pt;height:36.8pt;width:86.9pt;mso-position-horizontal:outside;mso-position-horizontal-relative:margin;z-index:251658240;mso-width-relative:page;mso-height-relative:page;" filled="f" stroked="f" coordsize="21600,21600" o:gfxdata="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">
              <v:fill on="f" focussize="0,0"/>
              <v:stroke on="f" weight="0.5pt"/>
              <v:imagedata o:title=""/>
              <o:lock v:ext="edit" aspectratio="f"/>
              <v:textbox inset="0mm,0mm,0mm,0mm">
                <w:txbxContent>
                  <w:p>
                    <w:pPr>
                      <w:pStyle w:val="8"/>
                    </w:pPr>
                    <w:r>
                      <w:rPr>
                        <w:rFonts w:hint="eastAsia" w:ascii="宋体" w:hAnsi="宋体" w:eastAsia="宋体" w:cs="宋体"/>
                        <w:sz w:val="28"/>
                        <w:szCs w:val="28"/>
                      </w:rPr>
                      <w:t xml:space="preserve">— </w:t>
                    </w:r>
                    <w:r>
                      <w:rPr>
                        <w:rFonts w:hint="default" w:ascii="Times New Roman" w:hAnsi="Times New Roman" w:eastAsia="宋体" w:cs="Times New Roman"/>
                        <w:sz w:val="28"/>
                        <w:szCs w:val="28"/>
                      </w:rPr>
                      <w:fldChar w:fldCharType="begin"/>
                    </w:r>
                    <w:r>
                      <w:rPr>
                        <w:rFonts w:hint="default" w:ascii="Times New Roman" w:hAnsi="Times New Roman" w:eastAsia="宋体" w:cs="Times New Roman"/>
                        <w:sz w:val="28"/>
                        <w:szCs w:val="28"/>
                      </w:rPr>
                      <w:instrText xml:space="preserve"> PAGE  \* MERGEFORMAT </w:instrText>
                    </w:r>
                    <w:r>
                      <w:rPr>
                        <w:rFonts w:hint="default" w:ascii="Times New Roman" w:hAnsi="Times New Roman" w:eastAsia="宋体" w:cs="Times New Roman"/>
                        <w:sz w:val="28"/>
                        <w:szCs w:val="28"/>
                      </w:rPr>
                      <w:fldChar w:fldCharType="separate"/>
                    </w:r>
                    <w:r>
                      <w:rPr>
                        <w:rFonts w:hint="default" w:ascii="Times New Roman" w:hAnsi="Times New Roman" w:eastAsia="宋体" w:cs="Times New Roman"/>
                        <w:sz w:val="28"/>
                        <w:szCs w:val="28"/>
                      </w:rPr>
                      <w:t>- 1 -</w:t>
                    </w:r>
                    <w:r>
                      <w:rPr>
                        <w:rFonts w:hint="default" w:ascii="Times New Roman" w:hAnsi="Times New Roman" w:eastAsia="宋体" w:cs="Times New Roman"/>
                        <w:sz w:val="28"/>
                        <w:szCs w:val="28"/>
                      </w:rPr>
                      <w:fldChar w:fldCharType="end"/>
                    </w:r>
                    <w:r>
                      <w:rPr>
                        <w:rFonts w:hint="eastAsia" w:ascii="宋体" w:hAnsi="宋体" w:eastAsia="宋体" w:cs="宋体"/>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64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AFF9030"/>
    <w:multiLevelType w:val="singleLevel"/>
    <w:tmpl w:val="8AFF9030"/>
    <w:lvl w:ilvl="0" w:tentative="0">
      <w:start w:val="7"/>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removePersonalInformation/>
  <w:displayBackgroundShape w:val="true"/>
  <w:trackRevisions w:val="true"/>
  <w:documentProtection w:enforcement="0"/>
  <w:defaultTabStop w:val="420"/>
  <w:drawingGridHorizontalSpacing w:val="160"/>
  <w:drawingGridVerticalSpacing w:val="435"/>
  <w:noPunctuationKerning w:val="true"/>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68F4"/>
    <w:rsid w:val="00002222"/>
    <w:rsid w:val="000022BB"/>
    <w:rsid w:val="0000351C"/>
    <w:rsid w:val="000038D4"/>
    <w:rsid w:val="00003EA8"/>
    <w:rsid w:val="00004BC7"/>
    <w:rsid w:val="0000628F"/>
    <w:rsid w:val="0000636F"/>
    <w:rsid w:val="00007AAC"/>
    <w:rsid w:val="00011DF8"/>
    <w:rsid w:val="000136C9"/>
    <w:rsid w:val="00013827"/>
    <w:rsid w:val="00013895"/>
    <w:rsid w:val="00014208"/>
    <w:rsid w:val="000144F3"/>
    <w:rsid w:val="00015373"/>
    <w:rsid w:val="00016A9E"/>
    <w:rsid w:val="00016DB5"/>
    <w:rsid w:val="00016DD1"/>
    <w:rsid w:val="00017241"/>
    <w:rsid w:val="00022BA4"/>
    <w:rsid w:val="00023169"/>
    <w:rsid w:val="000231AA"/>
    <w:rsid w:val="00025231"/>
    <w:rsid w:val="000263BA"/>
    <w:rsid w:val="000311CD"/>
    <w:rsid w:val="0003141E"/>
    <w:rsid w:val="00031C7D"/>
    <w:rsid w:val="00031E03"/>
    <w:rsid w:val="00031FCC"/>
    <w:rsid w:val="00034087"/>
    <w:rsid w:val="00034339"/>
    <w:rsid w:val="00035B82"/>
    <w:rsid w:val="00036D4F"/>
    <w:rsid w:val="00036EED"/>
    <w:rsid w:val="000371B7"/>
    <w:rsid w:val="0003780D"/>
    <w:rsid w:val="000401D7"/>
    <w:rsid w:val="000410E8"/>
    <w:rsid w:val="00041606"/>
    <w:rsid w:val="00042B1E"/>
    <w:rsid w:val="00042EF8"/>
    <w:rsid w:val="000433E9"/>
    <w:rsid w:val="00043833"/>
    <w:rsid w:val="000442CC"/>
    <w:rsid w:val="00044705"/>
    <w:rsid w:val="00044A70"/>
    <w:rsid w:val="00044B14"/>
    <w:rsid w:val="00045497"/>
    <w:rsid w:val="000454DE"/>
    <w:rsid w:val="00045C00"/>
    <w:rsid w:val="00045CB5"/>
    <w:rsid w:val="00046415"/>
    <w:rsid w:val="00046A11"/>
    <w:rsid w:val="00046D71"/>
    <w:rsid w:val="00046E8F"/>
    <w:rsid w:val="000479D3"/>
    <w:rsid w:val="000508B5"/>
    <w:rsid w:val="00051426"/>
    <w:rsid w:val="000517E9"/>
    <w:rsid w:val="00051A1A"/>
    <w:rsid w:val="00056C85"/>
    <w:rsid w:val="00060117"/>
    <w:rsid w:val="000607E1"/>
    <w:rsid w:val="00060A84"/>
    <w:rsid w:val="000613DB"/>
    <w:rsid w:val="000623E3"/>
    <w:rsid w:val="00062D37"/>
    <w:rsid w:val="0006359A"/>
    <w:rsid w:val="00064486"/>
    <w:rsid w:val="00065A96"/>
    <w:rsid w:val="00065BC7"/>
    <w:rsid w:val="000665CD"/>
    <w:rsid w:val="00066B23"/>
    <w:rsid w:val="0007084A"/>
    <w:rsid w:val="00071C68"/>
    <w:rsid w:val="00071E75"/>
    <w:rsid w:val="000720A5"/>
    <w:rsid w:val="00073C4D"/>
    <w:rsid w:val="00074333"/>
    <w:rsid w:val="00074882"/>
    <w:rsid w:val="00074D95"/>
    <w:rsid w:val="00080253"/>
    <w:rsid w:val="00081778"/>
    <w:rsid w:val="00082453"/>
    <w:rsid w:val="00082869"/>
    <w:rsid w:val="000829B8"/>
    <w:rsid w:val="0008452C"/>
    <w:rsid w:val="000846E6"/>
    <w:rsid w:val="00084967"/>
    <w:rsid w:val="0008548F"/>
    <w:rsid w:val="00085593"/>
    <w:rsid w:val="00085D1B"/>
    <w:rsid w:val="00086810"/>
    <w:rsid w:val="000870FB"/>
    <w:rsid w:val="000873E0"/>
    <w:rsid w:val="000903E8"/>
    <w:rsid w:val="00090625"/>
    <w:rsid w:val="00091400"/>
    <w:rsid w:val="000918DF"/>
    <w:rsid w:val="000930A6"/>
    <w:rsid w:val="000933C1"/>
    <w:rsid w:val="000936C2"/>
    <w:rsid w:val="00093F8E"/>
    <w:rsid w:val="00094445"/>
    <w:rsid w:val="00094BEB"/>
    <w:rsid w:val="00095441"/>
    <w:rsid w:val="00096721"/>
    <w:rsid w:val="00096A05"/>
    <w:rsid w:val="000A007E"/>
    <w:rsid w:val="000A0714"/>
    <w:rsid w:val="000A0B0F"/>
    <w:rsid w:val="000A0B6F"/>
    <w:rsid w:val="000A0E8F"/>
    <w:rsid w:val="000A24BC"/>
    <w:rsid w:val="000A2EC4"/>
    <w:rsid w:val="000A2FD6"/>
    <w:rsid w:val="000A3CD6"/>
    <w:rsid w:val="000A44CD"/>
    <w:rsid w:val="000A4559"/>
    <w:rsid w:val="000A46C0"/>
    <w:rsid w:val="000A57A8"/>
    <w:rsid w:val="000A64C5"/>
    <w:rsid w:val="000A70B9"/>
    <w:rsid w:val="000A7125"/>
    <w:rsid w:val="000A7274"/>
    <w:rsid w:val="000A7451"/>
    <w:rsid w:val="000B0168"/>
    <w:rsid w:val="000B0AA0"/>
    <w:rsid w:val="000B1C73"/>
    <w:rsid w:val="000B37D6"/>
    <w:rsid w:val="000B3E70"/>
    <w:rsid w:val="000B43B9"/>
    <w:rsid w:val="000B5FB6"/>
    <w:rsid w:val="000B60E5"/>
    <w:rsid w:val="000B68D6"/>
    <w:rsid w:val="000B7B4F"/>
    <w:rsid w:val="000C0B1B"/>
    <w:rsid w:val="000C2B9E"/>
    <w:rsid w:val="000C2D81"/>
    <w:rsid w:val="000C3C13"/>
    <w:rsid w:val="000C4658"/>
    <w:rsid w:val="000C5187"/>
    <w:rsid w:val="000C5610"/>
    <w:rsid w:val="000C6C3C"/>
    <w:rsid w:val="000C774F"/>
    <w:rsid w:val="000C790E"/>
    <w:rsid w:val="000D1F52"/>
    <w:rsid w:val="000D2ACD"/>
    <w:rsid w:val="000D3188"/>
    <w:rsid w:val="000D378D"/>
    <w:rsid w:val="000D3C0A"/>
    <w:rsid w:val="000D538B"/>
    <w:rsid w:val="000D547D"/>
    <w:rsid w:val="000D5793"/>
    <w:rsid w:val="000D76BD"/>
    <w:rsid w:val="000E0334"/>
    <w:rsid w:val="000E0933"/>
    <w:rsid w:val="000E14FF"/>
    <w:rsid w:val="000E2B8A"/>
    <w:rsid w:val="000E3349"/>
    <w:rsid w:val="000E4278"/>
    <w:rsid w:val="000E427C"/>
    <w:rsid w:val="000E44DB"/>
    <w:rsid w:val="000E4DD4"/>
    <w:rsid w:val="000E4E8A"/>
    <w:rsid w:val="000E56B1"/>
    <w:rsid w:val="000E57E4"/>
    <w:rsid w:val="000E5E7F"/>
    <w:rsid w:val="000E613F"/>
    <w:rsid w:val="000E6D95"/>
    <w:rsid w:val="000E73AC"/>
    <w:rsid w:val="000F112C"/>
    <w:rsid w:val="000F1C74"/>
    <w:rsid w:val="000F1F27"/>
    <w:rsid w:val="000F2014"/>
    <w:rsid w:val="000F2276"/>
    <w:rsid w:val="000F4AE3"/>
    <w:rsid w:val="000F4B31"/>
    <w:rsid w:val="000F5560"/>
    <w:rsid w:val="000F574E"/>
    <w:rsid w:val="000F59BD"/>
    <w:rsid w:val="000F7BA7"/>
    <w:rsid w:val="0010036F"/>
    <w:rsid w:val="00101F8F"/>
    <w:rsid w:val="001023C5"/>
    <w:rsid w:val="00102708"/>
    <w:rsid w:val="00103E74"/>
    <w:rsid w:val="001045E9"/>
    <w:rsid w:val="00105B4D"/>
    <w:rsid w:val="001061AC"/>
    <w:rsid w:val="001068F0"/>
    <w:rsid w:val="00107454"/>
    <w:rsid w:val="001109D4"/>
    <w:rsid w:val="00110ED6"/>
    <w:rsid w:val="00111CF8"/>
    <w:rsid w:val="00111D6D"/>
    <w:rsid w:val="0011358A"/>
    <w:rsid w:val="00115C3B"/>
    <w:rsid w:val="00116E7F"/>
    <w:rsid w:val="0012059E"/>
    <w:rsid w:val="001217FE"/>
    <w:rsid w:val="00122151"/>
    <w:rsid w:val="00123BF3"/>
    <w:rsid w:val="00123D55"/>
    <w:rsid w:val="00123D5B"/>
    <w:rsid w:val="00124C4E"/>
    <w:rsid w:val="00125072"/>
    <w:rsid w:val="001251B2"/>
    <w:rsid w:val="001262D8"/>
    <w:rsid w:val="0012653A"/>
    <w:rsid w:val="00127644"/>
    <w:rsid w:val="00127FC1"/>
    <w:rsid w:val="001300A7"/>
    <w:rsid w:val="00131C94"/>
    <w:rsid w:val="00131E19"/>
    <w:rsid w:val="00132353"/>
    <w:rsid w:val="001356F0"/>
    <w:rsid w:val="001357C7"/>
    <w:rsid w:val="00135BAB"/>
    <w:rsid w:val="001377ED"/>
    <w:rsid w:val="001379C8"/>
    <w:rsid w:val="001400A0"/>
    <w:rsid w:val="00140343"/>
    <w:rsid w:val="00140BAE"/>
    <w:rsid w:val="001411F1"/>
    <w:rsid w:val="00141234"/>
    <w:rsid w:val="001435A6"/>
    <w:rsid w:val="00143842"/>
    <w:rsid w:val="001443CC"/>
    <w:rsid w:val="0014468C"/>
    <w:rsid w:val="00144AFC"/>
    <w:rsid w:val="00145305"/>
    <w:rsid w:val="001460DF"/>
    <w:rsid w:val="00146E7C"/>
    <w:rsid w:val="001505EA"/>
    <w:rsid w:val="00151C79"/>
    <w:rsid w:val="00151DF0"/>
    <w:rsid w:val="001536CB"/>
    <w:rsid w:val="00153BBB"/>
    <w:rsid w:val="00154238"/>
    <w:rsid w:val="0015453F"/>
    <w:rsid w:val="00154A4A"/>
    <w:rsid w:val="00154E02"/>
    <w:rsid w:val="0015585C"/>
    <w:rsid w:val="001560A7"/>
    <w:rsid w:val="00156106"/>
    <w:rsid w:val="001563D7"/>
    <w:rsid w:val="00157943"/>
    <w:rsid w:val="00157DCE"/>
    <w:rsid w:val="00160664"/>
    <w:rsid w:val="0016128E"/>
    <w:rsid w:val="0016155B"/>
    <w:rsid w:val="00161A71"/>
    <w:rsid w:val="00161D8B"/>
    <w:rsid w:val="001631F4"/>
    <w:rsid w:val="001631FC"/>
    <w:rsid w:val="001635C1"/>
    <w:rsid w:val="00163C73"/>
    <w:rsid w:val="00164191"/>
    <w:rsid w:val="0016478D"/>
    <w:rsid w:val="00164AE2"/>
    <w:rsid w:val="001660E8"/>
    <w:rsid w:val="0017013D"/>
    <w:rsid w:val="00170389"/>
    <w:rsid w:val="00170767"/>
    <w:rsid w:val="00173171"/>
    <w:rsid w:val="00173245"/>
    <w:rsid w:val="00173255"/>
    <w:rsid w:val="00174050"/>
    <w:rsid w:val="00174AD1"/>
    <w:rsid w:val="00174D89"/>
    <w:rsid w:val="00175BBB"/>
    <w:rsid w:val="00175E4A"/>
    <w:rsid w:val="001761BD"/>
    <w:rsid w:val="00176E18"/>
    <w:rsid w:val="00177782"/>
    <w:rsid w:val="00180605"/>
    <w:rsid w:val="001818F7"/>
    <w:rsid w:val="0018356B"/>
    <w:rsid w:val="00183C70"/>
    <w:rsid w:val="00184A5E"/>
    <w:rsid w:val="00184F92"/>
    <w:rsid w:val="001859C9"/>
    <w:rsid w:val="00185D0B"/>
    <w:rsid w:val="001875A9"/>
    <w:rsid w:val="00187713"/>
    <w:rsid w:val="00187A8C"/>
    <w:rsid w:val="00187C6B"/>
    <w:rsid w:val="0019022D"/>
    <w:rsid w:val="001906A1"/>
    <w:rsid w:val="00190828"/>
    <w:rsid w:val="00190E4D"/>
    <w:rsid w:val="00190E98"/>
    <w:rsid w:val="00190EFB"/>
    <w:rsid w:val="00191A43"/>
    <w:rsid w:val="001926E6"/>
    <w:rsid w:val="0019283E"/>
    <w:rsid w:val="00194012"/>
    <w:rsid w:val="001941FB"/>
    <w:rsid w:val="0019438A"/>
    <w:rsid w:val="00194D2A"/>
    <w:rsid w:val="0019552E"/>
    <w:rsid w:val="00195536"/>
    <w:rsid w:val="00197B93"/>
    <w:rsid w:val="00197CC1"/>
    <w:rsid w:val="00197F5E"/>
    <w:rsid w:val="001A022F"/>
    <w:rsid w:val="001A068A"/>
    <w:rsid w:val="001A07DA"/>
    <w:rsid w:val="001A175A"/>
    <w:rsid w:val="001A517F"/>
    <w:rsid w:val="001A6F35"/>
    <w:rsid w:val="001A7342"/>
    <w:rsid w:val="001A773C"/>
    <w:rsid w:val="001A7A3E"/>
    <w:rsid w:val="001B0AF1"/>
    <w:rsid w:val="001B1AA4"/>
    <w:rsid w:val="001B3050"/>
    <w:rsid w:val="001B4CF6"/>
    <w:rsid w:val="001B4EAF"/>
    <w:rsid w:val="001B4F7B"/>
    <w:rsid w:val="001B4FEA"/>
    <w:rsid w:val="001B5DEC"/>
    <w:rsid w:val="001B76A0"/>
    <w:rsid w:val="001C023F"/>
    <w:rsid w:val="001C040A"/>
    <w:rsid w:val="001C0E60"/>
    <w:rsid w:val="001C383C"/>
    <w:rsid w:val="001C4105"/>
    <w:rsid w:val="001C6F40"/>
    <w:rsid w:val="001C7216"/>
    <w:rsid w:val="001D12C6"/>
    <w:rsid w:val="001D2669"/>
    <w:rsid w:val="001D2A1B"/>
    <w:rsid w:val="001D2C7C"/>
    <w:rsid w:val="001D49F4"/>
    <w:rsid w:val="001D4E2B"/>
    <w:rsid w:val="001D5269"/>
    <w:rsid w:val="001D546F"/>
    <w:rsid w:val="001D6C15"/>
    <w:rsid w:val="001D73B7"/>
    <w:rsid w:val="001D7DC1"/>
    <w:rsid w:val="001E062A"/>
    <w:rsid w:val="001E0D8F"/>
    <w:rsid w:val="001E1197"/>
    <w:rsid w:val="001E11DD"/>
    <w:rsid w:val="001E3E3B"/>
    <w:rsid w:val="001E428D"/>
    <w:rsid w:val="001E478A"/>
    <w:rsid w:val="001E4793"/>
    <w:rsid w:val="001E7EA4"/>
    <w:rsid w:val="001F07D7"/>
    <w:rsid w:val="001F0F9D"/>
    <w:rsid w:val="001F1FEB"/>
    <w:rsid w:val="001F2648"/>
    <w:rsid w:val="001F2916"/>
    <w:rsid w:val="001F3246"/>
    <w:rsid w:val="001F373E"/>
    <w:rsid w:val="001F490A"/>
    <w:rsid w:val="001F4EC4"/>
    <w:rsid w:val="001F53B5"/>
    <w:rsid w:val="001F57D7"/>
    <w:rsid w:val="001F67E2"/>
    <w:rsid w:val="001F69C1"/>
    <w:rsid w:val="001F6BEA"/>
    <w:rsid w:val="001F730D"/>
    <w:rsid w:val="0020072A"/>
    <w:rsid w:val="0020205C"/>
    <w:rsid w:val="00202563"/>
    <w:rsid w:val="00202AD2"/>
    <w:rsid w:val="002036E8"/>
    <w:rsid w:val="00203D77"/>
    <w:rsid w:val="00204204"/>
    <w:rsid w:val="00204FA0"/>
    <w:rsid w:val="00205088"/>
    <w:rsid w:val="00205E15"/>
    <w:rsid w:val="002066BC"/>
    <w:rsid w:val="00207B35"/>
    <w:rsid w:val="002104B5"/>
    <w:rsid w:val="00210707"/>
    <w:rsid w:val="002108AB"/>
    <w:rsid w:val="00211762"/>
    <w:rsid w:val="00211D29"/>
    <w:rsid w:val="00213B83"/>
    <w:rsid w:val="00214A0F"/>
    <w:rsid w:val="00216740"/>
    <w:rsid w:val="002167AE"/>
    <w:rsid w:val="0021749D"/>
    <w:rsid w:val="00217F2B"/>
    <w:rsid w:val="002237AD"/>
    <w:rsid w:val="002239B9"/>
    <w:rsid w:val="00224CD8"/>
    <w:rsid w:val="0022640E"/>
    <w:rsid w:val="00226470"/>
    <w:rsid w:val="002278C7"/>
    <w:rsid w:val="002279BB"/>
    <w:rsid w:val="0023089C"/>
    <w:rsid w:val="002309FC"/>
    <w:rsid w:val="00230BC2"/>
    <w:rsid w:val="002314F1"/>
    <w:rsid w:val="00231D1A"/>
    <w:rsid w:val="00231DA9"/>
    <w:rsid w:val="00232295"/>
    <w:rsid w:val="0023283E"/>
    <w:rsid w:val="00232FEF"/>
    <w:rsid w:val="00233934"/>
    <w:rsid w:val="00233EEE"/>
    <w:rsid w:val="00234507"/>
    <w:rsid w:val="00234867"/>
    <w:rsid w:val="00235288"/>
    <w:rsid w:val="00235432"/>
    <w:rsid w:val="00235F6D"/>
    <w:rsid w:val="0023625E"/>
    <w:rsid w:val="00236DFF"/>
    <w:rsid w:val="0023717F"/>
    <w:rsid w:val="002378ED"/>
    <w:rsid w:val="00237ADC"/>
    <w:rsid w:val="00237E15"/>
    <w:rsid w:val="00240281"/>
    <w:rsid w:val="00240517"/>
    <w:rsid w:val="00241848"/>
    <w:rsid w:val="00241B47"/>
    <w:rsid w:val="002420EC"/>
    <w:rsid w:val="00244762"/>
    <w:rsid w:val="00244F3D"/>
    <w:rsid w:val="00245A7B"/>
    <w:rsid w:val="0024686B"/>
    <w:rsid w:val="00247715"/>
    <w:rsid w:val="002506D9"/>
    <w:rsid w:val="0025081B"/>
    <w:rsid w:val="00250B31"/>
    <w:rsid w:val="00250D23"/>
    <w:rsid w:val="00252CDD"/>
    <w:rsid w:val="00252DC3"/>
    <w:rsid w:val="002561F5"/>
    <w:rsid w:val="00256BFE"/>
    <w:rsid w:val="0026026D"/>
    <w:rsid w:val="00260D15"/>
    <w:rsid w:val="00261412"/>
    <w:rsid w:val="00261746"/>
    <w:rsid w:val="002618F7"/>
    <w:rsid w:val="0026268C"/>
    <w:rsid w:val="00262D36"/>
    <w:rsid w:val="0026422D"/>
    <w:rsid w:val="00266031"/>
    <w:rsid w:val="002665F7"/>
    <w:rsid w:val="002669DE"/>
    <w:rsid w:val="00267236"/>
    <w:rsid w:val="0026797C"/>
    <w:rsid w:val="002706D0"/>
    <w:rsid w:val="00270743"/>
    <w:rsid w:val="002710A0"/>
    <w:rsid w:val="0027186C"/>
    <w:rsid w:val="00271F3F"/>
    <w:rsid w:val="00271F54"/>
    <w:rsid w:val="0027241D"/>
    <w:rsid w:val="002728FC"/>
    <w:rsid w:val="00273264"/>
    <w:rsid w:val="0027349B"/>
    <w:rsid w:val="002747DD"/>
    <w:rsid w:val="0027562C"/>
    <w:rsid w:val="00275BB4"/>
    <w:rsid w:val="00275DED"/>
    <w:rsid w:val="002764F6"/>
    <w:rsid w:val="0027669A"/>
    <w:rsid w:val="00276748"/>
    <w:rsid w:val="002768AF"/>
    <w:rsid w:val="00276E5D"/>
    <w:rsid w:val="00277A9A"/>
    <w:rsid w:val="0028378B"/>
    <w:rsid w:val="0028399E"/>
    <w:rsid w:val="00284635"/>
    <w:rsid w:val="00286167"/>
    <w:rsid w:val="002873A5"/>
    <w:rsid w:val="002876BE"/>
    <w:rsid w:val="002910A2"/>
    <w:rsid w:val="00291322"/>
    <w:rsid w:val="00291E87"/>
    <w:rsid w:val="00294335"/>
    <w:rsid w:val="00296121"/>
    <w:rsid w:val="002A0DBB"/>
    <w:rsid w:val="002A0EEE"/>
    <w:rsid w:val="002A16B8"/>
    <w:rsid w:val="002A2200"/>
    <w:rsid w:val="002A2ECC"/>
    <w:rsid w:val="002A3DD7"/>
    <w:rsid w:val="002A423A"/>
    <w:rsid w:val="002A437C"/>
    <w:rsid w:val="002A60B5"/>
    <w:rsid w:val="002A6781"/>
    <w:rsid w:val="002A69B4"/>
    <w:rsid w:val="002A7331"/>
    <w:rsid w:val="002A7A0C"/>
    <w:rsid w:val="002B02AE"/>
    <w:rsid w:val="002B040D"/>
    <w:rsid w:val="002B0F21"/>
    <w:rsid w:val="002B12B0"/>
    <w:rsid w:val="002B1552"/>
    <w:rsid w:val="002B188E"/>
    <w:rsid w:val="002B45A1"/>
    <w:rsid w:val="002B6AA7"/>
    <w:rsid w:val="002B7C45"/>
    <w:rsid w:val="002B7C76"/>
    <w:rsid w:val="002C024E"/>
    <w:rsid w:val="002C1192"/>
    <w:rsid w:val="002C1D88"/>
    <w:rsid w:val="002C3336"/>
    <w:rsid w:val="002C52D5"/>
    <w:rsid w:val="002C52E3"/>
    <w:rsid w:val="002C5479"/>
    <w:rsid w:val="002C5712"/>
    <w:rsid w:val="002C590A"/>
    <w:rsid w:val="002C5B6F"/>
    <w:rsid w:val="002C5EBE"/>
    <w:rsid w:val="002D0031"/>
    <w:rsid w:val="002D0262"/>
    <w:rsid w:val="002D2522"/>
    <w:rsid w:val="002D4618"/>
    <w:rsid w:val="002D47D0"/>
    <w:rsid w:val="002D5D3C"/>
    <w:rsid w:val="002D5FB7"/>
    <w:rsid w:val="002D6DD5"/>
    <w:rsid w:val="002E1817"/>
    <w:rsid w:val="002E1E15"/>
    <w:rsid w:val="002E1F1E"/>
    <w:rsid w:val="002E1F26"/>
    <w:rsid w:val="002E2A4F"/>
    <w:rsid w:val="002E2F22"/>
    <w:rsid w:val="002E3AAB"/>
    <w:rsid w:val="002E428E"/>
    <w:rsid w:val="002E5B60"/>
    <w:rsid w:val="002E5D10"/>
    <w:rsid w:val="002E5D76"/>
    <w:rsid w:val="002E6611"/>
    <w:rsid w:val="002E6757"/>
    <w:rsid w:val="002E6D19"/>
    <w:rsid w:val="002E736F"/>
    <w:rsid w:val="002F000C"/>
    <w:rsid w:val="002F0836"/>
    <w:rsid w:val="002F0B63"/>
    <w:rsid w:val="002F0C21"/>
    <w:rsid w:val="002F3492"/>
    <w:rsid w:val="002F3AD8"/>
    <w:rsid w:val="002F43D5"/>
    <w:rsid w:val="002F52E4"/>
    <w:rsid w:val="002F64A9"/>
    <w:rsid w:val="002F69D7"/>
    <w:rsid w:val="002F7CDC"/>
    <w:rsid w:val="00300571"/>
    <w:rsid w:val="00301A57"/>
    <w:rsid w:val="00302B05"/>
    <w:rsid w:val="00303B72"/>
    <w:rsid w:val="00304001"/>
    <w:rsid w:val="0030436B"/>
    <w:rsid w:val="00304372"/>
    <w:rsid w:val="00305DAD"/>
    <w:rsid w:val="00305FCF"/>
    <w:rsid w:val="00306302"/>
    <w:rsid w:val="003104C4"/>
    <w:rsid w:val="003104FE"/>
    <w:rsid w:val="00311317"/>
    <w:rsid w:val="00311547"/>
    <w:rsid w:val="00311993"/>
    <w:rsid w:val="003123D6"/>
    <w:rsid w:val="003127FD"/>
    <w:rsid w:val="00313093"/>
    <w:rsid w:val="003135A2"/>
    <w:rsid w:val="00313FEF"/>
    <w:rsid w:val="0031427E"/>
    <w:rsid w:val="00314877"/>
    <w:rsid w:val="003152E8"/>
    <w:rsid w:val="00315DDD"/>
    <w:rsid w:val="00315E20"/>
    <w:rsid w:val="0031685C"/>
    <w:rsid w:val="003175E5"/>
    <w:rsid w:val="003179B9"/>
    <w:rsid w:val="00317DC6"/>
    <w:rsid w:val="0032005B"/>
    <w:rsid w:val="00320165"/>
    <w:rsid w:val="003202C4"/>
    <w:rsid w:val="003209A9"/>
    <w:rsid w:val="0032119F"/>
    <w:rsid w:val="00325ED7"/>
    <w:rsid w:val="00326705"/>
    <w:rsid w:val="003273AF"/>
    <w:rsid w:val="003274D8"/>
    <w:rsid w:val="00327B8A"/>
    <w:rsid w:val="00327D73"/>
    <w:rsid w:val="00332177"/>
    <w:rsid w:val="00333A61"/>
    <w:rsid w:val="003349E0"/>
    <w:rsid w:val="00335C21"/>
    <w:rsid w:val="00335F9B"/>
    <w:rsid w:val="003372E9"/>
    <w:rsid w:val="00342488"/>
    <w:rsid w:val="003460ED"/>
    <w:rsid w:val="00346633"/>
    <w:rsid w:val="00346A2D"/>
    <w:rsid w:val="00347C81"/>
    <w:rsid w:val="0035072B"/>
    <w:rsid w:val="003511F0"/>
    <w:rsid w:val="003513B3"/>
    <w:rsid w:val="003524FE"/>
    <w:rsid w:val="003535C3"/>
    <w:rsid w:val="00355375"/>
    <w:rsid w:val="00355558"/>
    <w:rsid w:val="00355EFE"/>
    <w:rsid w:val="00356537"/>
    <w:rsid w:val="00356F1B"/>
    <w:rsid w:val="00357B11"/>
    <w:rsid w:val="0036073E"/>
    <w:rsid w:val="003610E8"/>
    <w:rsid w:val="00361BB2"/>
    <w:rsid w:val="00362626"/>
    <w:rsid w:val="00364A11"/>
    <w:rsid w:val="00364C9A"/>
    <w:rsid w:val="00364E99"/>
    <w:rsid w:val="0036576D"/>
    <w:rsid w:val="00367176"/>
    <w:rsid w:val="00367661"/>
    <w:rsid w:val="00367716"/>
    <w:rsid w:val="00367AFD"/>
    <w:rsid w:val="00367EAC"/>
    <w:rsid w:val="00372671"/>
    <w:rsid w:val="00372FE2"/>
    <w:rsid w:val="003743BB"/>
    <w:rsid w:val="00374E61"/>
    <w:rsid w:val="003753F2"/>
    <w:rsid w:val="003761AF"/>
    <w:rsid w:val="003762FE"/>
    <w:rsid w:val="00376AAB"/>
    <w:rsid w:val="00376C25"/>
    <w:rsid w:val="00376DD4"/>
    <w:rsid w:val="00376DEE"/>
    <w:rsid w:val="003773F1"/>
    <w:rsid w:val="00377DCD"/>
    <w:rsid w:val="0038145E"/>
    <w:rsid w:val="00381D52"/>
    <w:rsid w:val="00381EAF"/>
    <w:rsid w:val="00382F7E"/>
    <w:rsid w:val="003834EC"/>
    <w:rsid w:val="00384782"/>
    <w:rsid w:val="00384D41"/>
    <w:rsid w:val="00384E8F"/>
    <w:rsid w:val="003866B8"/>
    <w:rsid w:val="00387DCC"/>
    <w:rsid w:val="00390219"/>
    <w:rsid w:val="00390C0E"/>
    <w:rsid w:val="00390E61"/>
    <w:rsid w:val="00393BF3"/>
    <w:rsid w:val="00394C05"/>
    <w:rsid w:val="003956CB"/>
    <w:rsid w:val="00396047"/>
    <w:rsid w:val="003966DD"/>
    <w:rsid w:val="003970BB"/>
    <w:rsid w:val="0039726D"/>
    <w:rsid w:val="003972B2"/>
    <w:rsid w:val="003972D3"/>
    <w:rsid w:val="003976D9"/>
    <w:rsid w:val="003A0468"/>
    <w:rsid w:val="003A0D92"/>
    <w:rsid w:val="003A1112"/>
    <w:rsid w:val="003A1A5F"/>
    <w:rsid w:val="003A263B"/>
    <w:rsid w:val="003A3F24"/>
    <w:rsid w:val="003A3F6A"/>
    <w:rsid w:val="003A4C8B"/>
    <w:rsid w:val="003A5F24"/>
    <w:rsid w:val="003A7AE8"/>
    <w:rsid w:val="003A7C58"/>
    <w:rsid w:val="003B0D0B"/>
    <w:rsid w:val="003B1AAB"/>
    <w:rsid w:val="003B1AC8"/>
    <w:rsid w:val="003B249C"/>
    <w:rsid w:val="003B307E"/>
    <w:rsid w:val="003B416A"/>
    <w:rsid w:val="003B52E3"/>
    <w:rsid w:val="003B57F8"/>
    <w:rsid w:val="003B5A25"/>
    <w:rsid w:val="003C1140"/>
    <w:rsid w:val="003C14EC"/>
    <w:rsid w:val="003C1D5B"/>
    <w:rsid w:val="003C1F2D"/>
    <w:rsid w:val="003C2AAE"/>
    <w:rsid w:val="003C2AEE"/>
    <w:rsid w:val="003C423D"/>
    <w:rsid w:val="003C4807"/>
    <w:rsid w:val="003C688F"/>
    <w:rsid w:val="003C79D5"/>
    <w:rsid w:val="003D1A17"/>
    <w:rsid w:val="003D221D"/>
    <w:rsid w:val="003D2C79"/>
    <w:rsid w:val="003D372B"/>
    <w:rsid w:val="003D37F4"/>
    <w:rsid w:val="003D39B4"/>
    <w:rsid w:val="003D4E9E"/>
    <w:rsid w:val="003D5224"/>
    <w:rsid w:val="003D5859"/>
    <w:rsid w:val="003E0053"/>
    <w:rsid w:val="003E00BB"/>
    <w:rsid w:val="003E036B"/>
    <w:rsid w:val="003E05EF"/>
    <w:rsid w:val="003E08DE"/>
    <w:rsid w:val="003E0B42"/>
    <w:rsid w:val="003E1FF4"/>
    <w:rsid w:val="003E2151"/>
    <w:rsid w:val="003E3356"/>
    <w:rsid w:val="003E34EE"/>
    <w:rsid w:val="003E3866"/>
    <w:rsid w:val="003E6603"/>
    <w:rsid w:val="003E6686"/>
    <w:rsid w:val="003E6910"/>
    <w:rsid w:val="003E6CDD"/>
    <w:rsid w:val="003F1051"/>
    <w:rsid w:val="003F1087"/>
    <w:rsid w:val="003F1277"/>
    <w:rsid w:val="003F1673"/>
    <w:rsid w:val="003F1C66"/>
    <w:rsid w:val="003F2403"/>
    <w:rsid w:val="003F27A4"/>
    <w:rsid w:val="003F27E3"/>
    <w:rsid w:val="003F3C39"/>
    <w:rsid w:val="003F406B"/>
    <w:rsid w:val="003F41FA"/>
    <w:rsid w:val="003F4571"/>
    <w:rsid w:val="003F51C3"/>
    <w:rsid w:val="003F6F25"/>
    <w:rsid w:val="0040034C"/>
    <w:rsid w:val="004007A9"/>
    <w:rsid w:val="004015F6"/>
    <w:rsid w:val="00401E68"/>
    <w:rsid w:val="004021BF"/>
    <w:rsid w:val="004025DC"/>
    <w:rsid w:val="0040697A"/>
    <w:rsid w:val="004070DB"/>
    <w:rsid w:val="00407B1B"/>
    <w:rsid w:val="00407DA6"/>
    <w:rsid w:val="004111FB"/>
    <w:rsid w:val="00412272"/>
    <w:rsid w:val="00413307"/>
    <w:rsid w:val="004138C4"/>
    <w:rsid w:val="004138FA"/>
    <w:rsid w:val="00413A80"/>
    <w:rsid w:val="004149C5"/>
    <w:rsid w:val="00414C69"/>
    <w:rsid w:val="00414DF6"/>
    <w:rsid w:val="004155DB"/>
    <w:rsid w:val="00415A50"/>
    <w:rsid w:val="004162EF"/>
    <w:rsid w:val="0041639A"/>
    <w:rsid w:val="0041671D"/>
    <w:rsid w:val="0042061E"/>
    <w:rsid w:val="00420E87"/>
    <w:rsid w:val="00421894"/>
    <w:rsid w:val="00421AB0"/>
    <w:rsid w:val="00424FAB"/>
    <w:rsid w:val="00426C66"/>
    <w:rsid w:val="00427169"/>
    <w:rsid w:val="00427874"/>
    <w:rsid w:val="00430188"/>
    <w:rsid w:val="00430E7F"/>
    <w:rsid w:val="00431CAF"/>
    <w:rsid w:val="00434F1A"/>
    <w:rsid w:val="0044033E"/>
    <w:rsid w:val="004407DF"/>
    <w:rsid w:val="00440B80"/>
    <w:rsid w:val="0044114C"/>
    <w:rsid w:val="004425DF"/>
    <w:rsid w:val="00442B07"/>
    <w:rsid w:val="00444039"/>
    <w:rsid w:val="0044597D"/>
    <w:rsid w:val="00446EEE"/>
    <w:rsid w:val="0044742D"/>
    <w:rsid w:val="00447578"/>
    <w:rsid w:val="004476C2"/>
    <w:rsid w:val="00447AFE"/>
    <w:rsid w:val="00447BD7"/>
    <w:rsid w:val="004502FA"/>
    <w:rsid w:val="004513D5"/>
    <w:rsid w:val="00451602"/>
    <w:rsid w:val="00451CC1"/>
    <w:rsid w:val="00453076"/>
    <w:rsid w:val="00453549"/>
    <w:rsid w:val="00455101"/>
    <w:rsid w:val="00455117"/>
    <w:rsid w:val="0045553B"/>
    <w:rsid w:val="00455816"/>
    <w:rsid w:val="00456732"/>
    <w:rsid w:val="00456A92"/>
    <w:rsid w:val="004577EB"/>
    <w:rsid w:val="00460027"/>
    <w:rsid w:val="00461376"/>
    <w:rsid w:val="004613C5"/>
    <w:rsid w:val="00461E08"/>
    <w:rsid w:val="004624FD"/>
    <w:rsid w:val="00463BA9"/>
    <w:rsid w:val="00464943"/>
    <w:rsid w:val="00465098"/>
    <w:rsid w:val="00466C02"/>
    <w:rsid w:val="00467A18"/>
    <w:rsid w:val="00470013"/>
    <w:rsid w:val="00471070"/>
    <w:rsid w:val="0047161E"/>
    <w:rsid w:val="00471B29"/>
    <w:rsid w:val="00471DA7"/>
    <w:rsid w:val="00471DF5"/>
    <w:rsid w:val="004721A1"/>
    <w:rsid w:val="004721F0"/>
    <w:rsid w:val="00472E63"/>
    <w:rsid w:val="004733B5"/>
    <w:rsid w:val="004734FA"/>
    <w:rsid w:val="0047401B"/>
    <w:rsid w:val="004741F3"/>
    <w:rsid w:val="00475D27"/>
    <w:rsid w:val="00476C56"/>
    <w:rsid w:val="00477108"/>
    <w:rsid w:val="00477686"/>
    <w:rsid w:val="00477D80"/>
    <w:rsid w:val="004809AD"/>
    <w:rsid w:val="00482736"/>
    <w:rsid w:val="00482B10"/>
    <w:rsid w:val="004838C4"/>
    <w:rsid w:val="004849EE"/>
    <w:rsid w:val="00485607"/>
    <w:rsid w:val="00485BC5"/>
    <w:rsid w:val="004869F4"/>
    <w:rsid w:val="0048740B"/>
    <w:rsid w:val="0048782A"/>
    <w:rsid w:val="00487D62"/>
    <w:rsid w:val="00490901"/>
    <w:rsid w:val="0049178C"/>
    <w:rsid w:val="00492965"/>
    <w:rsid w:val="004929E1"/>
    <w:rsid w:val="00493390"/>
    <w:rsid w:val="00493EB1"/>
    <w:rsid w:val="00495304"/>
    <w:rsid w:val="004961DB"/>
    <w:rsid w:val="00496428"/>
    <w:rsid w:val="00497DF4"/>
    <w:rsid w:val="004A0791"/>
    <w:rsid w:val="004A14D4"/>
    <w:rsid w:val="004A1DEF"/>
    <w:rsid w:val="004A20B3"/>
    <w:rsid w:val="004A29B3"/>
    <w:rsid w:val="004A2E3F"/>
    <w:rsid w:val="004A551D"/>
    <w:rsid w:val="004A5D05"/>
    <w:rsid w:val="004A63F6"/>
    <w:rsid w:val="004A7084"/>
    <w:rsid w:val="004A7FE5"/>
    <w:rsid w:val="004B12BE"/>
    <w:rsid w:val="004B18D5"/>
    <w:rsid w:val="004B1B12"/>
    <w:rsid w:val="004B4B4A"/>
    <w:rsid w:val="004B4B59"/>
    <w:rsid w:val="004B5685"/>
    <w:rsid w:val="004B73C4"/>
    <w:rsid w:val="004C0C92"/>
    <w:rsid w:val="004C0CD8"/>
    <w:rsid w:val="004C2CF5"/>
    <w:rsid w:val="004C3A49"/>
    <w:rsid w:val="004C45EC"/>
    <w:rsid w:val="004C5A6D"/>
    <w:rsid w:val="004C5BB5"/>
    <w:rsid w:val="004C60B8"/>
    <w:rsid w:val="004C6D36"/>
    <w:rsid w:val="004C7C23"/>
    <w:rsid w:val="004D0496"/>
    <w:rsid w:val="004D0CD0"/>
    <w:rsid w:val="004D1730"/>
    <w:rsid w:val="004D17F2"/>
    <w:rsid w:val="004D39E7"/>
    <w:rsid w:val="004D4CBB"/>
    <w:rsid w:val="004D54AB"/>
    <w:rsid w:val="004D6689"/>
    <w:rsid w:val="004E0355"/>
    <w:rsid w:val="004E0583"/>
    <w:rsid w:val="004E1BC9"/>
    <w:rsid w:val="004E2142"/>
    <w:rsid w:val="004E2CE5"/>
    <w:rsid w:val="004E2CFE"/>
    <w:rsid w:val="004E33A5"/>
    <w:rsid w:val="004E51E9"/>
    <w:rsid w:val="004E54F5"/>
    <w:rsid w:val="004E68B0"/>
    <w:rsid w:val="004E7B33"/>
    <w:rsid w:val="004E7C8C"/>
    <w:rsid w:val="004F3CDE"/>
    <w:rsid w:val="004F4008"/>
    <w:rsid w:val="004F4AFE"/>
    <w:rsid w:val="004F60CC"/>
    <w:rsid w:val="004F650A"/>
    <w:rsid w:val="004F72CB"/>
    <w:rsid w:val="004F72D3"/>
    <w:rsid w:val="004F73B1"/>
    <w:rsid w:val="004F7611"/>
    <w:rsid w:val="004F7C3E"/>
    <w:rsid w:val="004F7E00"/>
    <w:rsid w:val="00500EE4"/>
    <w:rsid w:val="00503062"/>
    <w:rsid w:val="00503F14"/>
    <w:rsid w:val="0050480A"/>
    <w:rsid w:val="0050562F"/>
    <w:rsid w:val="00505A4A"/>
    <w:rsid w:val="00505ED7"/>
    <w:rsid w:val="0050683B"/>
    <w:rsid w:val="005076A3"/>
    <w:rsid w:val="0051191F"/>
    <w:rsid w:val="00512A4D"/>
    <w:rsid w:val="00513CC2"/>
    <w:rsid w:val="0051426F"/>
    <w:rsid w:val="0051719D"/>
    <w:rsid w:val="005171BB"/>
    <w:rsid w:val="005173BB"/>
    <w:rsid w:val="00521263"/>
    <w:rsid w:val="005218FD"/>
    <w:rsid w:val="00525991"/>
    <w:rsid w:val="005277FC"/>
    <w:rsid w:val="00527BE6"/>
    <w:rsid w:val="00530B4D"/>
    <w:rsid w:val="00531B52"/>
    <w:rsid w:val="005332CA"/>
    <w:rsid w:val="00533F16"/>
    <w:rsid w:val="0053457E"/>
    <w:rsid w:val="00534CAD"/>
    <w:rsid w:val="00535828"/>
    <w:rsid w:val="00535A8C"/>
    <w:rsid w:val="00536089"/>
    <w:rsid w:val="00536933"/>
    <w:rsid w:val="005376D9"/>
    <w:rsid w:val="00540E00"/>
    <w:rsid w:val="00545349"/>
    <w:rsid w:val="0054753D"/>
    <w:rsid w:val="00547A04"/>
    <w:rsid w:val="00551440"/>
    <w:rsid w:val="00551520"/>
    <w:rsid w:val="005517CE"/>
    <w:rsid w:val="005519F4"/>
    <w:rsid w:val="005521A0"/>
    <w:rsid w:val="00552703"/>
    <w:rsid w:val="00552998"/>
    <w:rsid w:val="00553249"/>
    <w:rsid w:val="005532C6"/>
    <w:rsid w:val="00553C73"/>
    <w:rsid w:val="005540D6"/>
    <w:rsid w:val="0055490B"/>
    <w:rsid w:val="005554FA"/>
    <w:rsid w:val="005577D0"/>
    <w:rsid w:val="00562F9E"/>
    <w:rsid w:val="005641A9"/>
    <w:rsid w:val="00565DF9"/>
    <w:rsid w:val="00566353"/>
    <w:rsid w:val="005668F4"/>
    <w:rsid w:val="005670C4"/>
    <w:rsid w:val="00567BF4"/>
    <w:rsid w:val="00570BFA"/>
    <w:rsid w:val="00570EDB"/>
    <w:rsid w:val="0057152C"/>
    <w:rsid w:val="00571BCF"/>
    <w:rsid w:val="0057291A"/>
    <w:rsid w:val="00572B3D"/>
    <w:rsid w:val="00573165"/>
    <w:rsid w:val="00573261"/>
    <w:rsid w:val="005734C2"/>
    <w:rsid w:val="0057368A"/>
    <w:rsid w:val="00575ABC"/>
    <w:rsid w:val="0057670A"/>
    <w:rsid w:val="005804DC"/>
    <w:rsid w:val="00582075"/>
    <w:rsid w:val="00582351"/>
    <w:rsid w:val="00582C35"/>
    <w:rsid w:val="00583095"/>
    <w:rsid w:val="005835AE"/>
    <w:rsid w:val="005835F4"/>
    <w:rsid w:val="00584A2D"/>
    <w:rsid w:val="00585150"/>
    <w:rsid w:val="00587512"/>
    <w:rsid w:val="0058783C"/>
    <w:rsid w:val="005906FA"/>
    <w:rsid w:val="005909B6"/>
    <w:rsid w:val="005909F7"/>
    <w:rsid w:val="00590A4D"/>
    <w:rsid w:val="00592DED"/>
    <w:rsid w:val="00593891"/>
    <w:rsid w:val="00594367"/>
    <w:rsid w:val="00594701"/>
    <w:rsid w:val="00595298"/>
    <w:rsid w:val="00595540"/>
    <w:rsid w:val="00596CCF"/>
    <w:rsid w:val="00596F34"/>
    <w:rsid w:val="00597045"/>
    <w:rsid w:val="00597A13"/>
    <w:rsid w:val="00597B00"/>
    <w:rsid w:val="00597B31"/>
    <w:rsid w:val="005A000D"/>
    <w:rsid w:val="005A0148"/>
    <w:rsid w:val="005A03B4"/>
    <w:rsid w:val="005A04F6"/>
    <w:rsid w:val="005A0BF0"/>
    <w:rsid w:val="005A0DB2"/>
    <w:rsid w:val="005A2087"/>
    <w:rsid w:val="005A2597"/>
    <w:rsid w:val="005A25CB"/>
    <w:rsid w:val="005A35FD"/>
    <w:rsid w:val="005A5133"/>
    <w:rsid w:val="005A55C1"/>
    <w:rsid w:val="005A55F9"/>
    <w:rsid w:val="005A595B"/>
    <w:rsid w:val="005A5B7E"/>
    <w:rsid w:val="005A6DDF"/>
    <w:rsid w:val="005A6DFF"/>
    <w:rsid w:val="005A7111"/>
    <w:rsid w:val="005A7166"/>
    <w:rsid w:val="005A7234"/>
    <w:rsid w:val="005B2839"/>
    <w:rsid w:val="005B2FC2"/>
    <w:rsid w:val="005B3900"/>
    <w:rsid w:val="005B3EA5"/>
    <w:rsid w:val="005B4525"/>
    <w:rsid w:val="005B55CB"/>
    <w:rsid w:val="005B5CD0"/>
    <w:rsid w:val="005B5DEC"/>
    <w:rsid w:val="005B72A7"/>
    <w:rsid w:val="005C02D4"/>
    <w:rsid w:val="005C0654"/>
    <w:rsid w:val="005C08E1"/>
    <w:rsid w:val="005C09B3"/>
    <w:rsid w:val="005C176A"/>
    <w:rsid w:val="005C205B"/>
    <w:rsid w:val="005C251E"/>
    <w:rsid w:val="005C2E69"/>
    <w:rsid w:val="005C3966"/>
    <w:rsid w:val="005C3BFE"/>
    <w:rsid w:val="005C4F6F"/>
    <w:rsid w:val="005C6145"/>
    <w:rsid w:val="005C6D66"/>
    <w:rsid w:val="005C70C4"/>
    <w:rsid w:val="005C7444"/>
    <w:rsid w:val="005C7773"/>
    <w:rsid w:val="005D0798"/>
    <w:rsid w:val="005D0D29"/>
    <w:rsid w:val="005D1C83"/>
    <w:rsid w:val="005D36AF"/>
    <w:rsid w:val="005D4291"/>
    <w:rsid w:val="005D4514"/>
    <w:rsid w:val="005D53A6"/>
    <w:rsid w:val="005D56C1"/>
    <w:rsid w:val="005D59C5"/>
    <w:rsid w:val="005D5A52"/>
    <w:rsid w:val="005D5CCB"/>
    <w:rsid w:val="005D7267"/>
    <w:rsid w:val="005E0583"/>
    <w:rsid w:val="005E0961"/>
    <w:rsid w:val="005E16EC"/>
    <w:rsid w:val="005E180B"/>
    <w:rsid w:val="005E22D5"/>
    <w:rsid w:val="005E2DEC"/>
    <w:rsid w:val="005E3EF9"/>
    <w:rsid w:val="005E41DA"/>
    <w:rsid w:val="005E4464"/>
    <w:rsid w:val="005E537E"/>
    <w:rsid w:val="005E6927"/>
    <w:rsid w:val="005E69D0"/>
    <w:rsid w:val="005E7153"/>
    <w:rsid w:val="005E7EE3"/>
    <w:rsid w:val="005F02E0"/>
    <w:rsid w:val="005F0C15"/>
    <w:rsid w:val="005F1E0D"/>
    <w:rsid w:val="005F4719"/>
    <w:rsid w:val="005F5724"/>
    <w:rsid w:val="005F5B45"/>
    <w:rsid w:val="005F5CBD"/>
    <w:rsid w:val="005F6A2C"/>
    <w:rsid w:val="005F6ED9"/>
    <w:rsid w:val="005F6FBB"/>
    <w:rsid w:val="005F7099"/>
    <w:rsid w:val="005F7852"/>
    <w:rsid w:val="005F7AE7"/>
    <w:rsid w:val="005F7DFE"/>
    <w:rsid w:val="006004B2"/>
    <w:rsid w:val="00600CD3"/>
    <w:rsid w:val="006014A3"/>
    <w:rsid w:val="00602D4C"/>
    <w:rsid w:val="00604C88"/>
    <w:rsid w:val="006050DB"/>
    <w:rsid w:val="0060561A"/>
    <w:rsid w:val="00605D59"/>
    <w:rsid w:val="00606CE6"/>
    <w:rsid w:val="00606D89"/>
    <w:rsid w:val="00607210"/>
    <w:rsid w:val="006072B3"/>
    <w:rsid w:val="006075F9"/>
    <w:rsid w:val="00607A42"/>
    <w:rsid w:val="00610E9B"/>
    <w:rsid w:val="00611052"/>
    <w:rsid w:val="0061105B"/>
    <w:rsid w:val="006111F2"/>
    <w:rsid w:val="00611827"/>
    <w:rsid w:val="006122CA"/>
    <w:rsid w:val="0061561F"/>
    <w:rsid w:val="006156B2"/>
    <w:rsid w:val="00616836"/>
    <w:rsid w:val="00616984"/>
    <w:rsid w:val="00620572"/>
    <w:rsid w:val="00624086"/>
    <w:rsid w:val="00624B93"/>
    <w:rsid w:val="00626C36"/>
    <w:rsid w:val="006301C0"/>
    <w:rsid w:val="00630714"/>
    <w:rsid w:val="00631B39"/>
    <w:rsid w:val="00632A0C"/>
    <w:rsid w:val="00632E43"/>
    <w:rsid w:val="00633315"/>
    <w:rsid w:val="006342B5"/>
    <w:rsid w:val="00635544"/>
    <w:rsid w:val="00635C2C"/>
    <w:rsid w:val="0063628F"/>
    <w:rsid w:val="00636C6E"/>
    <w:rsid w:val="00637EE2"/>
    <w:rsid w:val="006400C9"/>
    <w:rsid w:val="00641526"/>
    <w:rsid w:val="00641D14"/>
    <w:rsid w:val="00641EC9"/>
    <w:rsid w:val="00642D76"/>
    <w:rsid w:val="00644370"/>
    <w:rsid w:val="00644A43"/>
    <w:rsid w:val="0064534E"/>
    <w:rsid w:val="00645433"/>
    <w:rsid w:val="006454AF"/>
    <w:rsid w:val="006454C1"/>
    <w:rsid w:val="00645F12"/>
    <w:rsid w:val="0064607D"/>
    <w:rsid w:val="006465F9"/>
    <w:rsid w:val="00646FE9"/>
    <w:rsid w:val="00647F59"/>
    <w:rsid w:val="006508AA"/>
    <w:rsid w:val="00650EA2"/>
    <w:rsid w:val="00651BA5"/>
    <w:rsid w:val="00651BEB"/>
    <w:rsid w:val="0065374B"/>
    <w:rsid w:val="00653DC7"/>
    <w:rsid w:val="00654287"/>
    <w:rsid w:val="00654A91"/>
    <w:rsid w:val="006555C4"/>
    <w:rsid w:val="00655E15"/>
    <w:rsid w:val="006566B1"/>
    <w:rsid w:val="006569C4"/>
    <w:rsid w:val="006570C9"/>
    <w:rsid w:val="00657378"/>
    <w:rsid w:val="00662525"/>
    <w:rsid w:val="006625FA"/>
    <w:rsid w:val="006626A1"/>
    <w:rsid w:val="0066276C"/>
    <w:rsid w:val="006637D1"/>
    <w:rsid w:val="00664D09"/>
    <w:rsid w:val="00666099"/>
    <w:rsid w:val="006668E5"/>
    <w:rsid w:val="00666DE2"/>
    <w:rsid w:val="006672CD"/>
    <w:rsid w:val="00670554"/>
    <w:rsid w:val="006705C9"/>
    <w:rsid w:val="0067082F"/>
    <w:rsid w:val="006711DB"/>
    <w:rsid w:val="006714BF"/>
    <w:rsid w:val="00671A40"/>
    <w:rsid w:val="0067273C"/>
    <w:rsid w:val="00672C7C"/>
    <w:rsid w:val="00673C30"/>
    <w:rsid w:val="00673F06"/>
    <w:rsid w:val="0067421A"/>
    <w:rsid w:val="00674267"/>
    <w:rsid w:val="00674E6D"/>
    <w:rsid w:val="006769A4"/>
    <w:rsid w:val="00676DD0"/>
    <w:rsid w:val="0067758B"/>
    <w:rsid w:val="00677601"/>
    <w:rsid w:val="00677B03"/>
    <w:rsid w:val="00677E00"/>
    <w:rsid w:val="0068012C"/>
    <w:rsid w:val="006805C6"/>
    <w:rsid w:val="00680630"/>
    <w:rsid w:val="00680A99"/>
    <w:rsid w:val="0068105B"/>
    <w:rsid w:val="006810B1"/>
    <w:rsid w:val="006826EB"/>
    <w:rsid w:val="00683A36"/>
    <w:rsid w:val="00683C01"/>
    <w:rsid w:val="00684776"/>
    <w:rsid w:val="0068477F"/>
    <w:rsid w:val="006849CE"/>
    <w:rsid w:val="00684A7A"/>
    <w:rsid w:val="00684AC9"/>
    <w:rsid w:val="00685B8B"/>
    <w:rsid w:val="00686378"/>
    <w:rsid w:val="006864D4"/>
    <w:rsid w:val="00686F3B"/>
    <w:rsid w:val="0068760D"/>
    <w:rsid w:val="0068779A"/>
    <w:rsid w:val="00690186"/>
    <w:rsid w:val="00690EE3"/>
    <w:rsid w:val="00691066"/>
    <w:rsid w:val="0069334C"/>
    <w:rsid w:val="00694B5A"/>
    <w:rsid w:val="00694E0C"/>
    <w:rsid w:val="0069671A"/>
    <w:rsid w:val="00697B38"/>
    <w:rsid w:val="006A01DD"/>
    <w:rsid w:val="006A0D12"/>
    <w:rsid w:val="006A0FB0"/>
    <w:rsid w:val="006A1BAF"/>
    <w:rsid w:val="006A2B22"/>
    <w:rsid w:val="006A35A9"/>
    <w:rsid w:val="006A3B8A"/>
    <w:rsid w:val="006A45D3"/>
    <w:rsid w:val="006A6F12"/>
    <w:rsid w:val="006A72CD"/>
    <w:rsid w:val="006A77DF"/>
    <w:rsid w:val="006A7828"/>
    <w:rsid w:val="006B078D"/>
    <w:rsid w:val="006B0ECE"/>
    <w:rsid w:val="006B1B7C"/>
    <w:rsid w:val="006B1DDD"/>
    <w:rsid w:val="006B226D"/>
    <w:rsid w:val="006B292B"/>
    <w:rsid w:val="006B2B48"/>
    <w:rsid w:val="006B3BB2"/>
    <w:rsid w:val="006B4648"/>
    <w:rsid w:val="006B46E4"/>
    <w:rsid w:val="006B5F3C"/>
    <w:rsid w:val="006B608F"/>
    <w:rsid w:val="006B63F9"/>
    <w:rsid w:val="006B71FB"/>
    <w:rsid w:val="006B746B"/>
    <w:rsid w:val="006B7D10"/>
    <w:rsid w:val="006B7F05"/>
    <w:rsid w:val="006C0276"/>
    <w:rsid w:val="006C174B"/>
    <w:rsid w:val="006C2503"/>
    <w:rsid w:val="006C377A"/>
    <w:rsid w:val="006C45B8"/>
    <w:rsid w:val="006C4F5B"/>
    <w:rsid w:val="006C5AE1"/>
    <w:rsid w:val="006C63AA"/>
    <w:rsid w:val="006C7864"/>
    <w:rsid w:val="006D0A39"/>
    <w:rsid w:val="006D1D08"/>
    <w:rsid w:val="006D3FD6"/>
    <w:rsid w:val="006D5A09"/>
    <w:rsid w:val="006E0F60"/>
    <w:rsid w:val="006E117F"/>
    <w:rsid w:val="006E30F6"/>
    <w:rsid w:val="006E3934"/>
    <w:rsid w:val="006E3B99"/>
    <w:rsid w:val="006E3BD9"/>
    <w:rsid w:val="006E3FD5"/>
    <w:rsid w:val="006E4039"/>
    <w:rsid w:val="006E4779"/>
    <w:rsid w:val="006E53CA"/>
    <w:rsid w:val="006E54D1"/>
    <w:rsid w:val="006E5597"/>
    <w:rsid w:val="006E58CA"/>
    <w:rsid w:val="006E60C3"/>
    <w:rsid w:val="006E76C6"/>
    <w:rsid w:val="006E7B48"/>
    <w:rsid w:val="006E7B5C"/>
    <w:rsid w:val="006F0002"/>
    <w:rsid w:val="006F0879"/>
    <w:rsid w:val="006F0E08"/>
    <w:rsid w:val="006F1DFA"/>
    <w:rsid w:val="006F2340"/>
    <w:rsid w:val="006F28CD"/>
    <w:rsid w:val="006F3937"/>
    <w:rsid w:val="006F3C8B"/>
    <w:rsid w:val="006F470B"/>
    <w:rsid w:val="006F4AE0"/>
    <w:rsid w:val="006F4F3B"/>
    <w:rsid w:val="007009FD"/>
    <w:rsid w:val="007010DB"/>
    <w:rsid w:val="00701283"/>
    <w:rsid w:val="00702736"/>
    <w:rsid w:val="00703049"/>
    <w:rsid w:val="007031ED"/>
    <w:rsid w:val="00703565"/>
    <w:rsid w:val="007039A0"/>
    <w:rsid w:val="00703CD3"/>
    <w:rsid w:val="00703EFC"/>
    <w:rsid w:val="00703FAF"/>
    <w:rsid w:val="0070482D"/>
    <w:rsid w:val="00705FED"/>
    <w:rsid w:val="0070630A"/>
    <w:rsid w:val="007067AB"/>
    <w:rsid w:val="0070682D"/>
    <w:rsid w:val="00706DED"/>
    <w:rsid w:val="00706E2B"/>
    <w:rsid w:val="00710682"/>
    <w:rsid w:val="00710983"/>
    <w:rsid w:val="00710B2B"/>
    <w:rsid w:val="00711DAB"/>
    <w:rsid w:val="00712313"/>
    <w:rsid w:val="0071307B"/>
    <w:rsid w:val="0071318B"/>
    <w:rsid w:val="007131DD"/>
    <w:rsid w:val="0071363A"/>
    <w:rsid w:val="00713CF3"/>
    <w:rsid w:val="0071596D"/>
    <w:rsid w:val="00715D23"/>
    <w:rsid w:val="00716411"/>
    <w:rsid w:val="00720763"/>
    <w:rsid w:val="00721DCD"/>
    <w:rsid w:val="007228B9"/>
    <w:rsid w:val="00723053"/>
    <w:rsid w:val="00723925"/>
    <w:rsid w:val="00723DEF"/>
    <w:rsid w:val="0072434D"/>
    <w:rsid w:val="00724FA8"/>
    <w:rsid w:val="00725095"/>
    <w:rsid w:val="0072761B"/>
    <w:rsid w:val="00727F0C"/>
    <w:rsid w:val="00730980"/>
    <w:rsid w:val="00730E2F"/>
    <w:rsid w:val="007312C9"/>
    <w:rsid w:val="0073193F"/>
    <w:rsid w:val="00732303"/>
    <w:rsid w:val="007325F3"/>
    <w:rsid w:val="007338B5"/>
    <w:rsid w:val="00734A29"/>
    <w:rsid w:val="00734E0F"/>
    <w:rsid w:val="00736FA1"/>
    <w:rsid w:val="00740633"/>
    <w:rsid w:val="00740E09"/>
    <w:rsid w:val="007418BD"/>
    <w:rsid w:val="007419FA"/>
    <w:rsid w:val="0074212D"/>
    <w:rsid w:val="007421FE"/>
    <w:rsid w:val="007429B1"/>
    <w:rsid w:val="00743297"/>
    <w:rsid w:val="00743B87"/>
    <w:rsid w:val="0074522E"/>
    <w:rsid w:val="0074547A"/>
    <w:rsid w:val="007502E1"/>
    <w:rsid w:val="0075037F"/>
    <w:rsid w:val="00750487"/>
    <w:rsid w:val="00750A88"/>
    <w:rsid w:val="007513F9"/>
    <w:rsid w:val="00751680"/>
    <w:rsid w:val="007517DC"/>
    <w:rsid w:val="00751CB6"/>
    <w:rsid w:val="00751F20"/>
    <w:rsid w:val="00751F2D"/>
    <w:rsid w:val="007526FA"/>
    <w:rsid w:val="007529B7"/>
    <w:rsid w:val="00753041"/>
    <w:rsid w:val="00753B44"/>
    <w:rsid w:val="007543C0"/>
    <w:rsid w:val="00755135"/>
    <w:rsid w:val="00755833"/>
    <w:rsid w:val="007558FD"/>
    <w:rsid w:val="00756094"/>
    <w:rsid w:val="007573EF"/>
    <w:rsid w:val="00757654"/>
    <w:rsid w:val="00757DEB"/>
    <w:rsid w:val="00760415"/>
    <w:rsid w:val="007621C8"/>
    <w:rsid w:val="00762E2A"/>
    <w:rsid w:val="007644A3"/>
    <w:rsid w:val="00766A29"/>
    <w:rsid w:val="00766A67"/>
    <w:rsid w:val="00766AD9"/>
    <w:rsid w:val="007671EF"/>
    <w:rsid w:val="00767436"/>
    <w:rsid w:val="00767A09"/>
    <w:rsid w:val="0077158E"/>
    <w:rsid w:val="007724F5"/>
    <w:rsid w:val="0077295B"/>
    <w:rsid w:val="00772B74"/>
    <w:rsid w:val="00774357"/>
    <w:rsid w:val="00774DF9"/>
    <w:rsid w:val="0077564D"/>
    <w:rsid w:val="00775A05"/>
    <w:rsid w:val="00780CAF"/>
    <w:rsid w:val="0078107F"/>
    <w:rsid w:val="00781737"/>
    <w:rsid w:val="00781A98"/>
    <w:rsid w:val="00781B1E"/>
    <w:rsid w:val="007827F7"/>
    <w:rsid w:val="00782A81"/>
    <w:rsid w:val="00783779"/>
    <w:rsid w:val="0078445A"/>
    <w:rsid w:val="007851FA"/>
    <w:rsid w:val="00787450"/>
    <w:rsid w:val="007876ED"/>
    <w:rsid w:val="00787E3F"/>
    <w:rsid w:val="00791746"/>
    <w:rsid w:val="007917D6"/>
    <w:rsid w:val="007929C3"/>
    <w:rsid w:val="00792AEF"/>
    <w:rsid w:val="00793DF6"/>
    <w:rsid w:val="00794A8E"/>
    <w:rsid w:val="00795575"/>
    <w:rsid w:val="007959E3"/>
    <w:rsid w:val="00796217"/>
    <w:rsid w:val="007977DC"/>
    <w:rsid w:val="007A36AB"/>
    <w:rsid w:val="007A38C0"/>
    <w:rsid w:val="007A4C6E"/>
    <w:rsid w:val="007A6351"/>
    <w:rsid w:val="007A6C35"/>
    <w:rsid w:val="007A70C2"/>
    <w:rsid w:val="007B18A2"/>
    <w:rsid w:val="007B23AA"/>
    <w:rsid w:val="007B3B3C"/>
    <w:rsid w:val="007B4F14"/>
    <w:rsid w:val="007B532F"/>
    <w:rsid w:val="007B551D"/>
    <w:rsid w:val="007B688C"/>
    <w:rsid w:val="007B7EBB"/>
    <w:rsid w:val="007C105A"/>
    <w:rsid w:val="007C2883"/>
    <w:rsid w:val="007C3541"/>
    <w:rsid w:val="007C4CAC"/>
    <w:rsid w:val="007C5D59"/>
    <w:rsid w:val="007C5E11"/>
    <w:rsid w:val="007C6A0D"/>
    <w:rsid w:val="007C766C"/>
    <w:rsid w:val="007D0046"/>
    <w:rsid w:val="007D083A"/>
    <w:rsid w:val="007D1101"/>
    <w:rsid w:val="007D18AD"/>
    <w:rsid w:val="007D3FF3"/>
    <w:rsid w:val="007D5C8C"/>
    <w:rsid w:val="007D79AB"/>
    <w:rsid w:val="007D7C21"/>
    <w:rsid w:val="007D7C25"/>
    <w:rsid w:val="007E15C7"/>
    <w:rsid w:val="007E1672"/>
    <w:rsid w:val="007E3D25"/>
    <w:rsid w:val="007E40C9"/>
    <w:rsid w:val="007E42FE"/>
    <w:rsid w:val="007E51D2"/>
    <w:rsid w:val="007E5DD5"/>
    <w:rsid w:val="007E6399"/>
    <w:rsid w:val="007E67B7"/>
    <w:rsid w:val="007F0246"/>
    <w:rsid w:val="007F04BC"/>
    <w:rsid w:val="007F108E"/>
    <w:rsid w:val="007F1988"/>
    <w:rsid w:val="007F229A"/>
    <w:rsid w:val="007F271B"/>
    <w:rsid w:val="007F3059"/>
    <w:rsid w:val="007F3195"/>
    <w:rsid w:val="007F442A"/>
    <w:rsid w:val="007F5B67"/>
    <w:rsid w:val="007F7137"/>
    <w:rsid w:val="008002BA"/>
    <w:rsid w:val="008019BE"/>
    <w:rsid w:val="00801F17"/>
    <w:rsid w:val="00802011"/>
    <w:rsid w:val="008027CB"/>
    <w:rsid w:val="0080315D"/>
    <w:rsid w:val="008057E1"/>
    <w:rsid w:val="00805D22"/>
    <w:rsid w:val="00806BA0"/>
    <w:rsid w:val="00807079"/>
    <w:rsid w:val="00807D28"/>
    <w:rsid w:val="0081009C"/>
    <w:rsid w:val="008114F9"/>
    <w:rsid w:val="008127E0"/>
    <w:rsid w:val="0081343F"/>
    <w:rsid w:val="00815093"/>
    <w:rsid w:val="008153CE"/>
    <w:rsid w:val="00816168"/>
    <w:rsid w:val="008163B3"/>
    <w:rsid w:val="008167EC"/>
    <w:rsid w:val="00816B58"/>
    <w:rsid w:val="00817A29"/>
    <w:rsid w:val="0082061B"/>
    <w:rsid w:val="008209B7"/>
    <w:rsid w:val="00820AF2"/>
    <w:rsid w:val="00822CB9"/>
    <w:rsid w:val="008236EF"/>
    <w:rsid w:val="00823C7E"/>
    <w:rsid w:val="00823D27"/>
    <w:rsid w:val="00824C1B"/>
    <w:rsid w:val="00825FEA"/>
    <w:rsid w:val="008267F5"/>
    <w:rsid w:val="008268AB"/>
    <w:rsid w:val="008274FB"/>
    <w:rsid w:val="00827ABD"/>
    <w:rsid w:val="00827BA2"/>
    <w:rsid w:val="00827D5B"/>
    <w:rsid w:val="0083128E"/>
    <w:rsid w:val="008317BC"/>
    <w:rsid w:val="0083194B"/>
    <w:rsid w:val="00832AFF"/>
    <w:rsid w:val="00832E84"/>
    <w:rsid w:val="00832EA2"/>
    <w:rsid w:val="00833247"/>
    <w:rsid w:val="008336A3"/>
    <w:rsid w:val="00834B21"/>
    <w:rsid w:val="008354A9"/>
    <w:rsid w:val="008359FA"/>
    <w:rsid w:val="00836CC0"/>
    <w:rsid w:val="00837975"/>
    <w:rsid w:val="00837C64"/>
    <w:rsid w:val="008409F3"/>
    <w:rsid w:val="00840F8C"/>
    <w:rsid w:val="008420D3"/>
    <w:rsid w:val="0084235C"/>
    <w:rsid w:val="00842B6E"/>
    <w:rsid w:val="0084356F"/>
    <w:rsid w:val="00844B95"/>
    <w:rsid w:val="00844C61"/>
    <w:rsid w:val="00845A5A"/>
    <w:rsid w:val="00845B66"/>
    <w:rsid w:val="00846830"/>
    <w:rsid w:val="00846851"/>
    <w:rsid w:val="00847960"/>
    <w:rsid w:val="00847FDA"/>
    <w:rsid w:val="00850C55"/>
    <w:rsid w:val="00854048"/>
    <w:rsid w:val="008545B6"/>
    <w:rsid w:val="008559EA"/>
    <w:rsid w:val="008563B8"/>
    <w:rsid w:val="00856CDA"/>
    <w:rsid w:val="0085702E"/>
    <w:rsid w:val="00857400"/>
    <w:rsid w:val="00860785"/>
    <w:rsid w:val="008611E7"/>
    <w:rsid w:val="0086282E"/>
    <w:rsid w:val="0086288A"/>
    <w:rsid w:val="008633D4"/>
    <w:rsid w:val="00865164"/>
    <w:rsid w:val="00865487"/>
    <w:rsid w:val="00866559"/>
    <w:rsid w:val="00866FCD"/>
    <w:rsid w:val="00867E78"/>
    <w:rsid w:val="00870F04"/>
    <w:rsid w:val="00872204"/>
    <w:rsid w:val="008723EB"/>
    <w:rsid w:val="00873481"/>
    <w:rsid w:val="00873A2A"/>
    <w:rsid w:val="00873D9E"/>
    <w:rsid w:val="0087421F"/>
    <w:rsid w:val="008753A3"/>
    <w:rsid w:val="00875BE9"/>
    <w:rsid w:val="00876371"/>
    <w:rsid w:val="00876BA0"/>
    <w:rsid w:val="008770A7"/>
    <w:rsid w:val="008778ED"/>
    <w:rsid w:val="00877E41"/>
    <w:rsid w:val="00880062"/>
    <w:rsid w:val="00880220"/>
    <w:rsid w:val="008810DF"/>
    <w:rsid w:val="00882779"/>
    <w:rsid w:val="008827D5"/>
    <w:rsid w:val="00882E3B"/>
    <w:rsid w:val="00885113"/>
    <w:rsid w:val="00887034"/>
    <w:rsid w:val="00887805"/>
    <w:rsid w:val="0088790A"/>
    <w:rsid w:val="008918DB"/>
    <w:rsid w:val="00896354"/>
    <w:rsid w:val="008975A7"/>
    <w:rsid w:val="00897625"/>
    <w:rsid w:val="008A0621"/>
    <w:rsid w:val="008A0AF3"/>
    <w:rsid w:val="008A189F"/>
    <w:rsid w:val="008A1B48"/>
    <w:rsid w:val="008A1C6E"/>
    <w:rsid w:val="008A1D96"/>
    <w:rsid w:val="008A2629"/>
    <w:rsid w:val="008A3EF5"/>
    <w:rsid w:val="008A3F2E"/>
    <w:rsid w:val="008A42C1"/>
    <w:rsid w:val="008A5809"/>
    <w:rsid w:val="008A5BC4"/>
    <w:rsid w:val="008A5C84"/>
    <w:rsid w:val="008A7C88"/>
    <w:rsid w:val="008B0393"/>
    <w:rsid w:val="008B0A9A"/>
    <w:rsid w:val="008B0D68"/>
    <w:rsid w:val="008B1208"/>
    <w:rsid w:val="008B2112"/>
    <w:rsid w:val="008B28ED"/>
    <w:rsid w:val="008B2C5A"/>
    <w:rsid w:val="008B2F12"/>
    <w:rsid w:val="008B320A"/>
    <w:rsid w:val="008B39D4"/>
    <w:rsid w:val="008B3C32"/>
    <w:rsid w:val="008B56F6"/>
    <w:rsid w:val="008B648A"/>
    <w:rsid w:val="008C019A"/>
    <w:rsid w:val="008C05C7"/>
    <w:rsid w:val="008C093B"/>
    <w:rsid w:val="008C0EDD"/>
    <w:rsid w:val="008C1590"/>
    <w:rsid w:val="008C1B93"/>
    <w:rsid w:val="008C1D63"/>
    <w:rsid w:val="008C2D42"/>
    <w:rsid w:val="008C4F6F"/>
    <w:rsid w:val="008C56DA"/>
    <w:rsid w:val="008C6290"/>
    <w:rsid w:val="008C719F"/>
    <w:rsid w:val="008C7398"/>
    <w:rsid w:val="008C77D5"/>
    <w:rsid w:val="008C7A4F"/>
    <w:rsid w:val="008D06E8"/>
    <w:rsid w:val="008D0B11"/>
    <w:rsid w:val="008D197C"/>
    <w:rsid w:val="008D3AD9"/>
    <w:rsid w:val="008D3E03"/>
    <w:rsid w:val="008D43C3"/>
    <w:rsid w:val="008D52DF"/>
    <w:rsid w:val="008D6431"/>
    <w:rsid w:val="008D7699"/>
    <w:rsid w:val="008D76E0"/>
    <w:rsid w:val="008E0659"/>
    <w:rsid w:val="008E1346"/>
    <w:rsid w:val="008E1717"/>
    <w:rsid w:val="008E2DAA"/>
    <w:rsid w:val="008E3F76"/>
    <w:rsid w:val="008E40B9"/>
    <w:rsid w:val="008E465F"/>
    <w:rsid w:val="008E46D1"/>
    <w:rsid w:val="008E482F"/>
    <w:rsid w:val="008E4A69"/>
    <w:rsid w:val="008E4DC7"/>
    <w:rsid w:val="008E4FA2"/>
    <w:rsid w:val="008E5DD5"/>
    <w:rsid w:val="008E5DD9"/>
    <w:rsid w:val="008E5ED8"/>
    <w:rsid w:val="008E6394"/>
    <w:rsid w:val="008E6CF7"/>
    <w:rsid w:val="008F07C3"/>
    <w:rsid w:val="008F0D1A"/>
    <w:rsid w:val="008F150D"/>
    <w:rsid w:val="008F17BE"/>
    <w:rsid w:val="008F1ACA"/>
    <w:rsid w:val="008F1EC7"/>
    <w:rsid w:val="008F2C23"/>
    <w:rsid w:val="008F2FAC"/>
    <w:rsid w:val="008F45DB"/>
    <w:rsid w:val="008F45E6"/>
    <w:rsid w:val="008F48C1"/>
    <w:rsid w:val="008F6668"/>
    <w:rsid w:val="008F6F50"/>
    <w:rsid w:val="008F74E0"/>
    <w:rsid w:val="00900E45"/>
    <w:rsid w:val="009013E5"/>
    <w:rsid w:val="0090254B"/>
    <w:rsid w:val="009043D1"/>
    <w:rsid w:val="009046F8"/>
    <w:rsid w:val="00905519"/>
    <w:rsid w:val="00905991"/>
    <w:rsid w:val="00906345"/>
    <w:rsid w:val="009068E2"/>
    <w:rsid w:val="009075EB"/>
    <w:rsid w:val="0091015A"/>
    <w:rsid w:val="00910CDE"/>
    <w:rsid w:val="009115FA"/>
    <w:rsid w:val="00911E80"/>
    <w:rsid w:val="00911F1C"/>
    <w:rsid w:val="0091247D"/>
    <w:rsid w:val="00912854"/>
    <w:rsid w:val="00912885"/>
    <w:rsid w:val="00913328"/>
    <w:rsid w:val="00913565"/>
    <w:rsid w:val="00914221"/>
    <w:rsid w:val="00914D7C"/>
    <w:rsid w:val="0091517A"/>
    <w:rsid w:val="009156BE"/>
    <w:rsid w:val="00916344"/>
    <w:rsid w:val="0091675E"/>
    <w:rsid w:val="00920007"/>
    <w:rsid w:val="00920B66"/>
    <w:rsid w:val="00922900"/>
    <w:rsid w:val="009234F4"/>
    <w:rsid w:val="009238D1"/>
    <w:rsid w:val="009247EF"/>
    <w:rsid w:val="00924A7D"/>
    <w:rsid w:val="009258B5"/>
    <w:rsid w:val="00926E6F"/>
    <w:rsid w:val="00927749"/>
    <w:rsid w:val="00927830"/>
    <w:rsid w:val="00930AD4"/>
    <w:rsid w:val="00930F8C"/>
    <w:rsid w:val="00931234"/>
    <w:rsid w:val="009332C6"/>
    <w:rsid w:val="0093415D"/>
    <w:rsid w:val="0093431B"/>
    <w:rsid w:val="00934BB5"/>
    <w:rsid w:val="00934D41"/>
    <w:rsid w:val="00934D82"/>
    <w:rsid w:val="0093586F"/>
    <w:rsid w:val="00935E4A"/>
    <w:rsid w:val="00936085"/>
    <w:rsid w:val="00936AE9"/>
    <w:rsid w:val="00936D3F"/>
    <w:rsid w:val="009379D5"/>
    <w:rsid w:val="00937C89"/>
    <w:rsid w:val="009402B1"/>
    <w:rsid w:val="00940FE3"/>
    <w:rsid w:val="00941859"/>
    <w:rsid w:val="00941E3D"/>
    <w:rsid w:val="0094409D"/>
    <w:rsid w:val="00945888"/>
    <w:rsid w:val="00946073"/>
    <w:rsid w:val="00946533"/>
    <w:rsid w:val="009465D0"/>
    <w:rsid w:val="009474A0"/>
    <w:rsid w:val="0094782B"/>
    <w:rsid w:val="00951030"/>
    <w:rsid w:val="00952068"/>
    <w:rsid w:val="00952769"/>
    <w:rsid w:val="00952A5E"/>
    <w:rsid w:val="00952FF9"/>
    <w:rsid w:val="0095306E"/>
    <w:rsid w:val="009530D0"/>
    <w:rsid w:val="00953767"/>
    <w:rsid w:val="00953E3A"/>
    <w:rsid w:val="00954A71"/>
    <w:rsid w:val="009554D6"/>
    <w:rsid w:val="00957583"/>
    <w:rsid w:val="00961415"/>
    <w:rsid w:val="00961833"/>
    <w:rsid w:val="00963065"/>
    <w:rsid w:val="00963920"/>
    <w:rsid w:val="00964526"/>
    <w:rsid w:val="00964586"/>
    <w:rsid w:val="009647C4"/>
    <w:rsid w:val="00964C18"/>
    <w:rsid w:val="009659E7"/>
    <w:rsid w:val="00967C24"/>
    <w:rsid w:val="00972C06"/>
    <w:rsid w:val="00972D90"/>
    <w:rsid w:val="00973760"/>
    <w:rsid w:val="0097427F"/>
    <w:rsid w:val="00975082"/>
    <w:rsid w:val="009752AA"/>
    <w:rsid w:val="00975AAF"/>
    <w:rsid w:val="00975AB1"/>
    <w:rsid w:val="00976164"/>
    <w:rsid w:val="0097626D"/>
    <w:rsid w:val="00976981"/>
    <w:rsid w:val="00977F63"/>
    <w:rsid w:val="009803FD"/>
    <w:rsid w:val="0098123C"/>
    <w:rsid w:val="00981587"/>
    <w:rsid w:val="00982614"/>
    <w:rsid w:val="00982959"/>
    <w:rsid w:val="00982A57"/>
    <w:rsid w:val="0098494C"/>
    <w:rsid w:val="00985CDB"/>
    <w:rsid w:val="00985E5B"/>
    <w:rsid w:val="0098734F"/>
    <w:rsid w:val="00987473"/>
    <w:rsid w:val="0098773D"/>
    <w:rsid w:val="00987A36"/>
    <w:rsid w:val="00987F79"/>
    <w:rsid w:val="009905CD"/>
    <w:rsid w:val="00990AAB"/>
    <w:rsid w:val="00990C4C"/>
    <w:rsid w:val="00991C7B"/>
    <w:rsid w:val="00991E36"/>
    <w:rsid w:val="009920F2"/>
    <w:rsid w:val="00993828"/>
    <w:rsid w:val="009944B4"/>
    <w:rsid w:val="00995066"/>
    <w:rsid w:val="009950E0"/>
    <w:rsid w:val="009955FC"/>
    <w:rsid w:val="00995C86"/>
    <w:rsid w:val="00997EAD"/>
    <w:rsid w:val="009A0045"/>
    <w:rsid w:val="009A13A3"/>
    <w:rsid w:val="009A161E"/>
    <w:rsid w:val="009A1714"/>
    <w:rsid w:val="009A21F4"/>
    <w:rsid w:val="009A307E"/>
    <w:rsid w:val="009A3F86"/>
    <w:rsid w:val="009A40C5"/>
    <w:rsid w:val="009A41E5"/>
    <w:rsid w:val="009A59DF"/>
    <w:rsid w:val="009A60FC"/>
    <w:rsid w:val="009A64D8"/>
    <w:rsid w:val="009A6B1B"/>
    <w:rsid w:val="009A7000"/>
    <w:rsid w:val="009A72C8"/>
    <w:rsid w:val="009B137D"/>
    <w:rsid w:val="009B17B3"/>
    <w:rsid w:val="009B1D75"/>
    <w:rsid w:val="009B1FE9"/>
    <w:rsid w:val="009B2704"/>
    <w:rsid w:val="009B49DB"/>
    <w:rsid w:val="009B4F7A"/>
    <w:rsid w:val="009B6216"/>
    <w:rsid w:val="009B76E0"/>
    <w:rsid w:val="009C00CA"/>
    <w:rsid w:val="009C0DB7"/>
    <w:rsid w:val="009C199C"/>
    <w:rsid w:val="009C1F0D"/>
    <w:rsid w:val="009C24AC"/>
    <w:rsid w:val="009C2538"/>
    <w:rsid w:val="009C5750"/>
    <w:rsid w:val="009C676A"/>
    <w:rsid w:val="009C742A"/>
    <w:rsid w:val="009C7694"/>
    <w:rsid w:val="009C7C26"/>
    <w:rsid w:val="009D11B4"/>
    <w:rsid w:val="009D156D"/>
    <w:rsid w:val="009D1AE9"/>
    <w:rsid w:val="009D1C00"/>
    <w:rsid w:val="009D1EA0"/>
    <w:rsid w:val="009D1F17"/>
    <w:rsid w:val="009D2317"/>
    <w:rsid w:val="009D2562"/>
    <w:rsid w:val="009D412E"/>
    <w:rsid w:val="009D4906"/>
    <w:rsid w:val="009D5149"/>
    <w:rsid w:val="009D5399"/>
    <w:rsid w:val="009D5BD8"/>
    <w:rsid w:val="009D5C68"/>
    <w:rsid w:val="009D5C6D"/>
    <w:rsid w:val="009D668A"/>
    <w:rsid w:val="009D6C6C"/>
    <w:rsid w:val="009D76C4"/>
    <w:rsid w:val="009D7FC1"/>
    <w:rsid w:val="009E0667"/>
    <w:rsid w:val="009E2AB6"/>
    <w:rsid w:val="009E318F"/>
    <w:rsid w:val="009E3CC0"/>
    <w:rsid w:val="009E4E2D"/>
    <w:rsid w:val="009E4EE2"/>
    <w:rsid w:val="009E6291"/>
    <w:rsid w:val="009E6B2D"/>
    <w:rsid w:val="009E6B9A"/>
    <w:rsid w:val="009E7278"/>
    <w:rsid w:val="009E7D1A"/>
    <w:rsid w:val="009F0679"/>
    <w:rsid w:val="009F09E2"/>
    <w:rsid w:val="009F0DA4"/>
    <w:rsid w:val="009F1618"/>
    <w:rsid w:val="009F350E"/>
    <w:rsid w:val="009F3789"/>
    <w:rsid w:val="009F3929"/>
    <w:rsid w:val="009F3936"/>
    <w:rsid w:val="009F3A05"/>
    <w:rsid w:val="009F3BEE"/>
    <w:rsid w:val="009F5FFA"/>
    <w:rsid w:val="00A0065A"/>
    <w:rsid w:val="00A02FC6"/>
    <w:rsid w:val="00A03B41"/>
    <w:rsid w:val="00A04589"/>
    <w:rsid w:val="00A04FC2"/>
    <w:rsid w:val="00A06645"/>
    <w:rsid w:val="00A066D9"/>
    <w:rsid w:val="00A07325"/>
    <w:rsid w:val="00A074CE"/>
    <w:rsid w:val="00A07990"/>
    <w:rsid w:val="00A1103F"/>
    <w:rsid w:val="00A1193F"/>
    <w:rsid w:val="00A12D4D"/>
    <w:rsid w:val="00A130E1"/>
    <w:rsid w:val="00A15D97"/>
    <w:rsid w:val="00A16C35"/>
    <w:rsid w:val="00A16C60"/>
    <w:rsid w:val="00A16DFB"/>
    <w:rsid w:val="00A17782"/>
    <w:rsid w:val="00A21748"/>
    <w:rsid w:val="00A226F6"/>
    <w:rsid w:val="00A22DB4"/>
    <w:rsid w:val="00A240BA"/>
    <w:rsid w:val="00A241EA"/>
    <w:rsid w:val="00A248C9"/>
    <w:rsid w:val="00A24F1E"/>
    <w:rsid w:val="00A26F94"/>
    <w:rsid w:val="00A27255"/>
    <w:rsid w:val="00A27EBC"/>
    <w:rsid w:val="00A27F0B"/>
    <w:rsid w:val="00A316F7"/>
    <w:rsid w:val="00A320B7"/>
    <w:rsid w:val="00A32637"/>
    <w:rsid w:val="00A32D8B"/>
    <w:rsid w:val="00A33D81"/>
    <w:rsid w:val="00A34EA5"/>
    <w:rsid w:val="00A34F10"/>
    <w:rsid w:val="00A35A7D"/>
    <w:rsid w:val="00A363E9"/>
    <w:rsid w:val="00A36632"/>
    <w:rsid w:val="00A3696C"/>
    <w:rsid w:val="00A37337"/>
    <w:rsid w:val="00A374A9"/>
    <w:rsid w:val="00A400EE"/>
    <w:rsid w:val="00A40BCE"/>
    <w:rsid w:val="00A415CD"/>
    <w:rsid w:val="00A4163E"/>
    <w:rsid w:val="00A421BE"/>
    <w:rsid w:val="00A42DF5"/>
    <w:rsid w:val="00A435AC"/>
    <w:rsid w:val="00A43C36"/>
    <w:rsid w:val="00A43DDF"/>
    <w:rsid w:val="00A44249"/>
    <w:rsid w:val="00A44819"/>
    <w:rsid w:val="00A44969"/>
    <w:rsid w:val="00A45CCD"/>
    <w:rsid w:val="00A45CDD"/>
    <w:rsid w:val="00A47C57"/>
    <w:rsid w:val="00A51B37"/>
    <w:rsid w:val="00A51CC9"/>
    <w:rsid w:val="00A5245C"/>
    <w:rsid w:val="00A525EA"/>
    <w:rsid w:val="00A52A1C"/>
    <w:rsid w:val="00A53DFC"/>
    <w:rsid w:val="00A54283"/>
    <w:rsid w:val="00A56091"/>
    <w:rsid w:val="00A57319"/>
    <w:rsid w:val="00A5791B"/>
    <w:rsid w:val="00A60975"/>
    <w:rsid w:val="00A609E1"/>
    <w:rsid w:val="00A613DB"/>
    <w:rsid w:val="00A61E6C"/>
    <w:rsid w:val="00A640FA"/>
    <w:rsid w:val="00A64140"/>
    <w:rsid w:val="00A64B2C"/>
    <w:rsid w:val="00A64DC2"/>
    <w:rsid w:val="00A65D35"/>
    <w:rsid w:val="00A65DD2"/>
    <w:rsid w:val="00A66E84"/>
    <w:rsid w:val="00A66EB0"/>
    <w:rsid w:val="00A67DD3"/>
    <w:rsid w:val="00A70ADE"/>
    <w:rsid w:val="00A72570"/>
    <w:rsid w:val="00A72879"/>
    <w:rsid w:val="00A74DA8"/>
    <w:rsid w:val="00A75213"/>
    <w:rsid w:val="00A75C3D"/>
    <w:rsid w:val="00A76D91"/>
    <w:rsid w:val="00A776A7"/>
    <w:rsid w:val="00A813ED"/>
    <w:rsid w:val="00A83C23"/>
    <w:rsid w:val="00A8456B"/>
    <w:rsid w:val="00A859D1"/>
    <w:rsid w:val="00A85FFE"/>
    <w:rsid w:val="00A86EF2"/>
    <w:rsid w:val="00A871FD"/>
    <w:rsid w:val="00A87676"/>
    <w:rsid w:val="00A8768A"/>
    <w:rsid w:val="00A8769B"/>
    <w:rsid w:val="00A87C9F"/>
    <w:rsid w:val="00A90251"/>
    <w:rsid w:val="00A904C6"/>
    <w:rsid w:val="00A90737"/>
    <w:rsid w:val="00A912B1"/>
    <w:rsid w:val="00A918E4"/>
    <w:rsid w:val="00A92113"/>
    <w:rsid w:val="00A94805"/>
    <w:rsid w:val="00A94936"/>
    <w:rsid w:val="00A94F19"/>
    <w:rsid w:val="00A94F46"/>
    <w:rsid w:val="00A953BE"/>
    <w:rsid w:val="00A95401"/>
    <w:rsid w:val="00A9658B"/>
    <w:rsid w:val="00A96A68"/>
    <w:rsid w:val="00AA06CA"/>
    <w:rsid w:val="00AA07F7"/>
    <w:rsid w:val="00AA0C30"/>
    <w:rsid w:val="00AA0FE5"/>
    <w:rsid w:val="00AA1324"/>
    <w:rsid w:val="00AA1BA2"/>
    <w:rsid w:val="00AA26D9"/>
    <w:rsid w:val="00AA2F5A"/>
    <w:rsid w:val="00AA3E22"/>
    <w:rsid w:val="00AA4CA2"/>
    <w:rsid w:val="00AA620C"/>
    <w:rsid w:val="00AA6CF2"/>
    <w:rsid w:val="00AB0032"/>
    <w:rsid w:val="00AB013A"/>
    <w:rsid w:val="00AB0B8D"/>
    <w:rsid w:val="00AB119C"/>
    <w:rsid w:val="00AB1531"/>
    <w:rsid w:val="00AB24B3"/>
    <w:rsid w:val="00AB277D"/>
    <w:rsid w:val="00AB2C2F"/>
    <w:rsid w:val="00AB2CAF"/>
    <w:rsid w:val="00AB4C7B"/>
    <w:rsid w:val="00AB6C67"/>
    <w:rsid w:val="00AB7FF8"/>
    <w:rsid w:val="00AC28DD"/>
    <w:rsid w:val="00AC2B36"/>
    <w:rsid w:val="00AC2CDE"/>
    <w:rsid w:val="00AC3B09"/>
    <w:rsid w:val="00AC4380"/>
    <w:rsid w:val="00AC46AE"/>
    <w:rsid w:val="00AC4FC6"/>
    <w:rsid w:val="00AC564B"/>
    <w:rsid w:val="00AC5757"/>
    <w:rsid w:val="00AC5D37"/>
    <w:rsid w:val="00AC5DEA"/>
    <w:rsid w:val="00AC72FF"/>
    <w:rsid w:val="00AC7BCF"/>
    <w:rsid w:val="00AD09D9"/>
    <w:rsid w:val="00AD16F4"/>
    <w:rsid w:val="00AD17DE"/>
    <w:rsid w:val="00AD454B"/>
    <w:rsid w:val="00AD557B"/>
    <w:rsid w:val="00AD7A42"/>
    <w:rsid w:val="00AD7F8A"/>
    <w:rsid w:val="00AE0DC8"/>
    <w:rsid w:val="00AE1A7D"/>
    <w:rsid w:val="00AE1DBC"/>
    <w:rsid w:val="00AE25F8"/>
    <w:rsid w:val="00AE2CEB"/>
    <w:rsid w:val="00AE490A"/>
    <w:rsid w:val="00AE4B5A"/>
    <w:rsid w:val="00AE52BD"/>
    <w:rsid w:val="00AE5878"/>
    <w:rsid w:val="00AE5B3D"/>
    <w:rsid w:val="00AE5CFF"/>
    <w:rsid w:val="00AE6319"/>
    <w:rsid w:val="00AE7239"/>
    <w:rsid w:val="00AF124B"/>
    <w:rsid w:val="00AF1931"/>
    <w:rsid w:val="00AF1BB1"/>
    <w:rsid w:val="00AF2932"/>
    <w:rsid w:val="00AF2AEC"/>
    <w:rsid w:val="00AF303E"/>
    <w:rsid w:val="00AF31E2"/>
    <w:rsid w:val="00AF442E"/>
    <w:rsid w:val="00AF49FA"/>
    <w:rsid w:val="00AF5B52"/>
    <w:rsid w:val="00AF6EAA"/>
    <w:rsid w:val="00AF7C72"/>
    <w:rsid w:val="00B0041B"/>
    <w:rsid w:val="00B01E90"/>
    <w:rsid w:val="00B02E0A"/>
    <w:rsid w:val="00B03072"/>
    <w:rsid w:val="00B03FB5"/>
    <w:rsid w:val="00B04446"/>
    <w:rsid w:val="00B04C4D"/>
    <w:rsid w:val="00B0590A"/>
    <w:rsid w:val="00B0794B"/>
    <w:rsid w:val="00B07FF3"/>
    <w:rsid w:val="00B101D8"/>
    <w:rsid w:val="00B10A87"/>
    <w:rsid w:val="00B11333"/>
    <w:rsid w:val="00B11604"/>
    <w:rsid w:val="00B11662"/>
    <w:rsid w:val="00B118E0"/>
    <w:rsid w:val="00B122BB"/>
    <w:rsid w:val="00B12735"/>
    <w:rsid w:val="00B141BD"/>
    <w:rsid w:val="00B14CEB"/>
    <w:rsid w:val="00B16694"/>
    <w:rsid w:val="00B17F81"/>
    <w:rsid w:val="00B207F2"/>
    <w:rsid w:val="00B20A2F"/>
    <w:rsid w:val="00B213CA"/>
    <w:rsid w:val="00B21CEF"/>
    <w:rsid w:val="00B21E00"/>
    <w:rsid w:val="00B223EE"/>
    <w:rsid w:val="00B23067"/>
    <w:rsid w:val="00B24A42"/>
    <w:rsid w:val="00B26B16"/>
    <w:rsid w:val="00B2744E"/>
    <w:rsid w:val="00B27A18"/>
    <w:rsid w:val="00B27A2D"/>
    <w:rsid w:val="00B27E36"/>
    <w:rsid w:val="00B27EFB"/>
    <w:rsid w:val="00B3002F"/>
    <w:rsid w:val="00B31269"/>
    <w:rsid w:val="00B325E6"/>
    <w:rsid w:val="00B32661"/>
    <w:rsid w:val="00B327AF"/>
    <w:rsid w:val="00B3286C"/>
    <w:rsid w:val="00B337B3"/>
    <w:rsid w:val="00B33F27"/>
    <w:rsid w:val="00B342E5"/>
    <w:rsid w:val="00B35133"/>
    <w:rsid w:val="00B3513D"/>
    <w:rsid w:val="00B35189"/>
    <w:rsid w:val="00B3537C"/>
    <w:rsid w:val="00B36562"/>
    <w:rsid w:val="00B37280"/>
    <w:rsid w:val="00B37B03"/>
    <w:rsid w:val="00B41051"/>
    <w:rsid w:val="00B412EA"/>
    <w:rsid w:val="00B4146B"/>
    <w:rsid w:val="00B42B6E"/>
    <w:rsid w:val="00B42E36"/>
    <w:rsid w:val="00B4451F"/>
    <w:rsid w:val="00B4560E"/>
    <w:rsid w:val="00B467DF"/>
    <w:rsid w:val="00B46D42"/>
    <w:rsid w:val="00B46D85"/>
    <w:rsid w:val="00B5037A"/>
    <w:rsid w:val="00B50816"/>
    <w:rsid w:val="00B50F3B"/>
    <w:rsid w:val="00B526BD"/>
    <w:rsid w:val="00B52776"/>
    <w:rsid w:val="00B52827"/>
    <w:rsid w:val="00B5303B"/>
    <w:rsid w:val="00B5334A"/>
    <w:rsid w:val="00B53869"/>
    <w:rsid w:val="00B53D19"/>
    <w:rsid w:val="00B55937"/>
    <w:rsid w:val="00B55F46"/>
    <w:rsid w:val="00B57498"/>
    <w:rsid w:val="00B5786F"/>
    <w:rsid w:val="00B603AB"/>
    <w:rsid w:val="00B60D79"/>
    <w:rsid w:val="00B61852"/>
    <w:rsid w:val="00B622E1"/>
    <w:rsid w:val="00B62573"/>
    <w:rsid w:val="00B63034"/>
    <w:rsid w:val="00B640BD"/>
    <w:rsid w:val="00B6672E"/>
    <w:rsid w:val="00B66762"/>
    <w:rsid w:val="00B66C71"/>
    <w:rsid w:val="00B66D67"/>
    <w:rsid w:val="00B703BA"/>
    <w:rsid w:val="00B7094B"/>
    <w:rsid w:val="00B70A99"/>
    <w:rsid w:val="00B71A83"/>
    <w:rsid w:val="00B71B93"/>
    <w:rsid w:val="00B730C3"/>
    <w:rsid w:val="00B739FA"/>
    <w:rsid w:val="00B73EB5"/>
    <w:rsid w:val="00B7522E"/>
    <w:rsid w:val="00B776D3"/>
    <w:rsid w:val="00B777A1"/>
    <w:rsid w:val="00B77EFB"/>
    <w:rsid w:val="00B80B36"/>
    <w:rsid w:val="00B81788"/>
    <w:rsid w:val="00B84151"/>
    <w:rsid w:val="00B84A63"/>
    <w:rsid w:val="00B85912"/>
    <w:rsid w:val="00B860C8"/>
    <w:rsid w:val="00B8666F"/>
    <w:rsid w:val="00B8721A"/>
    <w:rsid w:val="00B8773A"/>
    <w:rsid w:val="00B904F7"/>
    <w:rsid w:val="00B90715"/>
    <w:rsid w:val="00B909C5"/>
    <w:rsid w:val="00B936EC"/>
    <w:rsid w:val="00B94188"/>
    <w:rsid w:val="00B94D20"/>
    <w:rsid w:val="00B95542"/>
    <w:rsid w:val="00B96822"/>
    <w:rsid w:val="00BA088F"/>
    <w:rsid w:val="00BA0E37"/>
    <w:rsid w:val="00BA10D5"/>
    <w:rsid w:val="00BA1E5B"/>
    <w:rsid w:val="00BA2D2F"/>
    <w:rsid w:val="00BA2FAE"/>
    <w:rsid w:val="00BA3D0C"/>
    <w:rsid w:val="00BA4533"/>
    <w:rsid w:val="00BA647F"/>
    <w:rsid w:val="00BB1305"/>
    <w:rsid w:val="00BB135F"/>
    <w:rsid w:val="00BB1DF3"/>
    <w:rsid w:val="00BB289C"/>
    <w:rsid w:val="00BB2964"/>
    <w:rsid w:val="00BB3776"/>
    <w:rsid w:val="00BB4BF1"/>
    <w:rsid w:val="00BB59C3"/>
    <w:rsid w:val="00BB6CC2"/>
    <w:rsid w:val="00BB730A"/>
    <w:rsid w:val="00BB76D9"/>
    <w:rsid w:val="00BB7727"/>
    <w:rsid w:val="00BC1894"/>
    <w:rsid w:val="00BC25D0"/>
    <w:rsid w:val="00BC2AEE"/>
    <w:rsid w:val="00BC3EB0"/>
    <w:rsid w:val="00BC4264"/>
    <w:rsid w:val="00BC49DC"/>
    <w:rsid w:val="00BC623D"/>
    <w:rsid w:val="00BC64C9"/>
    <w:rsid w:val="00BC6758"/>
    <w:rsid w:val="00BC707D"/>
    <w:rsid w:val="00BD1DA1"/>
    <w:rsid w:val="00BD665B"/>
    <w:rsid w:val="00BD7225"/>
    <w:rsid w:val="00BD72EF"/>
    <w:rsid w:val="00BD7405"/>
    <w:rsid w:val="00BD7C98"/>
    <w:rsid w:val="00BE0259"/>
    <w:rsid w:val="00BE11A3"/>
    <w:rsid w:val="00BE3686"/>
    <w:rsid w:val="00BE7121"/>
    <w:rsid w:val="00BE73D8"/>
    <w:rsid w:val="00BE77CC"/>
    <w:rsid w:val="00BF105D"/>
    <w:rsid w:val="00BF1482"/>
    <w:rsid w:val="00BF2108"/>
    <w:rsid w:val="00BF24F3"/>
    <w:rsid w:val="00BF30B1"/>
    <w:rsid w:val="00BF3630"/>
    <w:rsid w:val="00BF36E4"/>
    <w:rsid w:val="00BF7C2B"/>
    <w:rsid w:val="00C025A3"/>
    <w:rsid w:val="00C02FF6"/>
    <w:rsid w:val="00C049F2"/>
    <w:rsid w:val="00C050E7"/>
    <w:rsid w:val="00C0511B"/>
    <w:rsid w:val="00C055CF"/>
    <w:rsid w:val="00C06774"/>
    <w:rsid w:val="00C07605"/>
    <w:rsid w:val="00C10848"/>
    <w:rsid w:val="00C1086C"/>
    <w:rsid w:val="00C11335"/>
    <w:rsid w:val="00C117CB"/>
    <w:rsid w:val="00C11FEC"/>
    <w:rsid w:val="00C122DD"/>
    <w:rsid w:val="00C132EB"/>
    <w:rsid w:val="00C13511"/>
    <w:rsid w:val="00C13C62"/>
    <w:rsid w:val="00C15988"/>
    <w:rsid w:val="00C15B89"/>
    <w:rsid w:val="00C16077"/>
    <w:rsid w:val="00C22426"/>
    <w:rsid w:val="00C22594"/>
    <w:rsid w:val="00C23886"/>
    <w:rsid w:val="00C23B83"/>
    <w:rsid w:val="00C24EBB"/>
    <w:rsid w:val="00C25A77"/>
    <w:rsid w:val="00C26AE4"/>
    <w:rsid w:val="00C273A6"/>
    <w:rsid w:val="00C2766A"/>
    <w:rsid w:val="00C27D90"/>
    <w:rsid w:val="00C305D9"/>
    <w:rsid w:val="00C306C2"/>
    <w:rsid w:val="00C339ED"/>
    <w:rsid w:val="00C33A08"/>
    <w:rsid w:val="00C358CE"/>
    <w:rsid w:val="00C37395"/>
    <w:rsid w:val="00C373AB"/>
    <w:rsid w:val="00C37EE0"/>
    <w:rsid w:val="00C40737"/>
    <w:rsid w:val="00C4115D"/>
    <w:rsid w:val="00C4257F"/>
    <w:rsid w:val="00C43B45"/>
    <w:rsid w:val="00C43F09"/>
    <w:rsid w:val="00C43F73"/>
    <w:rsid w:val="00C4476F"/>
    <w:rsid w:val="00C44DD5"/>
    <w:rsid w:val="00C45029"/>
    <w:rsid w:val="00C4576F"/>
    <w:rsid w:val="00C46353"/>
    <w:rsid w:val="00C466B7"/>
    <w:rsid w:val="00C500C9"/>
    <w:rsid w:val="00C5031C"/>
    <w:rsid w:val="00C503C5"/>
    <w:rsid w:val="00C51ACB"/>
    <w:rsid w:val="00C5225D"/>
    <w:rsid w:val="00C522CA"/>
    <w:rsid w:val="00C528FC"/>
    <w:rsid w:val="00C52FF6"/>
    <w:rsid w:val="00C53BC8"/>
    <w:rsid w:val="00C57930"/>
    <w:rsid w:val="00C600FB"/>
    <w:rsid w:val="00C60FB6"/>
    <w:rsid w:val="00C619CC"/>
    <w:rsid w:val="00C62116"/>
    <w:rsid w:val="00C622F0"/>
    <w:rsid w:val="00C6261A"/>
    <w:rsid w:val="00C6298A"/>
    <w:rsid w:val="00C6327B"/>
    <w:rsid w:val="00C63765"/>
    <w:rsid w:val="00C6382F"/>
    <w:rsid w:val="00C63D1D"/>
    <w:rsid w:val="00C6464B"/>
    <w:rsid w:val="00C64BC7"/>
    <w:rsid w:val="00C64C04"/>
    <w:rsid w:val="00C64ED6"/>
    <w:rsid w:val="00C65D42"/>
    <w:rsid w:val="00C66ED8"/>
    <w:rsid w:val="00C67E24"/>
    <w:rsid w:val="00C70A4B"/>
    <w:rsid w:val="00C70AB5"/>
    <w:rsid w:val="00C719D1"/>
    <w:rsid w:val="00C72390"/>
    <w:rsid w:val="00C725FD"/>
    <w:rsid w:val="00C72A7B"/>
    <w:rsid w:val="00C73E10"/>
    <w:rsid w:val="00C7411E"/>
    <w:rsid w:val="00C76C6A"/>
    <w:rsid w:val="00C8044F"/>
    <w:rsid w:val="00C806B7"/>
    <w:rsid w:val="00C81F37"/>
    <w:rsid w:val="00C82B2B"/>
    <w:rsid w:val="00C83C67"/>
    <w:rsid w:val="00C83E49"/>
    <w:rsid w:val="00C84576"/>
    <w:rsid w:val="00C85361"/>
    <w:rsid w:val="00C85EFF"/>
    <w:rsid w:val="00C866C2"/>
    <w:rsid w:val="00C869FD"/>
    <w:rsid w:val="00C87FBB"/>
    <w:rsid w:val="00C90B74"/>
    <w:rsid w:val="00C91309"/>
    <w:rsid w:val="00C91712"/>
    <w:rsid w:val="00C928F4"/>
    <w:rsid w:val="00C939F5"/>
    <w:rsid w:val="00C93C9B"/>
    <w:rsid w:val="00C957F3"/>
    <w:rsid w:val="00C9584D"/>
    <w:rsid w:val="00C95C46"/>
    <w:rsid w:val="00C95FFF"/>
    <w:rsid w:val="00C96EBB"/>
    <w:rsid w:val="00CA147F"/>
    <w:rsid w:val="00CA1CEF"/>
    <w:rsid w:val="00CA231F"/>
    <w:rsid w:val="00CA31D2"/>
    <w:rsid w:val="00CA31F4"/>
    <w:rsid w:val="00CA612D"/>
    <w:rsid w:val="00CA657D"/>
    <w:rsid w:val="00CA7863"/>
    <w:rsid w:val="00CA799A"/>
    <w:rsid w:val="00CB0B7B"/>
    <w:rsid w:val="00CB1E12"/>
    <w:rsid w:val="00CB2BA2"/>
    <w:rsid w:val="00CB2D3C"/>
    <w:rsid w:val="00CB2E55"/>
    <w:rsid w:val="00CB33EF"/>
    <w:rsid w:val="00CB35D9"/>
    <w:rsid w:val="00CB36C5"/>
    <w:rsid w:val="00CB37CC"/>
    <w:rsid w:val="00CB4ADA"/>
    <w:rsid w:val="00CB584B"/>
    <w:rsid w:val="00CB638F"/>
    <w:rsid w:val="00CB69AA"/>
    <w:rsid w:val="00CB6B79"/>
    <w:rsid w:val="00CC0DA4"/>
    <w:rsid w:val="00CC0E49"/>
    <w:rsid w:val="00CC173C"/>
    <w:rsid w:val="00CC1DB2"/>
    <w:rsid w:val="00CC2EC6"/>
    <w:rsid w:val="00CC2FAB"/>
    <w:rsid w:val="00CC47ED"/>
    <w:rsid w:val="00CC4A53"/>
    <w:rsid w:val="00CC66B1"/>
    <w:rsid w:val="00CC6C13"/>
    <w:rsid w:val="00CC7565"/>
    <w:rsid w:val="00CC7C42"/>
    <w:rsid w:val="00CC7F91"/>
    <w:rsid w:val="00CD080E"/>
    <w:rsid w:val="00CD276D"/>
    <w:rsid w:val="00CD3200"/>
    <w:rsid w:val="00CD34A0"/>
    <w:rsid w:val="00CD359D"/>
    <w:rsid w:val="00CD4AD2"/>
    <w:rsid w:val="00CD5927"/>
    <w:rsid w:val="00CD71A5"/>
    <w:rsid w:val="00CE0300"/>
    <w:rsid w:val="00CE05A5"/>
    <w:rsid w:val="00CE2350"/>
    <w:rsid w:val="00CE23AF"/>
    <w:rsid w:val="00CE3285"/>
    <w:rsid w:val="00CE4373"/>
    <w:rsid w:val="00CE465A"/>
    <w:rsid w:val="00CE7A94"/>
    <w:rsid w:val="00CE7E01"/>
    <w:rsid w:val="00CF10A9"/>
    <w:rsid w:val="00CF358F"/>
    <w:rsid w:val="00CF3C00"/>
    <w:rsid w:val="00CF46C0"/>
    <w:rsid w:val="00CF5DC4"/>
    <w:rsid w:val="00CF63E6"/>
    <w:rsid w:val="00CF640F"/>
    <w:rsid w:val="00CF6416"/>
    <w:rsid w:val="00CF7518"/>
    <w:rsid w:val="00D009F4"/>
    <w:rsid w:val="00D015A5"/>
    <w:rsid w:val="00D01739"/>
    <w:rsid w:val="00D03BD9"/>
    <w:rsid w:val="00D03CF3"/>
    <w:rsid w:val="00D0545B"/>
    <w:rsid w:val="00D058AA"/>
    <w:rsid w:val="00D05A0C"/>
    <w:rsid w:val="00D05DC5"/>
    <w:rsid w:val="00D07C89"/>
    <w:rsid w:val="00D11A56"/>
    <w:rsid w:val="00D12044"/>
    <w:rsid w:val="00D1239C"/>
    <w:rsid w:val="00D12408"/>
    <w:rsid w:val="00D12A38"/>
    <w:rsid w:val="00D13618"/>
    <w:rsid w:val="00D13DD4"/>
    <w:rsid w:val="00D1418A"/>
    <w:rsid w:val="00D1501F"/>
    <w:rsid w:val="00D15277"/>
    <w:rsid w:val="00D1543E"/>
    <w:rsid w:val="00D15978"/>
    <w:rsid w:val="00D15C9E"/>
    <w:rsid w:val="00D16944"/>
    <w:rsid w:val="00D174A5"/>
    <w:rsid w:val="00D17F37"/>
    <w:rsid w:val="00D22479"/>
    <w:rsid w:val="00D240AB"/>
    <w:rsid w:val="00D24AF2"/>
    <w:rsid w:val="00D25251"/>
    <w:rsid w:val="00D254E1"/>
    <w:rsid w:val="00D25DD2"/>
    <w:rsid w:val="00D2687C"/>
    <w:rsid w:val="00D26FDF"/>
    <w:rsid w:val="00D2709C"/>
    <w:rsid w:val="00D277FD"/>
    <w:rsid w:val="00D27B01"/>
    <w:rsid w:val="00D27B23"/>
    <w:rsid w:val="00D27C28"/>
    <w:rsid w:val="00D27E12"/>
    <w:rsid w:val="00D27F48"/>
    <w:rsid w:val="00D30680"/>
    <w:rsid w:val="00D307FC"/>
    <w:rsid w:val="00D30EA5"/>
    <w:rsid w:val="00D30F34"/>
    <w:rsid w:val="00D31116"/>
    <w:rsid w:val="00D318B8"/>
    <w:rsid w:val="00D318DD"/>
    <w:rsid w:val="00D31BFC"/>
    <w:rsid w:val="00D32BB4"/>
    <w:rsid w:val="00D34382"/>
    <w:rsid w:val="00D345B7"/>
    <w:rsid w:val="00D37365"/>
    <w:rsid w:val="00D376AF"/>
    <w:rsid w:val="00D40DA6"/>
    <w:rsid w:val="00D41557"/>
    <w:rsid w:val="00D41B86"/>
    <w:rsid w:val="00D41C36"/>
    <w:rsid w:val="00D42261"/>
    <w:rsid w:val="00D42422"/>
    <w:rsid w:val="00D42F91"/>
    <w:rsid w:val="00D43B6D"/>
    <w:rsid w:val="00D43DB2"/>
    <w:rsid w:val="00D444BC"/>
    <w:rsid w:val="00D45F53"/>
    <w:rsid w:val="00D50891"/>
    <w:rsid w:val="00D51ADF"/>
    <w:rsid w:val="00D51DF3"/>
    <w:rsid w:val="00D54173"/>
    <w:rsid w:val="00D56168"/>
    <w:rsid w:val="00D5697F"/>
    <w:rsid w:val="00D56B6C"/>
    <w:rsid w:val="00D60CF9"/>
    <w:rsid w:val="00D61D2E"/>
    <w:rsid w:val="00D6254A"/>
    <w:rsid w:val="00D630AE"/>
    <w:rsid w:val="00D638F5"/>
    <w:rsid w:val="00D64DF5"/>
    <w:rsid w:val="00D64FF6"/>
    <w:rsid w:val="00D65DCE"/>
    <w:rsid w:val="00D65FAC"/>
    <w:rsid w:val="00D676DB"/>
    <w:rsid w:val="00D67994"/>
    <w:rsid w:val="00D71696"/>
    <w:rsid w:val="00D719DF"/>
    <w:rsid w:val="00D71FE4"/>
    <w:rsid w:val="00D73C80"/>
    <w:rsid w:val="00D741DA"/>
    <w:rsid w:val="00D745C2"/>
    <w:rsid w:val="00D7618D"/>
    <w:rsid w:val="00D7665B"/>
    <w:rsid w:val="00D76FBD"/>
    <w:rsid w:val="00D773C5"/>
    <w:rsid w:val="00D776B4"/>
    <w:rsid w:val="00D779A7"/>
    <w:rsid w:val="00D77FCA"/>
    <w:rsid w:val="00D801C6"/>
    <w:rsid w:val="00D80492"/>
    <w:rsid w:val="00D80619"/>
    <w:rsid w:val="00D8121E"/>
    <w:rsid w:val="00D822C6"/>
    <w:rsid w:val="00D82A92"/>
    <w:rsid w:val="00D82D1B"/>
    <w:rsid w:val="00D82F9D"/>
    <w:rsid w:val="00D82FC1"/>
    <w:rsid w:val="00D8485B"/>
    <w:rsid w:val="00D85471"/>
    <w:rsid w:val="00D8610F"/>
    <w:rsid w:val="00D86813"/>
    <w:rsid w:val="00D869F1"/>
    <w:rsid w:val="00D86ED9"/>
    <w:rsid w:val="00D8732E"/>
    <w:rsid w:val="00D8748A"/>
    <w:rsid w:val="00D875A3"/>
    <w:rsid w:val="00D876D7"/>
    <w:rsid w:val="00D87D52"/>
    <w:rsid w:val="00D87E18"/>
    <w:rsid w:val="00D901B5"/>
    <w:rsid w:val="00D904A3"/>
    <w:rsid w:val="00D90CAD"/>
    <w:rsid w:val="00D92944"/>
    <w:rsid w:val="00D94275"/>
    <w:rsid w:val="00D94427"/>
    <w:rsid w:val="00D944A5"/>
    <w:rsid w:val="00D94FAE"/>
    <w:rsid w:val="00D9562E"/>
    <w:rsid w:val="00D969B6"/>
    <w:rsid w:val="00D97D5F"/>
    <w:rsid w:val="00DA0006"/>
    <w:rsid w:val="00DA08FD"/>
    <w:rsid w:val="00DA11C0"/>
    <w:rsid w:val="00DA2202"/>
    <w:rsid w:val="00DA2D76"/>
    <w:rsid w:val="00DA34D7"/>
    <w:rsid w:val="00DA3BE1"/>
    <w:rsid w:val="00DA3CBD"/>
    <w:rsid w:val="00DA43BE"/>
    <w:rsid w:val="00DA4AD4"/>
    <w:rsid w:val="00DA4C42"/>
    <w:rsid w:val="00DA56B6"/>
    <w:rsid w:val="00DA5CC8"/>
    <w:rsid w:val="00DB0116"/>
    <w:rsid w:val="00DB0C89"/>
    <w:rsid w:val="00DB3CDA"/>
    <w:rsid w:val="00DB3DAC"/>
    <w:rsid w:val="00DB466E"/>
    <w:rsid w:val="00DB54B7"/>
    <w:rsid w:val="00DB5B4B"/>
    <w:rsid w:val="00DB5CB4"/>
    <w:rsid w:val="00DC0FE7"/>
    <w:rsid w:val="00DC2212"/>
    <w:rsid w:val="00DC2840"/>
    <w:rsid w:val="00DC334F"/>
    <w:rsid w:val="00DC42F5"/>
    <w:rsid w:val="00DC4489"/>
    <w:rsid w:val="00DC4D7E"/>
    <w:rsid w:val="00DC4DBE"/>
    <w:rsid w:val="00DC5043"/>
    <w:rsid w:val="00DC5CEE"/>
    <w:rsid w:val="00DC657C"/>
    <w:rsid w:val="00DC7D8D"/>
    <w:rsid w:val="00DD0160"/>
    <w:rsid w:val="00DD0B95"/>
    <w:rsid w:val="00DD1966"/>
    <w:rsid w:val="00DD1B52"/>
    <w:rsid w:val="00DD31A3"/>
    <w:rsid w:val="00DD3426"/>
    <w:rsid w:val="00DD3724"/>
    <w:rsid w:val="00DD392A"/>
    <w:rsid w:val="00DD4B1C"/>
    <w:rsid w:val="00DD4C4B"/>
    <w:rsid w:val="00DD4CA1"/>
    <w:rsid w:val="00DD508F"/>
    <w:rsid w:val="00DD5463"/>
    <w:rsid w:val="00DD5486"/>
    <w:rsid w:val="00DD649F"/>
    <w:rsid w:val="00DD79EC"/>
    <w:rsid w:val="00DE1310"/>
    <w:rsid w:val="00DE1859"/>
    <w:rsid w:val="00DE1F3F"/>
    <w:rsid w:val="00DE3E82"/>
    <w:rsid w:val="00DE453A"/>
    <w:rsid w:val="00DE4E02"/>
    <w:rsid w:val="00DE70C9"/>
    <w:rsid w:val="00DE7147"/>
    <w:rsid w:val="00DE775D"/>
    <w:rsid w:val="00DF1052"/>
    <w:rsid w:val="00DF11DF"/>
    <w:rsid w:val="00DF188F"/>
    <w:rsid w:val="00DF2513"/>
    <w:rsid w:val="00DF2740"/>
    <w:rsid w:val="00DF2A32"/>
    <w:rsid w:val="00DF4643"/>
    <w:rsid w:val="00DF4689"/>
    <w:rsid w:val="00DF4740"/>
    <w:rsid w:val="00DF5525"/>
    <w:rsid w:val="00DF55CB"/>
    <w:rsid w:val="00DF5C8A"/>
    <w:rsid w:val="00DF6683"/>
    <w:rsid w:val="00DF717C"/>
    <w:rsid w:val="00DF79FE"/>
    <w:rsid w:val="00E0041A"/>
    <w:rsid w:val="00E00FEA"/>
    <w:rsid w:val="00E01193"/>
    <w:rsid w:val="00E01231"/>
    <w:rsid w:val="00E012FA"/>
    <w:rsid w:val="00E02710"/>
    <w:rsid w:val="00E02B09"/>
    <w:rsid w:val="00E02CE1"/>
    <w:rsid w:val="00E03966"/>
    <w:rsid w:val="00E04480"/>
    <w:rsid w:val="00E04881"/>
    <w:rsid w:val="00E04FB3"/>
    <w:rsid w:val="00E05FB4"/>
    <w:rsid w:val="00E0614C"/>
    <w:rsid w:val="00E07453"/>
    <w:rsid w:val="00E1182A"/>
    <w:rsid w:val="00E12EB1"/>
    <w:rsid w:val="00E14216"/>
    <w:rsid w:val="00E14E3E"/>
    <w:rsid w:val="00E15EB4"/>
    <w:rsid w:val="00E16090"/>
    <w:rsid w:val="00E1683A"/>
    <w:rsid w:val="00E16B94"/>
    <w:rsid w:val="00E172FF"/>
    <w:rsid w:val="00E22417"/>
    <w:rsid w:val="00E2275B"/>
    <w:rsid w:val="00E23518"/>
    <w:rsid w:val="00E2378C"/>
    <w:rsid w:val="00E24D69"/>
    <w:rsid w:val="00E257B1"/>
    <w:rsid w:val="00E25FCF"/>
    <w:rsid w:val="00E26020"/>
    <w:rsid w:val="00E2640F"/>
    <w:rsid w:val="00E26881"/>
    <w:rsid w:val="00E26BB6"/>
    <w:rsid w:val="00E278A0"/>
    <w:rsid w:val="00E30161"/>
    <w:rsid w:val="00E301B5"/>
    <w:rsid w:val="00E30C83"/>
    <w:rsid w:val="00E311FE"/>
    <w:rsid w:val="00E3164C"/>
    <w:rsid w:val="00E31B06"/>
    <w:rsid w:val="00E31D2F"/>
    <w:rsid w:val="00E31F41"/>
    <w:rsid w:val="00E321CC"/>
    <w:rsid w:val="00E322A1"/>
    <w:rsid w:val="00E33306"/>
    <w:rsid w:val="00E337FB"/>
    <w:rsid w:val="00E33ADC"/>
    <w:rsid w:val="00E40FF9"/>
    <w:rsid w:val="00E41038"/>
    <w:rsid w:val="00E42041"/>
    <w:rsid w:val="00E421BB"/>
    <w:rsid w:val="00E42255"/>
    <w:rsid w:val="00E42A40"/>
    <w:rsid w:val="00E43448"/>
    <w:rsid w:val="00E43FF5"/>
    <w:rsid w:val="00E44714"/>
    <w:rsid w:val="00E4498F"/>
    <w:rsid w:val="00E45056"/>
    <w:rsid w:val="00E45706"/>
    <w:rsid w:val="00E47872"/>
    <w:rsid w:val="00E47D81"/>
    <w:rsid w:val="00E501BF"/>
    <w:rsid w:val="00E5070C"/>
    <w:rsid w:val="00E518CF"/>
    <w:rsid w:val="00E5374A"/>
    <w:rsid w:val="00E53CCD"/>
    <w:rsid w:val="00E550CC"/>
    <w:rsid w:val="00E57673"/>
    <w:rsid w:val="00E57C55"/>
    <w:rsid w:val="00E603FF"/>
    <w:rsid w:val="00E609BA"/>
    <w:rsid w:val="00E60BD4"/>
    <w:rsid w:val="00E61043"/>
    <w:rsid w:val="00E61414"/>
    <w:rsid w:val="00E619CD"/>
    <w:rsid w:val="00E62DDE"/>
    <w:rsid w:val="00E63027"/>
    <w:rsid w:val="00E63547"/>
    <w:rsid w:val="00E65081"/>
    <w:rsid w:val="00E65716"/>
    <w:rsid w:val="00E66BBB"/>
    <w:rsid w:val="00E66D33"/>
    <w:rsid w:val="00E67D5C"/>
    <w:rsid w:val="00E708B3"/>
    <w:rsid w:val="00E7164B"/>
    <w:rsid w:val="00E71F33"/>
    <w:rsid w:val="00E72892"/>
    <w:rsid w:val="00E72D20"/>
    <w:rsid w:val="00E72E03"/>
    <w:rsid w:val="00E73B01"/>
    <w:rsid w:val="00E73B6F"/>
    <w:rsid w:val="00E73F2B"/>
    <w:rsid w:val="00E746F0"/>
    <w:rsid w:val="00E748FF"/>
    <w:rsid w:val="00E75261"/>
    <w:rsid w:val="00E75C8E"/>
    <w:rsid w:val="00E75CD8"/>
    <w:rsid w:val="00E76034"/>
    <w:rsid w:val="00E76DE4"/>
    <w:rsid w:val="00E80015"/>
    <w:rsid w:val="00E80384"/>
    <w:rsid w:val="00E80B22"/>
    <w:rsid w:val="00E81150"/>
    <w:rsid w:val="00E81A1B"/>
    <w:rsid w:val="00E81D3E"/>
    <w:rsid w:val="00E8211C"/>
    <w:rsid w:val="00E823BE"/>
    <w:rsid w:val="00E83DD2"/>
    <w:rsid w:val="00E83DFD"/>
    <w:rsid w:val="00E84248"/>
    <w:rsid w:val="00E8424B"/>
    <w:rsid w:val="00E843D8"/>
    <w:rsid w:val="00E844BF"/>
    <w:rsid w:val="00E8763A"/>
    <w:rsid w:val="00E905DF"/>
    <w:rsid w:val="00E92843"/>
    <w:rsid w:val="00E946A6"/>
    <w:rsid w:val="00E950B5"/>
    <w:rsid w:val="00E95142"/>
    <w:rsid w:val="00E95630"/>
    <w:rsid w:val="00E96118"/>
    <w:rsid w:val="00E96215"/>
    <w:rsid w:val="00E96B6A"/>
    <w:rsid w:val="00E974A7"/>
    <w:rsid w:val="00EA00D1"/>
    <w:rsid w:val="00EA0E9A"/>
    <w:rsid w:val="00EA1461"/>
    <w:rsid w:val="00EA1513"/>
    <w:rsid w:val="00EA1859"/>
    <w:rsid w:val="00EA37E6"/>
    <w:rsid w:val="00EA388B"/>
    <w:rsid w:val="00EA4751"/>
    <w:rsid w:val="00EA5754"/>
    <w:rsid w:val="00EA5EC9"/>
    <w:rsid w:val="00EA7061"/>
    <w:rsid w:val="00EA7F70"/>
    <w:rsid w:val="00EB0CB3"/>
    <w:rsid w:val="00EB1174"/>
    <w:rsid w:val="00EB17AE"/>
    <w:rsid w:val="00EB3982"/>
    <w:rsid w:val="00EB447F"/>
    <w:rsid w:val="00EB4C08"/>
    <w:rsid w:val="00EB50E6"/>
    <w:rsid w:val="00EB59C0"/>
    <w:rsid w:val="00EB66A5"/>
    <w:rsid w:val="00EB67EF"/>
    <w:rsid w:val="00EB6AFA"/>
    <w:rsid w:val="00EB7B54"/>
    <w:rsid w:val="00EC0142"/>
    <w:rsid w:val="00EC0821"/>
    <w:rsid w:val="00EC2784"/>
    <w:rsid w:val="00EC2A51"/>
    <w:rsid w:val="00EC2C5B"/>
    <w:rsid w:val="00EC30FF"/>
    <w:rsid w:val="00EC3782"/>
    <w:rsid w:val="00EC38C7"/>
    <w:rsid w:val="00EC3F76"/>
    <w:rsid w:val="00EC4B49"/>
    <w:rsid w:val="00EC608F"/>
    <w:rsid w:val="00EC6BC9"/>
    <w:rsid w:val="00ED0078"/>
    <w:rsid w:val="00ED07B0"/>
    <w:rsid w:val="00ED10AC"/>
    <w:rsid w:val="00ED1D07"/>
    <w:rsid w:val="00ED2396"/>
    <w:rsid w:val="00ED2A9C"/>
    <w:rsid w:val="00ED2D5E"/>
    <w:rsid w:val="00ED7012"/>
    <w:rsid w:val="00ED72C2"/>
    <w:rsid w:val="00ED75B6"/>
    <w:rsid w:val="00ED7835"/>
    <w:rsid w:val="00EE02AE"/>
    <w:rsid w:val="00EE0946"/>
    <w:rsid w:val="00EE24C4"/>
    <w:rsid w:val="00EE3608"/>
    <w:rsid w:val="00EE42A0"/>
    <w:rsid w:val="00EE4B58"/>
    <w:rsid w:val="00EE4B78"/>
    <w:rsid w:val="00EE4F7F"/>
    <w:rsid w:val="00EE5E43"/>
    <w:rsid w:val="00EE5F2B"/>
    <w:rsid w:val="00EE60AE"/>
    <w:rsid w:val="00EE674F"/>
    <w:rsid w:val="00EE6B2A"/>
    <w:rsid w:val="00EE6E72"/>
    <w:rsid w:val="00EE7C34"/>
    <w:rsid w:val="00EF02E5"/>
    <w:rsid w:val="00EF032E"/>
    <w:rsid w:val="00EF06F8"/>
    <w:rsid w:val="00EF1E11"/>
    <w:rsid w:val="00EF3382"/>
    <w:rsid w:val="00EF3599"/>
    <w:rsid w:val="00EF430D"/>
    <w:rsid w:val="00EF471D"/>
    <w:rsid w:val="00EF494A"/>
    <w:rsid w:val="00EF6AFE"/>
    <w:rsid w:val="00EF7012"/>
    <w:rsid w:val="00EF7653"/>
    <w:rsid w:val="00F005C4"/>
    <w:rsid w:val="00F006C9"/>
    <w:rsid w:val="00F023BE"/>
    <w:rsid w:val="00F02823"/>
    <w:rsid w:val="00F02E8D"/>
    <w:rsid w:val="00F0327D"/>
    <w:rsid w:val="00F0443D"/>
    <w:rsid w:val="00F057E8"/>
    <w:rsid w:val="00F10D7B"/>
    <w:rsid w:val="00F1154D"/>
    <w:rsid w:val="00F12129"/>
    <w:rsid w:val="00F12CDE"/>
    <w:rsid w:val="00F14DBC"/>
    <w:rsid w:val="00F14E75"/>
    <w:rsid w:val="00F1566B"/>
    <w:rsid w:val="00F15676"/>
    <w:rsid w:val="00F166C0"/>
    <w:rsid w:val="00F179AF"/>
    <w:rsid w:val="00F17AA8"/>
    <w:rsid w:val="00F20204"/>
    <w:rsid w:val="00F20344"/>
    <w:rsid w:val="00F2242B"/>
    <w:rsid w:val="00F22980"/>
    <w:rsid w:val="00F23BCB"/>
    <w:rsid w:val="00F251D1"/>
    <w:rsid w:val="00F25977"/>
    <w:rsid w:val="00F262A5"/>
    <w:rsid w:val="00F27505"/>
    <w:rsid w:val="00F3028D"/>
    <w:rsid w:val="00F30524"/>
    <w:rsid w:val="00F3096C"/>
    <w:rsid w:val="00F312A1"/>
    <w:rsid w:val="00F31C24"/>
    <w:rsid w:val="00F3387F"/>
    <w:rsid w:val="00F33F32"/>
    <w:rsid w:val="00F34E74"/>
    <w:rsid w:val="00F366A8"/>
    <w:rsid w:val="00F3711D"/>
    <w:rsid w:val="00F3768D"/>
    <w:rsid w:val="00F40492"/>
    <w:rsid w:val="00F40701"/>
    <w:rsid w:val="00F42488"/>
    <w:rsid w:val="00F42791"/>
    <w:rsid w:val="00F43B5D"/>
    <w:rsid w:val="00F43E00"/>
    <w:rsid w:val="00F43E98"/>
    <w:rsid w:val="00F44C06"/>
    <w:rsid w:val="00F44E62"/>
    <w:rsid w:val="00F452B4"/>
    <w:rsid w:val="00F452CD"/>
    <w:rsid w:val="00F4551B"/>
    <w:rsid w:val="00F46485"/>
    <w:rsid w:val="00F46595"/>
    <w:rsid w:val="00F4685B"/>
    <w:rsid w:val="00F47184"/>
    <w:rsid w:val="00F478CC"/>
    <w:rsid w:val="00F47E3E"/>
    <w:rsid w:val="00F50571"/>
    <w:rsid w:val="00F50C86"/>
    <w:rsid w:val="00F51D79"/>
    <w:rsid w:val="00F521E2"/>
    <w:rsid w:val="00F52D5E"/>
    <w:rsid w:val="00F536AD"/>
    <w:rsid w:val="00F536F5"/>
    <w:rsid w:val="00F54757"/>
    <w:rsid w:val="00F54793"/>
    <w:rsid w:val="00F55BC7"/>
    <w:rsid w:val="00F57351"/>
    <w:rsid w:val="00F60EC0"/>
    <w:rsid w:val="00F61F17"/>
    <w:rsid w:val="00F63EB4"/>
    <w:rsid w:val="00F67879"/>
    <w:rsid w:val="00F70060"/>
    <w:rsid w:val="00F70816"/>
    <w:rsid w:val="00F712DA"/>
    <w:rsid w:val="00F71E56"/>
    <w:rsid w:val="00F72966"/>
    <w:rsid w:val="00F73F82"/>
    <w:rsid w:val="00F74283"/>
    <w:rsid w:val="00F74287"/>
    <w:rsid w:val="00F75463"/>
    <w:rsid w:val="00F75AE2"/>
    <w:rsid w:val="00F76123"/>
    <w:rsid w:val="00F767E5"/>
    <w:rsid w:val="00F76BC6"/>
    <w:rsid w:val="00F76F00"/>
    <w:rsid w:val="00F770D0"/>
    <w:rsid w:val="00F778A0"/>
    <w:rsid w:val="00F800BA"/>
    <w:rsid w:val="00F80B3F"/>
    <w:rsid w:val="00F81477"/>
    <w:rsid w:val="00F8169F"/>
    <w:rsid w:val="00F81B5D"/>
    <w:rsid w:val="00F823B8"/>
    <w:rsid w:val="00F8255F"/>
    <w:rsid w:val="00F837D7"/>
    <w:rsid w:val="00F85E6A"/>
    <w:rsid w:val="00F85EC1"/>
    <w:rsid w:val="00F85F13"/>
    <w:rsid w:val="00F8670C"/>
    <w:rsid w:val="00F876B6"/>
    <w:rsid w:val="00F903A6"/>
    <w:rsid w:val="00F91222"/>
    <w:rsid w:val="00F92EA2"/>
    <w:rsid w:val="00F93167"/>
    <w:rsid w:val="00F93A8D"/>
    <w:rsid w:val="00F93E39"/>
    <w:rsid w:val="00F94D7B"/>
    <w:rsid w:val="00F951A7"/>
    <w:rsid w:val="00F95BAF"/>
    <w:rsid w:val="00F95E15"/>
    <w:rsid w:val="00F9609E"/>
    <w:rsid w:val="00FA01C7"/>
    <w:rsid w:val="00FA032B"/>
    <w:rsid w:val="00FA0C9B"/>
    <w:rsid w:val="00FA18C7"/>
    <w:rsid w:val="00FA18EA"/>
    <w:rsid w:val="00FA1DEC"/>
    <w:rsid w:val="00FA1E1F"/>
    <w:rsid w:val="00FA296A"/>
    <w:rsid w:val="00FA2C87"/>
    <w:rsid w:val="00FA3CA8"/>
    <w:rsid w:val="00FA3D01"/>
    <w:rsid w:val="00FA452D"/>
    <w:rsid w:val="00FA54FB"/>
    <w:rsid w:val="00FA5934"/>
    <w:rsid w:val="00FA5992"/>
    <w:rsid w:val="00FA63A7"/>
    <w:rsid w:val="00FA6794"/>
    <w:rsid w:val="00FA791A"/>
    <w:rsid w:val="00FA7924"/>
    <w:rsid w:val="00FB02D0"/>
    <w:rsid w:val="00FB049E"/>
    <w:rsid w:val="00FB0CB1"/>
    <w:rsid w:val="00FB15CF"/>
    <w:rsid w:val="00FB1633"/>
    <w:rsid w:val="00FB18F7"/>
    <w:rsid w:val="00FB1FE5"/>
    <w:rsid w:val="00FB27E9"/>
    <w:rsid w:val="00FB30BA"/>
    <w:rsid w:val="00FB537B"/>
    <w:rsid w:val="00FB6B31"/>
    <w:rsid w:val="00FB7362"/>
    <w:rsid w:val="00FB754B"/>
    <w:rsid w:val="00FB7C36"/>
    <w:rsid w:val="00FB7E67"/>
    <w:rsid w:val="00FC15B3"/>
    <w:rsid w:val="00FC226A"/>
    <w:rsid w:val="00FC26CE"/>
    <w:rsid w:val="00FC278F"/>
    <w:rsid w:val="00FC4339"/>
    <w:rsid w:val="00FC4662"/>
    <w:rsid w:val="00FC52C8"/>
    <w:rsid w:val="00FC5324"/>
    <w:rsid w:val="00FC5565"/>
    <w:rsid w:val="00FC6FF2"/>
    <w:rsid w:val="00FC7172"/>
    <w:rsid w:val="00FC77F8"/>
    <w:rsid w:val="00FC78DB"/>
    <w:rsid w:val="00FD02F0"/>
    <w:rsid w:val="00FD048C"/>
    <w:rsid w:val="00FD0AB8"/>
    <w:rsid w:val="00FD0BBC"/>
    <w:rsid w:val="00FD20B1"/>
    <w:rsid w:val="00FD323A"/>
    <w:rsid w:val="00FD3FB6"/>
    <w:rsid w:val="00FD4987"/>
    <w:rsid w:val="00FD5AE8"/>
    <w:rsid w:val="00FD5DF7"/>
    <w:rsid w:val="00FD7208"/>
    <w:rsid w:val="00FD7918"/>
    <w:rsid w:val="00FE0099"/>
    <w:rsid w:val="00FE20E0"/>
    <w:rsid w:val="00FE2398"/>
    <w:rsid w:val="00FE258E"/>
    <w:rsid w:val="00FE3900"/>
    <w:rsid w:val="00FE526F"/>
    <w:rsid w:val="00FE54FB"/>
    <w:rsid w:val="00FE57BC"/>
    <w:rsid w:val="00FE588E"/>
    <w:rsid w:val="00FE658E"/>
    <w:rsid w:val="00FE7031"/>
    <w:rsid w:val="00FE72B3"/>
    <w:rsid w:val="00FE74EC"/>
    <w:rsid w:val="00FE794D"/>
    <w:rsid w:val="00FE7ACA"/>
    <w:rsid w:val="00FE7DBE"/>
    <w:rsid w:val="00FF01E4"/>
    <w:rsid w:val="00FF0C58"/>
    <w:rsid w:val="00FF133C"/>
    <w:rsid w:val="00FF1A7F"/>
    <w:rsid w:val="00FF1B87"/>
    <w:rsid w:val="00FF38F7"/>
    <w:rsid w:val="00FF4C90"/>
    <w:rsid w:val="00FF5FAD"/>
    <w:rsid w:val="00FF60FD"/>
    <w:rsid w:val="00FF6B04"/>
    <w:rsid w:val="00FF74E8"/>
    <w:rsid w:val="01992D6D"/>
    <w:rsid w:val="04044F24"/>
    <w:rsid w:val="063F42B8"/>
    <w:rsid w:val="0E045665"/>
    <w:rsid w:val="102E66E0"/>
    <w:rsid w:val="11A1237E"/>
    <w:rsid w:val="11BFB770"/>
    <w:rsid w:val="13545D6E"/>
    <w:rsid w:val="13751B7E"/>
    <w:rsid w:val="1661001A"/>
    <w:rsid w:val="17D012C1"/>
    <w:rsid w:val="1A3E7E02"/>
    <w:rsid w:val="1DFB860F"/>
    <w:rsid w:val="22C8449F"/>
    <w:rsid w:val="233301A9"/>
    <w:rsid w:val="233309F5"/>
    <w:rsid w:val="2474161F"/>
    <w:rsid w:val="290B04D9"/>
    <w:rsid w:val="294D3FD7"/>
    <w:rsid w:val="2D8B3D57"/>
    <w:rsid w:val="2DE15DAF"/>
    <w:rsid w:val="2FAECAF0"/>
    <w:rsid w:val="34F1469D"/>
    <w:rsid w:val="350A4C69"/>
    <w:rsid w:val="416C7084"/>
    <w:rsid w:val="428C0C4F"/>
    <w:rsid w:val="46BF0B28"/>
    <w:rsid w:val="4A5825A0"/>
    <w:rsid w:val="4A5C776D"/>
    <w:rsid w:val="4B1C18E9"/>
    <w:rsid w:val="4F546876"/>
    <w:rsid w:val="4F55248E"/>
    <w:rsid w:val="51506DF4"/>
    <w:rsid w:val="53FEC463"/>
    <w:rsid w:val="570B4379"/>
    <w:rsid w:val="57C1426A"/>
    <w:rsid w:val="60DE16E4"/>
    <w:rsid w:val="6373584D"/>
    <w:rsid w:val="63DF5B43"/>
    <w:rsid w:val="643E3AEF"/>
    <w:rsid w:val="65A60665"/>
    <w:rsid w:val="6A821739"/>
    <w:rsid w:val="6B5D7C2B"/>
    <w:rsid w:val="6C265F3D"/>
    <w:rsid w:val="6D7D6BB2"/>
    <w:rsid w:val="6DE2420A"/>
    <w:rsid w:val="6FFBA86B"/>
    <w:rsid w:val="729F51DF"/>
    <w:rsid w:val="73E24C2C"/>
    <w:rsid w:val="73EF6AE3"/>
    <w:rsid w:val="75803C0D"/>
    <w:rsid w:val="76AC4560"/>
    <w:rsid w:val="7A367C5D"/>
    <w:rsid w:val="7C1FBA8A"/>
    <w:rsid w:val="7C254D1A"/>
    <w:rsid w:val="7EAF3C00"/>
    <w:rsid w:val="7FDEE5EC"/>
    <w:rsid w:val="7FF373E6"/>
    <w:rsid w:val="9FED2FBE"/>
    <w:rsid w:val="BDDEACB5"/>
    <w:rsid w:val="BF75B9C0"/>
    <w:rsid w:val="CDDBE816"/>
    <w:rsid w:val="CFDB8C74"/>
    <w:rsid w:val="F646E6A7"/>
    <w:rsid w:val="FD7E0ADF"/>
    <w:rsid w:val="FFE92A1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520" w:lineRule="exact"/>
      <w:ind w:firstLine="200" w:firstLineChars="200"/>
      <w:jc w:val="both"/>
    </w:pPr>
    <w:rPr>
      <w:rFonts w:ascii="Times New Roman" w:hAnsi="Times New Roman" w:eastAsia="仿宋_GB2312" w:cstheme="majorBidi"/>
      <w:kern w:val="2"/>
      <w:sz w:val="32"/>
      <w:szCs w:val="30"/>
      <w:lang w:val="en-US" w:eastAsia="zh-CN" w:bidi="ar-SA"/>
    </w:rPr>
  </w:style>
  <w:style w:type="paragraph" w:styleId="3">
    <w:name w:val="heading 1"/>
    <w:basedOn w:val="1"/>
    <w:next w:val="1"/>
    <w:link w:val="21"/>
    <w:qFormat/>
    <w:uiPriority w:val="9"/>
    <w:pPr>
      <w:keepNext/>
      <w:keepLines/>
      <w:adjustRightInd w:val="0"/>
      <w:spacing w:line="560" w:lineRule="exact"/>
      <w:ind w:firstLine="0" w:firstLineChars="0"/>
      <w:jc w:val="left"/>
      <w:textAlignment w:val="baseline"/>
      <w:outlineLvl w:val="0"/>
    </w:pPr>
    <w:rPr>
      <w:rFonts w:ascii="黑体" w:hAnsi="黑体" w:eastAsia="黑体" w:cs="Times New Roman"/>
      <w:b/>
      <w:bCs/>
      <w:spacing w:val="-4"/>
      <w:kern w:val="44"/>
      <w:sz w:val="36"/>
      <w:szCs w:val="36"/>
    </w:rPr>
  </w:style>
  <w:style w:type="paragraph" w:styleId="4">
    <w:name w:val="heading 2"/>
    <w:basedOn w:val="1"/>
    <w:next w:val="1"/>
    <w:link w:val="22"/>
    <w:unhideWhenUsed/>
    <w:qFormat/>
    <w:uiPriority w:val="0"/>
    <w:pPr>
      <w:keepNext/>
      <w:keepLines/>
      <w:spacing w:line="560" w:lineRule="exact"/>
      <w:ind w:firstLine="643"/>
      <w:outlineLvl w:val="1"/>
    </w:pPr>
    <w:rPr>
      <w:rFonts w:ascii="楷体_GB2312" w:hAnsi="黑体" w:eastAsia="楷体_GB2312" w:cs="Times New Roman"/>
      <w:b/>
      <w:bCs/>
      <w:szCs w:val="32"/>
    </w:rPr>
  </w:style>
  <w:style w:type="paragraph" w:styleId="5">
    <w:name w:val="heading 3"/>
    <w:basedOn w:val="1"/>
    <w:next w:val="1"/>
    <w:link w:val="31"/>
    <w:unhideWhenUsed/>
    <w:qFormat/>
    <w:uiPriority w:val="9"/>
    <w:pPr>
      <w:keepNext/>
      <w:keepLines/>
      <w:spacing w:line="560" w:lineRule="exact"/>
      <w:ind w:firstLine="643"/>
      <w:outlineLvl w:val="2"/>
    </w:pPr>
    <w:rPr>
      <w:rFonts w:ascii="仿宋_GB2312" w:hAnsi="仿宋"/>
      <w:b/>
      <w:bCs/>
      <w:szCs w:val="32"/>
    </w:rPr>
  </w:style>
  <w:style w:type="character" w:default="1" w:styleId="16">
    <w:name w:val="Default Paragraph Font"/>
    <w:semiHidden/>
    <w:unhideWhenUsed/>
    <w:qFormat/>
    <w:uiPriority w:val="1"/>
  </w:style>
  <w:style w:type="table" w:default="1" w:styleId="14">
    <w:name w:val="Normal Table"/>
    <w:semiHidden/>
    <w:unhideWhenUsed/>
    <w:qFormat/>
    <w:uiPriority w:val="99"/>
    <w:tblPr>
      <w:tblCellMar>
        <w:top w:w="0" w:type="dxa"/>
        <w:left w:w="108" w:type="dxa"/>
        <w:bottom w:w="0" w:type="dxa"/>
        <w:right w:w="108" w:type="dxa"/>
      </w:tblCellMar>
    </w:tblPr>
  </w:style>
  <w:style w:type="paragraph" w:styleId="2">
    <w:name w:val="Body Text"/>
    <w:basedOn w:val="1"/>
    <w:qFormat/>
    <w:uiPriority w:val="0"/>
    <w:pPr>
      <w:spacing w:before="100" w:line="360" w:lineRule="exact"/>
      <w:jc w:val="center"/>
    </w:pPr>
    <w:rPr>
      <w:rFonts w:ascii="仿宋_GB2312" w:hAnsi="华文中宋"/>
    </w:rPr>
  </w:style>
  <w:style w:type="paragraph" w:styleId="6">
    <w:name w:val="annotation text"/>
    <w:basedOn w:val="1"/>
    <w:link w:val="28"/>
    <w:unhideWhenUsed/>
    <w:qFormat/>
    <w:uiPriority w:val="99"/>
    <w:pPr>
      <w:jc w:val="left"/>
    </w:pPr>
  </w:style>
  <w:style w:type="paragraph" w:styleId="7">
    <w:name w:val="Balloon Text"/>
    <w:basedOn w:val="1"/>
    <w:link w:val="23"/>
    <w:semiHidden/>
    <w:unhideWhenUsed/>
    <w:qFormat/>
    <w:uiPriority w:val="99"/>
    <w:pPr>
      <w:spacing w:line="240" w:lineRule="auto"/>
    </w:pPr>
    <w:rPr>
      <w:sz w:val="18"/>
      <w:szCs w:val="18"/>
    </w:rPr>
  </w:style>
  <w:style w:type="paragraph" w:styleId="8">
    <w:name w:val="footer"/>
    <w:basedOn w:val="1"/>
    <w:link w:val="20"/>
    <w:unhideWhenUsed/>
    <w:qFormat/>
    <w:uiPriority w:val="99"/>
    <w:pPr>
      <w:tabs>
        <w:tab w:val="center" w:pos="4153"/>
        <w:tab w:val="right" w:pos="8306"/>
      </w:tabs>
      <w:snapToGrid w:val="0"/>
      <w:spacing w:line="240" w:lineRule="atLeast"/>
      <w:jc w:val="left"/>
    </w:pPr>
    <w:rPr>
      <w:sz w:val="18"/>
      <w:szCs w:val="18"/>
    </w:rPr>
  </w:style>
  <w:style w:type="paragraph" w:styleId="9">
    <w:name w:val="header"/>
    <w:basedOn w:val="1"/>
    <w:link w:val="19"/>
    <w:unhideWhenUsed/>
    <w:qFormat/>
    <w:uiPriority w:val="99"/>
    <w:pPr>
      <w:pBdr>
        <w:bottom w:val="single" w:color="auto" w:sz="6" w:space="1"/>
      </w:pBdr>
      <w:tabs>
        <w:tab w:val="center" w:pos="4153"/>
        <w:tab w:val="right" w:pos="8306"/>
      </w:tabs>
      <w:snapToGrid w:val="0"/>
      <w:spacing w:line="240" w:lineRule="atLeast"/>
      <w:jc w:val="center"/>
    </w:pPr>
    <w:rPr>
      <w:sz w:val="18"/>
      <w:szCs w:val="18"/>
    </w:rPr>
  </w:style>
  <w:style w:type="paragraph" w:styleId="10">
    <w:name w:val="toc 1"/>
    <w:basedOn w:val="1"/>
    <w:next w:val="1"/>
    <w:unhideWhenUsed/>
    <w:qFormat/>
    <w:uiPriority w:val="39"/>
    <w:pPr>
      <w:tabs>
        <w:tab w:val="right" w:leader="dot" w:pos="8296"/>
      </w:tabs>
      <w:spacing w:line="560" w:lineRule="exact"/>
      <w:ind w:firstLine="0" w:firstLineChars="0"/>
    </w:pPr>
    <w:rPr>
      <w:rFonts w:ascii="黑体" w:hAnsi="黑体" w:eastAsia="黑体"/>
      <w:szCs w:val="32"/>
    </w:rPr>
  </w:style>
  <w:style w:type="paragraph" w:styleId="11">
    <w:name w:val="toc 2"/>
    <w:basedOn w:val="1"/>
    <w:next w:val="1"/>
    <w:unhideWhenUsed/>
    <w:qFormat/>
    <w:uiPriority w:val="39"/>
    <w:pPr>
      <w:tabs>
        <w:tab w:val="right" w:leader="dot" w:pos="8296"/>
      </w:tabs>
      <w:snapToGrid w:val="0"/>
      <w:spacing w:line="240" w:lineRule="auto"/>
      <w:ind w:firstLine="640"/>
      <w:jc w:val="left"/>
    </w:pPr>
    <w:rPr>
      <w:rFonts w:ascii="楷体_GB2312" w:eastAsia="楷体_GB2312"/>
    </w:rPr>
  </w:style>
  <w:style w:type="paragraph" w:styleId="12">
    <w:name w:val="Normal (Web)"/>
    <w:basedOn w:val="1"/>
    <w:semiHidden/>
    <w:unhideWhenUsed/>
    <w:qFormat/>
    <w:uiPriority w:val="99"/>
    <w:pPr>
      <w:widowControl/>
      <w:spacing w:before="100" w:beforeAutospacing="1" w:after="100" w:afterAutospacing="1" w:line="240" w:lineRule="auto"/>
      <w:ind w:firstLine="0" w:firstLineChars="0"/>
      <w:jc w:val="left"/>
    </w:pPr>
    <w:rPr>
      <w:rFonts w:ascii="宋体" w:hAnsi="宋体" w:eastAsia="宋体" w:cs="宋体"/>
      <w:kern w:val="0"/>
      <w:sz w:val="24"/>
      <w:szCs w:val="24"/>
    </w:rPr>
  </w:style>
  <w:style w:type="paragraph" w:styleId="13">
    <w:name w:val="annotation subject"/>
    <w:basedOn w:val="6"/>
    <w:next w:val="6"/>
    <w:link w:val="29"/>
    <w:semiHidden/>
    <w:unhideWhenUsed/>
    <w:qFormat/>
    <w:uiPriority w:val="99"/>
    <w:rPr>
      <w:b/>
      <w:bCs/>
    </w:rPr>
  </w:style>
  <w:style w:type="table" w:styleId="15">
    <w:name w:val="Table Grid"/>
    <w:basedOn w:val="1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7">
    <w:name w:val="Hyperlink"/>
    <w:basedOn w:val="16"/>
    <w:unhideWhenUsed/>
    <w:qFormat/>
    <w:uiPriority w:val="99"/>
    <w:rPr>
      <w:color w:val="0563C1" w:themeColor="hyperlink"/>
      <w:u w:val="single"/>
      <w14:textFill>
        <w14:solidFill>
          <w14:schemeClr w14:val="hlink"/>
        </w14:solidFill>
      </w14:textFill>
    </w:rPr>
  </w:style>
  <w:style w:type="character" w:styleId="18">
    <w:name w:val="annotation reference"/>
    <w:basedOn w:val="16"/>
    <w:semiHidden/>
    <w:unhideWhenUsed/>
    <w:qFormat/>
    <w:uiPriority w:val="99"/>
    <w:rPr>
      <w:sz w:val="21"/>
      <w:szCs w:val="21"/>
    </w:rPr>
  </w:style>
  <w:style w:type="character" w:customStyle="1" w:styleId="19">
    <w:name w:val="页眉 Char"/>
    <w:basedOn w:val="16"/>
    <w:link w:val="9"/>
    <w:qFormat/>
    <w:uiPriority w:val="99"/>
    <w:rPr>
      <w:rFonts w:ascii="Times New Roman" w:hAnsi="Times New Roman" w:eastAsia="仿宋_GB2312" w:cstheme="majorBidi"/>
      <w:sz w:val="18"/>
      <w:szCs w:val="18"/>
    </w:rPr>
  </w:style>
  <w:style w:type="character" w:customStyle="1" w:styleId="20">
    <w:name w:val="页脚 Char"/>
    <w:basedOn w:val="16"/>
    <w:link w:val="8"/>
    <w:qFormat/>
    <w:uiPriority w:val="99"/>
    <w:rPr>
      <w:rFonts w:ascii="Times New Roman" w:hAnsi="Times New Roman" w:eastAsia="仿宋_GB2312" w:cstheme="majorBidi"/>
      <w:sz w:val="18"/>
      <w:szCs w:val="18"/>
    </w:rPr>
  </w:style>
  <w:style w:type="character" w:customStyle="1" w:styleId="21">
    <w:name w:val="标题 1 Char"/>
    <w:basedOn w:val="16"/>
    <w:link w:val="3"/>
    <w:qFormat/>
    <w:uiPriority w:val="9"/>
    <w:rPr>
      <w:rFonts w:ascii="黑体" w:hAnsi="黑体" w:eastAsia="黑体" w:cs="Times New Roman"/>
      <w:b/>
      <w:bCs/>
      <w:spacing w:val="-4"/>
      <w:kern w:val="44"/>
      <w:sz w:val="36"/>
      <w:szCs w:val="36"/>
    </w:rPr>
  </w:style>
  <w:style w:type="character" w:customStyle="1" w:styleId="22">
    <w:name w:val="标题 2 Char"/>
    <w:basedOn w:val="16"/>
    <w:link w:val="4"/>
    <w:qFormat/>
    <w:uiPriority w:val="0"/>
    <w:rPr>
      <w:rFonts w:ascii="楷体_GB2312" w:hAnsi="黑体" w:eastAsia="楷体_GB2312" w:cs="Times New Roman"/>
      <w:b/>
      <w:bCs/>
      <w:sz w:val="32"/>
      <w:szCs w:val="32"/>
    </w:rPr>
  </w:style>
  <w:style w:type="character" w:customStyle="1" w:styleId="23">
    <w:name w:val="批注框文本 Char"/>
    <w:basedOn w:val="16"/>
    <w:link w:val="7"/>
    <w:semiHidden/>
    <w:qFormat/>
    <w:uiPriority w:val="99"/>
    <w:rPr>
      <w:rFonts w:ascii="Times New Roman" w:hAnsi="Times New Roman" w:eastAsia="仿宋_GB2312" w:cstheme="majorBidi"/>
      <w:sz w:val="18"/>
      <w:szCs w:val="18"/>
    </w:rPr>
  </w:style>
  <w:style w:type="paragraph" w:styleId="24">
    <w:name w:val="List Paragraph"/>
    <w:basedOn w:val="1"/>
    <w:qFormat/>
    <w:uiPriority w:val="34"/>
    <w:pPr>
      <w:spacing w:line="590" w:lineRule="exact"/>
      <w:ind w:firstLine="420"/>
    </w:pPr>
    <w:rPr>
      <w:rFonts w:ascii="仿宋_GB2312" w:hAnsi="仿宋"/>
      <w:szCs w:val="32"/>
    </w:rPr>
  </w:style>
  <w:style w:type="paragraph" w:customStyle="1" w:styleId="25">
    <w:name w:val="修订1"/>
    <w:hidden/>
    <w:semiHidden/>
    <w:qFormat/>
    <w:uiPriority w:val="99"/>
    <w:rPr>
      <w:rFonts w:ascii="Times New Roman" w:hAnsi="Times New Roman" w:eastAsia="仿宋_GB2312" w:cstheme="majorBidi"/>
      <w:kern w:val="2"/>
      <w:sz w:val="32"/>
      <w:szCs w:val="30"/>
      <w:lang w:val="en-US" w:eastAsia="zh-CN" w:bidi="ar-SA"/>
    </w:rPr>
  </w:style>
  <w:style w:type="paragraph" w:customStyle="1" w:styleId="26">
    <w:name w:val="TOC 标题1"/>
    <w:basedOn w:val="3"/>
    <w:next w:val="1"/>
    <w:unhideWhenUsed/>
    <w:qFormat/>
    <w:uiPriority w:val="39"/>
    <w:pPr>
      <w:widowControl/>
      <w:adjustRightInd/>
      <w:spacing w:before="240" w:line="259" w:lineRule="auto"/>
      <w:textAlignment w:val="auto"/>
      <w:outlineLvl w:val="9"/>
    </w:pPr>
    <w:rPr>
      <w:rFonts w:asciiTheme="majorHAnsi" w:hAnsiTheme="majorHAnsi" w:eastAsiaTheme="majorEastAsia" w:cstheme="majorBidi"/>
      <w:b w:val="0"/>
      <w:bCs w:val="0"/>
      <w:color w:val="2F5597" w:themeColor="accent1" w:themeShade="BF"/>
      <w:spacing w:val="0"/>
      <w:kern w:val="0"/>
      <w:sz w:val="32"/>
      <w:szCs w:val="32"/>
    </w:rPr>
  </w:style>
  <w:style w:type="paragraph" w:customStyle="1" w:styleId="27">
    <w:name w:val="gei正文"/>
    <w:basedOn w:val="1"/>
    <w:qFormat/>
    <w:uiPriority w:val="0"/>
    <w:pPr>
      <w:widowControl/>
      <w:spacing w:line="560" w:lineRule="exact"/>
    </w:pPr>
    <w:rPr>
      <w:rFonts w:ascii="仿宋_GB2312" w:cs="Times New Roman"/>
      <w:szCs w:val="28"/>
    </w:rPr>
  </w:style>
  <w:style w:type="character" w:customStyle="1" w:styleId="28">
    <w:name w:val="批注文字 Char"/>
    <w:basedOn w:val="16"/>
    <w:link w:val="6"/>
    <w:qFormat/>
    <w:uiPriority w:val="99"/>
    <w:rPr>
      <w:rFonts w:ascii="Times New Roman" w:hAnsi="Times New Roman" w:eastAsia="仿宋_GB2312" w:cstheme="majorBidi"/>
      <w:sz w:val="32"/>
      <w:szCs w:val="30"/>
    </w:rPr>
  </w:style>
  <w:style w:type="character" w:customStyle="1" w:styleId="29">
    <w:name w:val="批注主题 Char"/>
    <w:basedOn w:val="28"/>
    <w:link w:val="13"/>
    <w:semiHidden/>
    <w:qFormat/>
    <w:uiPriority w:val="99"/>
    <w:rPr>
      <w:rFonts w:ascii="Times New Roman" w:hAnsi="Times New Roman" w:eastAsia="仿宋_GB2312" w:cstheme="majorBidi"/>
      <w:b/>
      <w:bCs/>
      <w:sz w:val="32"/>
      <w:szCs w:val="30"/>
    </w:rPr>
  </w:style>
  <w:style w:type="character" w:customStyle="1" w:styleId="30">
    <w:name w:val="bjh-p"/>
    <w:basedOn w:val="16"/>
    <w:qFormat/>
    <w:uiPriority w:val="0"/>
  </w:style>
  <w:style w:type="character" w:customStyle="1" w:styleId="31">
    <w:name w:val="标题 3 Char"/>
    <w:basedOn w:val="16"/>
    <w:link w:val="5"/>
    <w:qFormat/>
    <w:uiPriority w:val="9"/>
    <w:rPr>
      <w:rFonts w:ascii="仿宋_GB2312" w:hAnsi="仿宋" w:eastAsia="仿宋_GB2312" w:cstheme="majorBidi"/>
      <w:b/>
      <w:bCs/>
      <w:sz w:val="32"/>
      <w:szCs w:val="32"/>
    </w:rPr>
  </w:style>
  <w:style w:type="paragraph" w:customStyle="1" w:styleId="32">
    <w:name w:val="修订2"/>
    <w:hidden/>
    <w:semiHidden/>
    <w:qFormat/>
    <w:uiPriority w:val="99"/>
    <w:rPr>
      <w:rFonts w:ascii="Times New Roman" w:hAnsi="Times New Roman" w:eastAsia="仿宋_GB2312" w:cstheme="majorBidi"/>
      <w:kern w:val="2"/>
      <w:sz w:val="32"/>
      <w:szCs w:val="30"/>
      <w:lang w:val="en-US" w:eastAsia="zh-CN" w:bidi="ar-SA"/>
    </w:rPr>
  </w:style>
  <w:style w:type="character" w:customStyle="1" w:styleId="33">
    <w:name w:val="Unresolved Mention"/>
    <w:basedOn w:val="16"/>
    <w:semiHidden/>
    <w:unhideWhenUsed/>
    <w:qFormat/>
    <w:uiPriority w:val="99"/>
    <w:rPr>
      <w:color w:val="605E5C"/>
      <w:shd w:val="clear" w:color="auto" w:fill="E1DFDD"/>
    </w:rPr>
  </w:style>
  <w:style w:type="table" w:customStyle="1" w:styleId="34">
    <w:name w:val="网格表 41"/>
    <w:basedOn w:val="14"/>
    <w:qFormat/>
    <w:uiPriority w:val="49"/>
    <w:rPr>
      <w:rFonts w:ascii="Calibri" w:hAnsi="Calibri"/>
    </w:rPr>
    <w:tblPr>
      <w:tblBorders>
        <w:top w:val="single" w:color="666666" w:themeColor="text1" w:themeTint="99" w:sz="4" w:space="0"/>
        <w:left w:val="single" w:color="666666" w:themeColor="text1" w:themeTint="99" w:sz="4" w:space="0"/>
        <w:bottom w:val="single" w:color="666666" w:themeColor="text1" w:themeTint="99" w:sz="4" w:space="0"/>
        <w:right w:val="single" w:color="666666" w:themeColor="text1" w:themeTint="99" w:sz="4" w:space="0"/>
        <w:insideH w:val="single" w:color="666666" w:themeColor="text1" w:themeTint="99" w:sz="4" w:space="0"/>
        <w:insideV w:val="single" w:color="666666" w:themeColor="text1" w:themeTint="99" w:sz="4" w:space="0"/>
      </w:tblBorders>
    </w:tblPr>
    <w:tblStylePr w:type="firstRow">
      <w:rPr>
        <w:b/>
        <w:bCs/>
        <w:color w:val="FFFFFF" w:themeColor="background1"/>
        <w14:textFill>
          <w14:solidFill>
            <w14:schemeClr w14:val="bg1"/>
          </w14:solidFill>
        </w14:textFill>
      </w:rPr>
      <w:tcPr>
        <w:tcBorders>
          <w:top w:val="single" w:color="000000" w:themeColor="text1" w:sz="4" w:space="0"/>
          <w:left w:val="single" w:color="000000" w:themeColor="text1" w:sz="4" w:space="0"/>
          <w:bottom w:val="single" w:color="000000" w:themeColor="text1" w:sz="4" w:space="0"/>
          <w:right w:val="single" w:color="000000" w:themeColor="text1" w:sz="4" w:space="0"/>
          <w:insideH w:val="nil"/>
          <w:insideV w:val="nil"/>
        </w:tcBorders>
        <w:shd w:val="clear" w:color="auto" w:fill="000000" w:themeFill="text1"/>
      </w:tcPr>
    </w:tblStylePr>
    <w:tblStylePr w:type="lastRow">
      <w:rPr>
        <w:b/>
        <w:bCs/>
      </w:rPr>
      <w:tcPr>
        <w:tcBorders>
          <w:top w:val="double" w:color="000000" w:themeColor="text1" w:sz="4" w:space="0"/>
        </w:tcBorders>
      </w:tcPr>
    </w:tblStylePr>
    <w:tblStylePr w:type="firstCol">
      <w:rPr>
        <w:b/>
        <w:bCs/>
      </w:rPr>
    </w:tblStylePr>
    <w:tblStylePr w:type="lastCol">
      <w:rPr>
        <w:b/>
        <w:bCs/>
      </w:rPr>
    </w:tblStylePr>
    <w:tblStylePr w:type="band1Vert">
      <w:tcPr>
        <w:shd w:val="clear" w:color="auto" w:fill="CCCCCC" w:themeFill="text1" w:themeFillTint="33"/>
      </w:tcPr>
    </w:tblStylePr>
    <w:tblStylePr w:type="band1Horz">
      <w:tcPr>
        <w:shd w:val="clear" w:color="auto" w:fill="CCCCCC" w:themeFill="text1" w:themeFillTint="33"/>
      </w:tcPr>
    </w:tblStyle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image" Target="media/image1.png"/><Relationship Id="rId11" Type="http://schemas.openxmlformats.org/officeDocument/2006/relationships/theme" Target="theme/theme1.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74</Pages>
  <Words>5563</Words>
  <Characters>31714</Characters>
  <Lines>264</Lines>
  <Paragraphs>74</Paragraphs>
  <TotalTime>18</TotalTime>
  <ScaleCrop>false</ScaleCrop>
  <LinksUpToDate>false</LinksUpToDate>
  <CharactersWithSpaces>37203</CharactersWithSpaces>
  <Application>WPS Office_11.8.2.10125_F1E327BC-269C-435d-A152-05C5408002CA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2021-09-06T19:25:00Z</dcterms:created>
  <cp:lastPrinted>2021-09-28T09:59:57Z</cp:lastPrinted>
  <dcterms:modified xsi:type="dcterms:W3CDTF">2021-09-28T09:59:59Z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2052-11.8.2.10125</vt:lpwstr>
  </property>
  <property fmtid="{D5CDD505-2E9C-101B-9397-08002B2CF9AE}" pid="3" name="ICV">
    <vt:lpwstr>A849E98C37464FEF9365FB56D46F31FF</vt:lpwstr>
  </property>
</Properties>
</file>