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ind w:firstLine="0" w:firstLineChars="0"/>
        <w:jc w:val="left"/>
        <w:textAlignment w:val="auto"/>
        <w:rPr>
          <w:rFonts w:hint="default" w:ascii="Nimbus Roman No9 L" w:hAnsi="Nimbus Roman No9 L" w:eastAsia="黑体" w:cs="Nimbus Roman No9 L"/>
          <w:bCs w:val="0"/>
          <w:sz w:val="32"/>
          <w:szCs w:val="32"/>
        </w:rPr>
      </w:pPr>
      <w:r>
        <w:rPr>
          <w:rFonts w:hint="default" w:ascii="Nimbus Roman No9 L" w:hAnsi="Nimbus Roman No9 L" w:eastAsia="黑体" w:cs="Nimbus Roman No9 L"/>
          <w:bCs w:val="0"/>
          <w:sz w:val="32"/>
          <w:szCs w:val="32"/>
        </w:rPr>
        <w:t>附件20</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bCs/>
          <w:sz w:val="44"/>
          <w:szCs w:val="44"/>
        </w:rPr>
      </w:pPr>
      <w:r>
        <w:rPr>
          <w:rFonts w:hint="default" w:ascii="Nimbus Roman No9 L" w:hAnsi="Nimbus Roman No9 L" w:eastAsia="方正小标宋简体" w:cs="Nimbus Roman No9 L"/>
          <w:bCs/>
          <w:sz w:val="44"/>
          <w:szCs w:val="44"/>
        </w:rPr>
        <w:t>天津市滨海新区教育事业改革发展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bCs/>
          <w:sz w:val="44"/>
          <w:szCs w:val="44"/>
        </w:rPr>
        <w:t>“十四五”规划</w:t>
      </w:r>
    </w:p>
    <w:p>
      <w:pPr>
        <w:pStyle w:val="2"/>
        <w:keepNext w:val="0"/>
        <w:keepLines w:val="0"/>
        <w:pageBreakBefore w:val="0"/>
        <w:kinsoku/>
        <w:wordWrap/>
        <w:overflowPunct/>
        <w:topLinePunct w:val="0"/>
        <w:autoSpaceDE/>
        <w:autoSpaceDN/>
        <w:bidi w:val="0"/>
        <w:snapToGrid/>
        <w:spacing w:before="0" w:line="580" w:lineRule="exact"/>
        <w:textAlignment w:val="auto"/>
        <w:rPr>
          <w:rFonts w:hint="default" w:ascii="Nimbus Roman No9 L" w:hAnsi="Nimbus Roman No9 L" w:cs="Nimbus Roman No9 L"/>
        </w:rPr>
      </w:pPr>
    </w:p>
    <w:p>
      <w:pPr>
        <w:keepNext w:val="0"/>
        <w:keepLines w:val="0"/>
        <w:pageBreakBefore w:val="0"/>
        <w:kinsoku/>
        <w:wordWrap/>
        <w:overflowPunct/>
        <w:topLinePunct w:val="0"/>
        <w:autoSpaceDE/>
        <w:autoSpaceDN/>
        <w:bidi w:val="0"/>
        <w:snapToGrid/>
        <w:spacing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为加快推进教育现代化，服务国家战略和区域经济社会发展，按照全面建设生态、智慧、港产城融合的宜居宜业美丽滨海新城的总体要求，根据《天津市滨海新区国民经济和社会发展第十四个五年规划和二</w:t>
      </w:r>
      <w:r>
        <w:rPr>
          <w:rFonts w:hint="eastAsia" w:ascii="Nimbus Roman No9 L" w:hAnsi="Nimbus Roman No9 L" w:cs="Nimbus Roman No9 L"/>
          <w:sz w:val="32"/>
          <w:szCs w:val="32"/>
          <w:lang w:eastAsia="zh-CN"/>
        </w:rPr>
        <w:t>〇</w:t>
      </w:r>
      <w:r>
        <w:rPr>
          <w:rFonts w:hint="default" w:ascii="Nimbus Roman No9 L" w:hAnsi="Nimbus Roman No9 L" w:eastAsia="仿宋_GB2312" w:cs="Nimbus Roman No9 L"/>
          <w:sz w:val="32"/>
          <w:szCs w:val="32"/>
        </w:rPr>
        <w:t>三五年远景目标纲要》及《滨海新区教育现代化2035》精神，制定本规划。</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Nimbus Roman No9 L" w:hAnsi="Nimbus Roman No9 L" w:eastAsia="黑体" w:cs="Nimbus Roman No9 L"/>
          <w:sz w:val="32"/>
          <w:szCs w:val="32"/>
        </w:rPr>
      </w:pPr>
      <w:bookmarkStart w:id="0" w:name="_Toc58918191"/>
      <w:bookmarkStart w:id="1" w:name="_Toc58918079"/>
      <w:bookmarkStart w:id="2" w:name="_Toc58917915"/>
      <w:r>
        <w:rPr>
          <w:rFonts w:hint="default" w:ascii="Nimbus Roman No9 L" w:hAnsi="Nimbus Roman No9 L" w:eastAsia="黑体" w:cs="Nimbus Roman No9 L"/>
          <w:sz w:val="32"/>
          <w:szCs w:val="32"/>
        </w:rPr>
        <w:t>一、发展基础</w:t>
      </w:r>
      <w:bookmarkEnd w:id="0"/>
      <w:bookmarkEnd w:id="1"/>
      <w:bookmarkEnd w:id="2"/>
      <w:r>
        <w:rPr>
          <w:rFonts w:hint="default" w:ascii="Nimbus Roman No9 L" w:hAnsi="Nimbus Roman No9 L" w:eastAsia="黑体" w:cs="Nimbus Roman No9 L"/>
          <w:sz w:val="32"/>
          <w:szCs w:val="32"/>
        </w:rPr>
        <w:t>和面临形势</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Nimbus Roman No9 L" w:hAnsi="Nimbus Roman No9 L" w:eastAsia="楷体_GB2312" w:cs="Nimbus Roman No9 L"/>
          <w:sz w:val="32"/>
          <w:szCs w:val="32"/>
        </w:rPr>
      </w:pPr>
      <w:bookmarkStart w:id="3" w:name="_Toc58917916"/>
      <w:bookmarkStart w:id="4" w:name="_Toc58918080"/>
      <w:bookmarkStart w:id="5" w:name="_Toc58918192"/>
      <w:r>
        <w:rPr>
          <w:rFonts w:hint="default" w:ascii="Nimbus Roman No9 L" w:hAnsi="Nimbus Roman No9 L" w:eastAsia="楷体_GB2312" w:cs="Nimbus Roman No9 L"/>
          <w:sz w:val="32"/>
          <w:szCs w:val="32"/>
        </w:rPr>
        <w:t>（一）“十三五”期间取得成绩</w:t>
      </w:r>
      <w:bookmarkEnd w:id="3"/>
      <w:bookmarkEnd w:id="4"/>
      <w:bookmarkEnd w:id="5"/>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“十三五”期间，我区不断深化教育改革，教育现代化水平显著提升，教育公平迈出新步伐，教育质量进一步提高，教育综合实力和办学水平位居全市前列。</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立德树人根本任务得到有效落实。</w:t>
      </w:r>
      <w:r>
        <w:rPr>
          <w:rFonts w:hint="default" w:ascii="Nimbus Roman No9 L" w:hAnsi="Nimbus Roman No9 L" w:eastAsia="仿宋_GB2312" w:cs="Nimbus Roman No9 L"/>
          <w:sz w:val="32"/>
          <w:szCs w:val="32"/>
        </w:rPr>
        <w:t>深化新时代思政课改革创新，全面推进课程思政建设。出台推进德育一体化实施方案，完善中小学德育工作体系。推进中小学劳动实践教育，加强劳动教育基地建设。开展学校阳光体育运动，28所学校被命名为全国青少年校园足球特色学校。组织学校艺术教育活动，获全国第六届中小学生艺术展演活动一等奖1个、三等奖2个。新区中小学心理健康指导中心成为全国心理科学普及示范基地，滨海职业学院成为教育部国防教育特色学校。</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b/>
          <w:bCs/>
          <w:color w:val="000000"/>
          <w:sz w:val="32"/>
          <w:szCs w:val="32"/>
        </w:rPr>
        <w:t>基础教育优质均衡发展取得新进展。</w:t>
      </w:r>
      <w:r>
        <w:rPr>
          <w:rFonts w:hint="default" w:ascii="Nimbus Roman No9 L" w:hAnsi="Nimbus Roman No9 L" w:eastAsia="仿宋_GB2312" w:cs="Nimbus Roman No9 L"/>
          <w:color w:val="000000"/>
          <w:sz w:val="32"/>
          <w:szCs w:val="32"/>
        </w:rPr>
        <w:t>推进学前教育普惠提质，完成学前教育五年发展规划</w:t>
      </w:r>
      <w:r>
        <w:rPr>
          <w:rFonts w:hint="default" w:ascii="Nimbus Roman No9 L" w:hAnsi="Nimbus Roman No9 L" w:eastAsia="仿宋_GB2312" w:cs="Nimbus Roman No9 L"/>
          <w:sz w:val="32"/>
          <w:szCs w:val="32"/>
        </w:rPr>
        <w:t>。全面完成第三轮义务教育学校现代化达标建设任务。落实义务教育免试就近入学政策，保障外来务工人员随迁子女入学权益。</w:t>
      </w:r>
      <w:r>
        <w:rPr>
          <w:rFonts w:hint="default" w:ascii="Nimbus Roman No9 L" w:hAnsi="Nimbus Roman No9 L" w:eastAsia="仿宋_GB2312" w:cs="Nimbus Roman No9 L"/>
          <w:color w:val="000000"/>
          <w:sz w:val="32"/>
          <w:szCs w:val="32"/>
        </w:rPr>
        <w:t>推动普通高中课程改革和普通高中优势学科建设。</w:t>
      </w:r>
      <w:r>
        <w:rPr>
          <w:rFonts w:hint="default" w:ascii="Nimbus Roman No9 L" w:hAnsi="Nimbus Roman No9 L" w:eastAsia="仿宋_GB2312" w:cs="Nimbus Roman No9 L"/>
          <w:sz w:val="32"/>
          <w:szCs w:val="32"/>
        </w:rPr>
        <w:t>实施中小学教学质量提升工程，</w:t>
      </w:r>
      <w:r>
        <w:rPr>
          <w:rFonts w:hint="default" w:ascii="Nimbus Roman No9 L" w:hAnsi="Nimbus Roman No9 L" w:eastAsia="仿宋_GB2312" w:cs="Nimbus Roman No9 L"/>
          <w:color w:val="000000"/>
          <w:sz w:val="32"/>
          <w:szCs w:val="32"/>
        </w:rPr>
        <w:t>中高考成绩在全市保持优势。实施特殊教育提升计划。完成基础教育“三通两平台”建设</w:t>
      </w:r>
      <w:r>
        <w:rPr>
          <w:rFonts w:hint="default" w:ascii="Nimbus Roman No9 L" w:hAnsi="Nimbus Roman No9 L" w:eastAsia="仿宋_GB2312" w:cs="Nimbus Roman No9 L"/>
          <w:sz w:val="32"/>
          <w:szCs w:val="32"/>
        </w:rPr>
        <w:t>，开展智慧校园建设试点。</w:t>
      </w:r>
      <w:r>
        <w:rPr>
          <w:rFonts w:hint="default" w:ascii="Nimbus Roman No9 L" w:hAnsi="Nimbus Roman No9 L" w:eastAsia="仿宋_GB2312" w:cs="Nimbus Roman No9 L"/>
          <w:color w:val="000000"/>
          <w:sz w:val="32"/>
          <w:szCs w:val="32"/>
        </w:rPr>
        <w:t>创建全国中小学校责任督学挂牌督导创新区。组建37个公办、民办幼儿园互助小组</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color w:val="000000"/>
          <w:sz w:val="32"/>
          <w:szCs w:val="32"/>
        </w:rPr>
        <w:t>84所民办园320名教师到公办幼儿园跟岗实践。</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color w:val="FF0000"/>
          <w:sz w:val="32"/>
          <w:szCs w:val="32"/>
        </w:rPr>
      </w:pPr>
      <w:r>
        <w:rPr>
          <w:rFonts w:hint="default" w:ascii="Nimbus Roman No9 L" w:hAnsi="Nimbus Roman No9 L" w:eastAsia="仿宋_GB2312" w:cs="Nimbus Roman No9 L"/>
          <w:b/>
          <w:bCs/>
          <w:color w:val="000000"/>
          <w:sz w:val="32"/>
          <w:szCs w:val="32"/>
        </w:rPr>
        <w:t>高等教育和职业教育发展实现新突破</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color w:val="000000"/>
          <w:sz w:val="32"/>
          <w:szCs w:val="32"/>
        </w:rPr>
        <w:t>规划2平方公里高教园区，吸引国内外知名学校设立分校或特色学科。推动新区与天津大学共建天津大学滨海研究生院，与市教委共建天津科技大学，与北京大学工学院合作建设滨海数据产业园，与中国电子信息产业发展研究院共建职业教育培训中心。完成天津市职业院校办学能力提升项目建设任务。实施职业院校数字化校园建设项目。推进产教融合、校企合作，成立滨海新区职业教育集团和9个行业指导委员会。建立13个社区数字化学习中心，社区教育覆盖率逐步提升。</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color w:val="000000"/>
          <w:sz w:val="32"/>
          <w:szCs w:val="32"/>
        </w:rPr>
        <w:t>教育资源布局进一步优化。</w:t>
      </w:r>
      <w:r>
        <w:rPr>
          <w:rFonts w:hint="default" w:ascii="Nimbus Roman No9 L" w:hAnsi="Nimbus Roman No9 L" w:eastAsia="仿宋_GB2312" w:cs="Nimbus Roman No9 L"/>
          <w:color w:val="000000"/>
          <w:sz w:val="32"/>
          <w:szCs w:val="32"/>
        </w:rPr>
        <w:t>研究编制</w:t>
      </w:r>
      <w:r>
        <w:rPr>
          <w:rFonts w:hint="default" w:ascii="Nimbus Roman No9 L" w:hAnsi="Nimbus Roman No9 L" w:eastAsia="仿宋_GB2312" w:cs="Nimbus Roman No9 L"/>
          <w:sz w:val="32"/>
          <w:szCs w:val="32"/>
        </w:rPr>
        <w:t>滨海新区教育设施布局专项规划（2019-2035）</w:t>
      </w:r>
      <w:r>
        <w:rPr>
          <w:rFonts w:hint="default" w:ascii="Nimbus Roman No9 L" w:hAnsi="Nimbus Roman No9 L" w:eastAsia="仿宋_GB2312" w:cs="Nimbus Roman No9 L"/>
          <w:color w:val="000000"/>
          <w:sz w:val="32"/>
          <w:szCs w:val="32"/>
        </w:rPr>
        <w:t>。推进市重点工程和新区改善民生20件实事，建成天津师大附属滨海学校等26所中小学，引进天津一中滨海学校、南开中学滨海生态城学校。与清华大学附属小学共建临港实验小学，与北师大附中共建十二年制学校。出台大力发展学前教育两年行动方案，实施学前教育资源建设攻坚行动计划，补齐学位缺口。开展新一轮结对帮扶困难村工作，改善困难村学校办学条件。</w:t>
      </w:r>
    </w:p>
    <w:p>
      <w:pPr>
        <w:pStyle w:val="42"/>
        <w:keepNext w:val="0"/>
        <w:keepLines w:val="0"/>
        <w:pageBreakBefore w:val="0"/>
        <w:kinsoku/>
        <w:wordWrap/>
        <w:overflowPunct/>
        <w:topLinePunct w:val="0"/>
        <w:autoSpaceDE/>
        <w:autoSpaceDN/>
        <w:bidi w:val="0"/>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color w:val="000000"/>
          <w:sz w:val="32"/>
          <w:szCs w:val="32"/>
        </w:rPr>
        <w:t>教师专业化水平进一步提高。</w:t>
      </w:r>
      <w:r>
        <w:rPr>
          <w:rFonts w:hint="default" w:ascii="Nimbus Roman No9 L" w:hAnsi="Nimbus Roman No9 L" w:eastAsia="仿宋_GB2312" w:cs="Nimbus Roman No9 L"/>
          <w:sz w:val="32"/>
          <w:szCs w:val="32"/>
        </w:rPr>
        <w:t>出台关于全面深化新时代教师队伍建设改革的实施办法，研究</w:t>
      </w:r>
      <w:r>
        <w:rPr>
          <w:rFonts w:hint="default" w:ascii="Nimbus Roman No9 L" w:hAnsi="Nimbus Roman No9 L" w:eastAsia="仿宋_GB2312" w:cs="Nimbus Roman No9 L"/>
          <w:kern w:val="21"/>
          <w:sz w:val="32"/>
          <w:szCs w:val="32"/>
        </w:rPr>
        <w:t>引进教育领域高层次人才暂行办法</w:t>
      </w:r>
      <w:r>
        <w:rPr>
          <w:rFonts w:hint="default" w:ascii="Nimbus Roman No9 L" w:hAnsi="Nimbus Roman No9 L" w:eastAsia="仿宋_GB2312" w:cs="Nimbus Roman No9 L"/>
          <w:sz w:val="32"/>
          <w:szCs w:val="32"/>
        </w:rPr>
        <w:t>。开展师德师风排查整治活动，编辑出版《教师师德优秀事例集》《师德先进教师事迹撷萃》，选树一批师德先进典型。推进义务教育学校教师交流轮岗。实施“名校长、名教师、名班主任”培养工程，2名校长、2名班主任和6名教师入选杰出津门校长、杰出津门班主任、杰出津门教师，166人入选天津市骨干教师库。举办第四届滨海新区中小学班主任技能大赛，共评出区级一等奖33名、二等奖39名、三等奖52名。建立新区名师工作室暨心理工作站。组织幼儿园教师和保育员能力提升培训工作，对全区1123名幼教人员进行专业培训。加强职业教育“双师型”教师培养，选送50名教师到高等院校和企业学习培训。组织“名师名家走进滨海新区”活动，组织开展教师基本</w:t>
      </w:r>
      <w:bookmarkStart w:id="81" w:name="_GoBack"/>
      <w:bookmarkEnd w:id="81"/>
      <w:r>
        <w:rPr>
          <w:rFonts w:hint="default" w:ascii="Nimbus Roman No9 L" w:hAnsi="Nimbus Roman No9 L" w:eastAsia="仿宋_GB2312" w:cs="Nimbus Roman No9 L"/>
          <w:sz w:val="32"/>
          <w:szCs w:val="32"/>
        </w:rPr>
        <w:t>功“大练兵大比武”竞赛。积极组织参加天津市第六届基础教育教学成果评选活动，获奖比例位居全市首位。</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b/>
          <w:bCs/>
          <w:color w:val="000000"/>
          <w:sz w:val="32"/>
          <w:szCs w:val="32"/>
        </w:rPr>
        <w:t>教育对外开放进一步深入。</w:t>
      </w:r>
      <w:r>
        <w:rPr>
          <w:rFonts w:hint="default" w:ascii="Nimbus Roman No9 L" w:hAnsi="Nimbus Roman No9 L" w:eastAsia="仿宋_GB2312" w:cs="Nimbus Roman No9 L"/>
          <w:color w:val="000000"/>
          <w:sz w:val="32"/>
          <w:szCs w:val="32"/>
        </w:rPr>
        <w:t>支持区内外名校办分校</w:t>
      </w:r>
      <w:r>
        <w:rPr>
          <w:rFonts w:hint="default" w:ascii="Nimbus Roman No9 L" w:hAnsi="Nimbus Roman No9 L" w:eastAsia="仿宋_GB2312" w:cs="Nimbus Roman No9 L"/>
          <w:sz w:val="32"/>
          <w:szCs w:val="32"/>
        </w:rPr>
        <w:t>，积极引进社会力量在新区办学。实行托幼点注册备案制度，开展校外培训机构专项治理行动。落实随迁京籍中小学生在新区就读协议，与唐山市签订职业教育合作协议。先后组织189人次教师、校长到新疆、西藏、青海、甘肃等地参加教育扶贫，新区新疆班、青海班累计培养学生549名。组织80名</w:t>
      </w:r>
      <w:r>
        <w:rPr>
          <w:rFonts w:hint="default" w:ascii="Nimbus Roman No9 L" w:hAnsi="Nimbus Roman No9 L" w:eastAsia="仿宋_GB2312" w:cs="Nimbus Roman No9 L"/>
          <w:color w:val="000000"/>
          <w:sz w:val="32"/>
          <w:szCs w:val="32"/>
        </w:rPr>
        <w:t>校长、骨干教师赴青海省黄南州、甘肃省张家川县和合作市开展对口交流活动，接待</w:t>
      </w:r>
      <w:r>
        <w:rPr>
          <w:rFonts w:hint="default" w:ascii="Nimbus Roman No9 L" w:hAnsi="Nimbus Roman No9 L" w:eastAsia="仿宋_GB2312" w:cs="Nimbus Roman No9 L"/>
          <w:sz w:val="32"/>
          <w:szCs w:val="32"/>
        </w:rPr>
        <w:t>63名黄南州、甘南州教师跟岗实践。</w:t>
      </w:r>
      <w:r>
        <w:rPr>
          <w:rFonts w:hint="default" w:ascii="Nimbus Roman No9 L" w:hAnsi="Nimbus Roman No9 L" w:eastAsia="仿宋_GB2312" w:cs="Nimbus Roman No9 L"/>
          <w:color w:val="000000"/>
          <w:sz w:val="32"/>
          <w:szCs w:val="32"/>
        </w:rPr>
        <w:t>开展“名师进黄南”活动，受援地6400余人次师生受益。组织131所学校幼儿园与受援地131所学校幼儿园签订132份帮扶协议，开展不同形式帮扶交流活动。享有音乐界哈佛美誉的天津茱莉亚学院正式开学。完成教育国际化综合试验区建设任务。</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Nimbus Roman No9 L" w:hAnsi="Nimbus Roman No9 L" w:eastAsia="楷体_GB2312" w:cs="Nimbus Roman No9 L"/>
          <w:sz w:val="32"/>
          <w:szCs w:val="32"/>
        </w:rPr>
      </w:pPr>
      <w:bookmarkStart w:id="6" w:name="_Toc58917917"/>
      <w:bookmarkStart w:id="7" w:name="_Toc58918193"/>
      <w:bookmarkStart w:id="8" w:name="_Toc58918081"/>
      <w:r>
        <w:rPr>
          <w:rFonts w:hint="default" w:ascii="Nimbus Roman No9 L" w:hAnsi="Nimbus Roman No9 L" w:eastAsia="楷体_GB2312" w:cs="Nimbus Roman No9 L"/>
          <w:sz w:val="32"/>
          <w:szCs w:val="32"/>
        </w:rPr>
        <w:t>（二）“十四五”期间面临形势和挑战</w:t>
      </w:r>
      <w:bookmarkEnd w:id="6"/>
      <w:bookmarkEnd w:id="7"/>
      <w:bookmarkEnd w:id="8"/>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“十四五”时期是我国全面建成小康社会、实现第一个百年奋斗目标之后，乘势而上开启全面建设社会主义现代化国家新征程、向第二个百年奋斗目标进军的第一个五年</w:t>
      </w:r>
      <w:r>
        <w:rPr>
          <w:rFonts w:hint="default" w:ascii="Nimbus Roman No9 L" w:hAnsi="Nimbus Roman No9 L" w:eastAsia="仿宋_GB2312" w:cs="Nimbus Roman No9 L"/>
          <w:color w:val="000000"/>
          <w:sz w:val="32"/>
          <w:szCs w:val="32"/>
        </w:rPr>
        <w:t>，是全面建设生态、智慧、港产城融合的宜居宜业美丽滨海新城的关键五年，也是我区</w:t>
      </w:r>
      <w:r>
        <w:rPr>
          <w:rFonts w:hint="default" w:ascii="Nimbus Roman No9 L" w:hAnsi="Nimbus Roman No9 L" w:eastAsia="仿宋_GB2312" w:cs="Nimbus Roman No9 L"/>
          <w:sz w:val="32"/>
          <w:szCs w:val="32"/>
        </w:rPr>
        <w:t>建设现代化教育强区、办好人民满意教育的关键五年。</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color w:val="000000"/>
          <w:sz w:val="32"/>
          <w:szCs w:val="32"/>
        </w:rPr>
        <w:t>新一轮科技革命为教育发展带来新机遇。</w:t>
      </w:r>
      <w:r>
        <w:rPr>
          <w:rFonts w:hint="default" w:ascii="Nimbus Roman No9 L" w:hAnsi="Nimbus Roman No9 L" w:eastAsia="仿宋_GB2312" w:cs="Nimbus Roman No9 L"/>
          <w:color w:val="000000"/>
          <w:sz w:val="32"/>
          <w:szCs w:val="32"/>
        </w:rPr>
        <w:t>新一轮科技革命和产业革命正在孕育兴起，重大科技创新正在引领社会生产变革。实施创新驱动战略，厚植创新驱动根基，迫切需要教育培养大批拔尖创新人才、具有国际水平的科技人才，完善产学研深度融合的技术创新体系，为科学发展和技术创新提供强大人才支撑。</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高质量发展对教育发展提出新任务。</w:t>
      </w:r>
      <w:r>
        <w:rPr>
          <w:rFonts w:hint="default" w:ascii="Nimbus Roman No9 L" w:hAnsi="Nimbus Roman No9 L" w:eastAsia="仿宋_GB2312" w:cs="Nimbus Roman No9 L"/>
          <w:color w:val="000000"/>
          <w:sz w:val="32"/>
          <w:szCs w:val="32"/>
        </w:rPr>
        <w:t>经济发展已进入高质量发展阶段，处在转变发展方式、优化经济结构、转换增长动力的攻坚期。加快产业转型升级，深化供给侧结构性改革和需求侧管理，建成社会主义现代化建设先行区，形成“一基地三区”核心区、高质量发展示范区，需要教育主动对接产业发展需求，创新人才培养模式，优化教育资源配置，调整学科专业结构，提升劳动者素质，为经济转型升级提供人才和智力支撑。</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color w:val="000000"/>
          <w:sz w:val="32"/>
          <w:szCs w:val="32"/>
        </w:rPr>
        <w:t>区域发展战略为教育发展提供新空间。</w:t>
      </w:r>
      <w:r>
        <w:rPr>
          <w:rFonts w:hint="default" w:ascii="Nimbus Roman No9 L" w:hAnsi="Nimbus Roman No9 L" w:eastAsia="仿宋_GB2312" w:cs="Nimbus Roman No9 L"/>
          <w:color w:val="000000"/>
          <w:sz w:val="32"/>
          <w:szCs w:val="32"/>
        </w:rPr>
        <w:t>加快京津冀协同发展，打造以创新为导向的世界级城市群，建设“五个现代化天津”，提升新区城市品质，实现“滨城”发展城市定位，成为京津冀世界级城市群的重要支点，对教育结构、质量和水平提出了新的更高要求。教育必须抢抓机遇，主动作为，积极融入“一带一路”建设，大力促进京津冀协同发展，服务雄安新区建设，着力提升服务国家战略和区域经济社会发展的能力和水平，做好支撑服务。</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color w:val="000000"/>
          <w:sz w:val="32"/>
          <w:szCs w:val="32"/>
        </w:rPr>
        <w:t>城市发展定位对教育发展提出</w:t>
      </w:r>
      <w:r>
        <w:rPr>
          <w:rFonts w:hint="default" w:ascii="Nimbus Roman No9 L" w:hAnsi="Nimbus Roman No9 L" w:eastAsia="仿宋_GB2312" w:cs="Nimbus Roman No9 L"/>
          <w:b/>
          <w:bCs/>
          <w:sz w:val="32"/>
          <w:szCs w:val="32"/>
        </w:rPr>
        <w:t>新期待</w:t>
      </w:r>
      <w:r>
        <w:rPr>
          <w:rFonts w:hint="default" w:ascii="Nimbus Roman No9 L" w:hAnsi="Nimbus Roman No9 L" w:eastAsia="仿宋_GB2312" w:cs="Nimbus Roman No9 L"/>
          <w:b/>
          <w:bCs/>
          <w:color w:val="000000"/>
          <w:sz w:val="32"/>
          <w:szCs w:val="32"/>
        </w:rPr>
        <w:t>。</w:t>
      </w:r>
      <w:r>
        <w:rPr>
          <w:rFonts w:hint="default" w:ascii="Nimbus Roman No9 L" w:hAnsi="Nimbus Roman No9 L" w:eastAsia="仿宋_GB2312" w:cs="Nimbus Roman No9 L"/>
          <w:color w:val="000000"/>
          <w:sz w:val="32"/>
          <w:szCs w:val="32"/>
        </w:rPr>
        <w:t>新区正在加快建设生态、智慧、港产城融合的宜居宜业美丽滨海新城，实施“津城”“滨城”双城发展战略，公平而有质量的教育是宜居宜业美丽滨海新城的重要衡量指标。提升城市品质，打造宜居宜业环境，建设社会主义现代化大都市，迫切需要扩大优质教育资源供给，满足广大市民多样化、个性化教育需求，发展更高质量、更加公平的教育，加快推进教育现代化，建设现代化教育强区，打造与新区城市定位相匹配的现代化教育体系。</w:t>
      </w:r>
    </w:p>
    <w:p>
      <w:pPr>
        <w:keepNext w:val="0"/>
        <w:keepLines w:val="0"/>
        <w:pageBreakBefore w:val="0"/>
        <w:widowControl/>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color w:val="000000"/>
          <w:sz w:val="32"/>
          <w:szCs w:val="32"/>
        </w:rPr>
        <w:t>现代化教育强区对教育发展提出新挑战。</w:t>
      </w:r>
      <w:r>
        <w:rPr>
          <w:rFonts w:hint="default" w:ascii="Nimbus Roman No9 L" w:hAnsi="Nimbus Roman No9 L" w:eastAsia="仿宋_GB2312" w:cs="Nimbus Roman No9 L"/>
          <w:color w:val="000000"/>
          <w:sz w:val="32"/>
          <w:szCs w:val="32"/>
        </w:rPr>
        <w:t>我区教育现代化指标与中心城区、国内先进城市还有较大差距，教育发展不平衡不充分问题依然存在，基础教育资源存在缺口，义务教育优质均衡发展水平有待提升，职业教育体制机制尚需完善，高等教育规模小、支撑能力弱，教育发展活力不足，教师专业化水平仍需进一步提高，现代教育治理能力有待进一步提升。</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Nimbus Roman No9 L" w:hAnsi="Nimbus Roman No9 L" w:eastAsia="黑体" w:cs="Nimbus Roman No9 L"/>
          <w:sz w:val="32"/>
          <w:szCs w:val="32"/>
        </w:rPr>
      </w:pPr>
      <w:bookmarkStart w:id="9" w:name="_Toc58918194"/>
      <w:bookmarkStart w:id="10" w:name="_Toc58917918"/>
      <w:bookmarkStart w:id="11" w:name="_Toc58918082"/>
      <w:r>
        <w:rPr>
          <w:rFonts w:hint="default" w:ascii="Nimbus Roman No9 L" w:hAnsi="Nimbus Roman No9 L" w:eastAsia="黑体" w:cs="Nimbus Roman No9 L"/>
          <w:sz w:val="32"/>
          <w:szCs w:val="32"/>
        </w:rPr>
        <w:t>二、总体要求</w:t>
      </w:r>
      <w:bookmarkEnd w:id="9"/>
      <w:bookmarkEnd w:id="10"/>
      <w:bookmarkEnd w:id="11"/>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Nimbus Roman No9 L" w:hAnsi="Nimbus Roman No9 L" w:eastAsia="楷体_GB2312" w:cs="Nimbus Roman No9 L"/>
          <w:sz w:val="32"/>
          <w:szCs w:val="32"/>
        </w:rPr>
      </w:pPr>
      <w:bookmarkStart w:id="12" w:name="_Toc58918195"/>
      <w:bookmarkStart w:id="13" w:name="_Toc58917919"/>
      <w:bookmarkStart w:id="14" w:name="_Toc58918083"/>
      <w:r>
        <w:rPr>
          <w:rFonts w:hint="default" w:ascii="Nimbus Roman No9 L" w:hAnsi="Nimbus Roman No9 L" w:eastAsia="楷体_GB2312" w:cs="Nimbus Roman No9 L"/>
          <w:sz w:val="32"/>
          <w:szCs w:val="32"/>
        </w:rPr>
        <w:t>（一）指导思想</w:t>
      </w:r>
      <w:bookmarkEnd w:id="12"/>
      <w:bookmarkEnd w:id="13"/>
      <w:bookmarkEnd w:id="14"/>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Nimbus Roman No9 L" w:hAnsi="Nimbus Roman No9 L" w:eastAsia="仿宋_GB2312" w:cs="Nimbus Roman No9 L"/>
          <w:color w:val="FF0000"/>
          <w:sz w:val="32"/>
          <w:szCs w:val="32"/>
        </w:rPr>
      </w:pPr>
      <w:r>
        <w:rPr>
          <w:rFonts w:hint="default" w:ascii="Nimbus Roman No9 L" w:hAnsi="Nimbus Roman No9 L" w:eastAsia="仿宋_GB2312" w:cs="Nimbus Roman No9 L"/>
          <w:sz w:val="32"/>
          <w:szCs w:val="32"/>
        </w:rPr>
        <w:t>以习近平新时代中国特色社会主义思想为指导，全面贯彻党的十九大和十九届二中、三中、四中、五中全会精神，深入落实习近平总书记对天津工作提出的“三个着力”重要要求和一系列重要指示批示精神，增强“四个意识”</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坚定“四个自信”</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做到“两个维护”，坚持和加强党对教育工作的全面领导，全面贯彻党的教育方针，坚持社会主义办学方向，坚持以人民为中心的发展思想，坚定不移贯彻新发展理念，遵循教育规律和人才成长规律，以凝聚人心、完善人格、开发人力、培养人才、造福人民为工作目标，提升教育质量，促进教育公平，增强服务能力，加快发展具有新区特点、中国特色、世界水平的高质量教育体系，努力办好人民满意的教育，培养担当民族复兴大任的时代新人，培养德智体美劳全面发展的社会主义建设者和接班人，为构建“津城”“滨城”双城发展格局，提高“滨城”的承载力、吸附力和影响力，提供有力的人才保障、智力支撑和文化引领。</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Nimbus Roman No9 L" w:hAnsi="Nimbus Roman No9 L" w:eastAsia="楷体_GB2312" w:cs="Nimbus Roman No9 L"/>
          <w:sz w:val="32"/>
          <w:szCs w:val="32"/>
        </w:rPr>
      </w:pPr>
      <w:bookmarkStart w:id="15" w:name="_Toc58918196"/>
      <w:bookmarkStart w:id="16" w:name="_Toc58917920"/>
      <w:bookmarkStart w:id="17" w:name="_Toc58918084"/>
      <w:r>
        <w:rPr>
          <w:rFonts w:hint="default" w:ascii="Nimbus Roman No9 L" w:hAnsi="Nimbus Roman No9 L" w:eastAsia="楷体_GB2312" w:cs="Nimbus Roman No9 L"/>
          <w:sz w:val="32"/>
          <w:szCs w:val="32"/>
        </w:rPr>
        <w:t>（二）发展思路</w:t>
      </w:r>
      <w:bookmarkEnd w:id="15"/>
      <w:bookmarkEnd w:id="16"/>
      <w:bookmarkEnd w:id="17"/>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坚定正确办学方向、做好统筹衔接、突出改革开放创新、坚持科学民主决策，结合国家和全市对新区城市定位要求，结合全区经济产业发展对教育的需求，结合全区教育改革发展存在的问题短板和薄弱环节，结合人民群众对教育的新期待、新要求，全面摸清全区教育改革发展底数和经济产业发展趋势、人口变动形势，以服务“滨城”发展为总目标，以资源建设和质量内涵提升为主线，以补短板、提质量、创特色为主攻方向，科学确定“十四五”期间全区教育改革发展的战略目标和发展重点，提出一批促进新区教育高质量发展的预期性重要指标和有约束性、能检查和可评估的定性定量指标，提出一批符合新区城市定位需求的重大项目，提出一批走在全国前沿、引领发展、突破障碍的改革创新政策，提出一批契合实际、有针对性、可操作性强的具体行动举措，切实提高人民群众对全区教育改革发展的获得感和满意度。</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Nimbus Roman No9 L" w:hAnsi="Nimbus Roman No9 L" w:eastAsia="楷体_GB2312" w:cs="Nimbus Roman No9 L"/>
          <w:sz w:val="32"/>
          <w:szCs w:val="32"/>
        </w:rPr>
      </w:pPr>
      <w:bookmarkStart w:id="18" w:name="_Toc58918197"/>
      <w:bookmarkStart w:id="19" w:name="_Toc58917921"/>
      <w:bookmarkStart w:id="20" w:name="_Toc58918085"/>
      <w:r>
        <w:rPr>
          <w:rFonts w:hint="default" w:ascii="Nimbus Roman No9 L" w:hAnsi="Nimbus Roman No9 L" w:eastAsia="楷体_GB2312" w:cs="Nimbus Roman No9 L"/>
          <w:sz w:val="32"/>
          <w:szCs w:val="32"/>
        </w:rPr>
        <w:t>（三）战略目标</w:t>
      </w:r>
      <w:bookmarkEnd w:id="18"/>
      <w:bookmarkEnd w:id="19"/>
      <w:bookmarkEnd w:id="20"/>
    </w:p>
    <w:p>
      <w:pPr>
        <w:pStyle w:val="2"/>
        <w:keepNext w:val="0"/>
        <w:keepLines w:val="0"/>
        <w:pageBreakBefore w:val="0"/>
        <w:kinsoku/>
        <w:wordWrap/>
        <w:overflowPunct/>
        <w:topLinePunct w:val="0"/>
        <w:autoSpaceDE/>
        <w:autoSpaceDN/>
        <w:bidi w:val="0"/>
        <w:snapToGrid/>
        <w:spacing w:before="0" w:line="580" w:lineRule="exact"/>
        <w:ind w:firstLine="640" w:firstLineChars="200"/>
        <w:jc w:val="both"/>
        <w:textAlignment w:val="auto"/>
        <w:rPr>
          <w:rFonts w:hint="default" w:ascii="Nimbus Roman No9 L" w:hAnsi="Nimbus Roman No9 L" w:cs="Nimbus Roman No9 L"/>
          <w:bCs/>
          <w:sz w:val="32"/>
          <w:szCs w:val="32"/>
        </w:rPr>
      </w:pPr>
      <w:r>
        <w:rPr>
          <w:rFonts w:hint="default" w:ascii="Nimbus Roman No9 L" w:hAnsi="Nimbus Roman No9 L" w:cs="Nimbus Roman No9 L"/>
          <w:bCs/>
          <w:sz w:val="32"/>
          <w:szCs w:val="32"/>
        </w:rPr>
        <w:t>到2025年，教育短板全面补齐，发展主要指标和教育质量位居全市前列，教育现代化发展水平显著提升，服务新动能引育支撑能力显著增强，人民群众对教育的满意度、获得感进一步提高，基本形成与“滨城”发展相匹配的高质量教育体系，为到2035年建成质量一流、公平普惠、优势突出、人民满意的现代化教育强区奠定坚实基础。</w:t>
      </w:r>
    </w:p>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rPr>
        <w:t>表1  滨海新区“十四五”教育事业发展主要指标</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3879"/>
        <w:gridCol w:w="817"/>
        <w:gridCol w:w="1116"/>
        <w:gridCol w:w="1116"/>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rPr>
              <w:t>序号</w:t>
            </w:r>
          </w:p>
        </w:tc>
        <w:tc>
          <w:tcPr>
            <w:tcW w:w="2140" w:type="pct"/>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rPr>
              <w:t>主要指标</w:t>
            </w:r>
          </w:p>
        </w:tc>
        <w:tc>
          <w:tcPr>
            <w:tcW w:w="451" w:type="pct"/>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rPr>
              <w:t>单位</w:t>
            </w:r>
          </w:p>
        </w:tc>
        <w:tc>
          <w:tcPr>
            <w:tcW w:w="616" w:type="pct"/>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rPr>
              <w:t>2020年</w:t>
            </w:r>
          </w:p>
        </w:tc>
        <w:tc>
          <w:tcPr>
            <w:tcW w:w="616" w:type="pct"/>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rPr>
              <w:t>2025年</w:t>
            </w:r>
          </w:p>
        </w:tc>
        <w:tc>
          <w:tcPr>
            <w:tcW w:w="727" w:type="pct"/>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1</w:t>
            </w:r>
          </w:p>
        </w:tc>
        <w:tc>
          <w:tcPr>
            <w:tcW w:w="2140" w:type="pct"/>
          </w:tcPr>
          <w:p>
            <w:pPr>
              <w:keepNext w:val="0"/>
              <w:keepLines w:val="0"/>
              <w:pageBreakBefore w:val="0"/>
              <w:kinsoku/>
              <w:wordWrap/>
              <w:overflowPunct/>
              <w:topLinePunct w:val="0"/>
              <w:autoSpaceDE/>
              <w:autoSpaceDN/>
              <w:bidi w:val="0"/>
              <w:snapToGrid/>
              <w:spacing w:line="580" w:lineRule="exact"/>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学前教育三年毛入园率</w:t>
            </w:r>
          </w:p>
        </w:tc>
        <w:tc>
          <w:tcPr>
            <w:tcW w:w="451"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616"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88</w:t>
            </w:r>
          </w:p>
        </w:tc>
        <w:tc>
          <w:tcPr>
            <w:tcW w:w="616"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＞92</w:t>
            </w:r>
          </w:p>
        </w:tc>
        <w:tc>
          <w:tcPr>
            <w:tcW w:w="727"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color w:val="000000"/>
                <w:sz w:val="24"/>
              </w:rPr>
            </w:pPr>
            <w:r>
              <w:rPr>
                <w:rFonts w:hint="default" w:ascii="Nimbus Roman No9 L" w:hAnsi="Nimbus Roman No9 L" w:eastAsia="仿宋_GB2312" w:cs="Nimbus Roman No9 L"/>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2</w:t>
            </w:r>
          </w:p>
        </w:tc>
        <w:tc>
          <w:tcPr>
            <w:tcW w:w="2140" w:type="pct"/>
          </w:tcPr>
          <w:p>
            <w:pPr>
              <w:keepNext w:val="0"/>
              <w:keepLines w:val="0"/>
              <w:pageBreakBefore w:val="0"/>
              <w:kinsoku/>
              <w:wordWrap/>
              <w:overflowPunct/>
              <w:topLinePunct w:val="0"/>
              <w:autoSpaceDE/>
              <w:autoSpaceDN/>
              <w:bidi w:val="0"/>
              <w:snapToGrid/>
              <w:spacing w:line="580" w:lineRule="exact"/>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普惠性学前教育资源比例</w:t>
            </w:r>
          </w:p>
        </w:tc>
        <w:tc>
          <w:tcPr>
            <w:tcW w:w="451"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616"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85</w:t>
            </w:r>
          </w:p>
        </w:tc>
        <w:tc>
          <w:tcPr>
            <w:tcW w:w="616"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＞85</w:t>
            </w:r>
          </w:p>
        </w:tc>
        <w:tc>
          <w:tcPr>
            <w:tcW w:w="727"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color w:val="000000"/>
                <w:sz w:val="24"/>
              </w:rPr>
            </w:pPr>
            <w:r>
              <w:rPr>
                <w:rFonts w:hint="default" w:ascii="Nimbus Roman No9 L" w:hAnsi="Nimbus Roman No9 L" w:eastAsia="仿宋_GB2312" w:cs="Nimbus Roman No9 L"/>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9"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3</w:t>
            </w:r>
          </w:p>
        </w:tc>
        <w:tc>
          <w:tcPr>
            <w:tcW w:w="2140" w:type="pct"/>
          </w:tcPr>
          <w:p>
            <w:pPr>
              <w:keepNext w:val="0"/>
              <w:keepLines w:val="0"/>
              <w:pageBreakBefore w:val="0"/>
              <w:kinsoku/>
              <w:wordWrap/>
              <w:overflowPunct/>
              <w:topLinePunct w:val="0"/>
              <w:autoSpaceDE/>
              <w:autoSpaceDN/>
              <w:bidi w:val="0"/>
              <w:snapToGrid/>
              <w:spacing w:line="580" w:lineRule="exact"/>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九年义务教育巩固率</w:t>
            </w:r>
          </w:p>
        </w:tc>
        <w:tc>
          <w:tcPr>
            <w:tcW w:w="451"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616"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99</w:t>
            </w:r>
          </w:p>
        </w:tc>
        <w:tc>
          <w:tcPr>
            <w:tcW w:w="616"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＞99</w:t>
            </w:r>
          </w:p>
        </w:tc>
        <w:tc>
          <w:tcPr>
            <w:tcW w:w="727"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color w:val="000000"/>
                <w:sz w:val="24"/>
              </w:rPr>
            </w:pPr>
            <w:r>
              <w:rPr>
                <w:rFonts w:hint="default" w:ascii="Nimbus Roman No9 L" w:hAnsi="Nimbus Roman No9 L" w:eastAsia="仿宋_GB2312" w:cs="Nimbus Roman No9 L"/>
                <w:color w:val="00000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w:t>
            </w:r>
          </w:p>
        </w:tc>
        <w:tc>
          <w:tcPr>
            <w:tcW w:w="2140" w:type="pct"/>
          </w:tcPr>
          <w:p>
            <w:pPr>
              <w:keepNext w:val="0"/>
              <w:keepLines w:val="0"/>
              <w:pageBreakBefore w:val="0"/>
              <w:kinsoku/>
              <w:wordWrap/>
              <w:overflowPunct/>
              <w:topLinePunct w:val="0"/>
              <w:autoSpaceDE/>
              <w:autoSpaceDN/>
              <w:bidi w:val="0"/>
              <w:snapToGrid/>
              <w:spacing w:line="580" w:lineRule="exact"/>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高中阶段毛入学率</w:t>
            </w:r>
          </w:p>
        </w:tc>
        <w:tc>
          <w:tcPr>
            <w:tcW w:w="451"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616"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98</w:t>
            </w:r>
          </w:p>
        </w:tc>
        <w:tc>
          <w:tcPr>
            <w:tcW w:w="616"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＞98</w:t>
            </w:r>
          </w:p>
        </w:tc>
        <w:tc>
          <w:tcPr>
            <w:tcW w:w="727"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color w:val="000000"/>
                <w:sz w:val="24"/>
              </w:rPr>
            </w:pPr>
            <w:r>
              <w:rPr>
                <w:rFonts w:hint="default" w:ascii="Nimbus Roman No9 L" w:hAnsi="Nimbus Roman No9 L" w:eastAsia="仿宋_GB2312" w:cs="Nimbus Roman No9 L"/>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9"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5</w:t>
            </w:r>
          </w:p>
        </w:tc>
        <w:tc>
          <w:tcPr>
            <w:tcW w:w="2140" w:type="pct"/>
          </w:tcPr>
          <w:p>
            <w:pPr>
              <w:keepNext w:val="0"/>
              <w:keepLines w:val="0"/>
              <w:pageBreakBefore w:val="0"/>
              <w:kinsoku/>
              <w:wordWrap/>
              <w:overflowPunct/>
              <w:topLinePunct w:val="0"/>
              <w:autoSpaceDE/>
              <w:autoSpaceDN/>
              <w:bidi w:val="0"/>
              <w:snapToGrid/>
              <w:spacing w:line="580" w:lineRule="exact"/>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区内义务教育校际均衡系数</w:t>
            </w:r>
          </w:p>
        </w:tc>
        <w:tc>
          <w:tcPr>
            <w:tcW w:w="451"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p>
        </w:tc>
        <w:tc>
          <w:tcPr>
            <w:tcW w:w="616"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0.2</w:t>
            </w:r>
          </w:p>
        </w:tc>
        <w:tc>
          <w:tcPr>
            <w:tcW w:w="616"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＜0.15</w:t>
            </w:r>
          </w:p>
        </w:tc>
        <w:tc>
          <w:tcPr>
            <w:tcW w:w="727"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color w:val="000000"/>
                <w:sz w:val="24"/>
              </w:rPr>
            </w:pPr>
            <w:r>
              <w:rPr>
                <w:rFonts w:hint="default" w:ascii="Nimbus Roman No9 L" w:hAnsi="Nimbus Roman No9 L" w:eastAsia="仿宋_GB2312" w:cs="Nimbus Roman No9 L"/>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6</w:t>
            </w:r>
          </w:p>
        </w:tc>
        <w:tc>
          <w:tcPr>
            <w:tcW w:w="2140" w:type="pct"/>
          </w:tcPr>
          <w:p>
            <w:pPr>
              <w:keepNext w:val="0"/>
              <w:keepLines w:val="0"/>
              <w:pageBreakBefore w:val="0"/>
              <w:kinsoku/>
              <w:wordWrap/>
              <w:overflowPunct/>
              <w:topLinePunct w:val="0"/>
              <w:autoSpaceDE/>
              <w:autoSpaceDN/>
              <w:bidi w:val="0"/>
              <w:snapToGrid/>
              <w:spacing w:line="580" w:lineRule="exact"/>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中小学生体质健康优良率</w:t>
            </w:r>
          </w:p>
        </w:tc>
        <w:tc>
          <w:tcPr>
            <w:tcW w:w="451"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616"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50</w:t>
            </w:r>
          </w:p>
        </w:tc>
        <w:tc>
          <w:tcPr>
            <w:tcW w:w="616"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60</w:t>
            </w:r>
          </w:p>
        </w:tc>
        <w:tc>
          <w:tcPr>
            <w:tcW w:w="727"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color w:val="000000"/>
                <w:sz w:val="24"/>
              </w:rPr>
            </w:pPr>
            <w:r>
              <w:rPr>
                <w:rFonts w:hint="default" w:ascii="Nimbus Roman No9 L" w:hAnsi="Nimbus Roman No9 L" w:eastAsia="仿宋_GB2312" w:cs="Nimbus Roman No9 L"/>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49"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7</w:t>
            </w:r>
          </w:p>
        </w:tc>
        <w:tc>
          <w:tcPr>
            <w:tcW w:w="2140" w:type="pct"/>
          </w:tcPr>
          <w:p>
            <w:pPr>
              <w:keepNext w:val="0"/>
              <w:keepLines w:val="0"/>
              <w:pageBreakBefore w:val="0"/>
              <w:kinsoku/>
              <w:wordWrap/>
              <w:overflowPunct/>
              <w:topLinePunct w:val="0"/>
              <w:autoSpaceDE/>
              <w:autoSpaceDN/>
              <w:bidi w:val="0"/>
              <w:snapToGrid/>
              <w:spacing w:line="580" w:lineRule="exact"/>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义务教育专任教师本科及以上学历比例</w:t>
            </w:r>
          </w:p>
        </w:tc>
        <w:tc>
          <w:tcPr>
            <w:tcW w:w="451"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616"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80</w:t>
            </w:r>
          </w:p>
        </w:tc>
        <w:tc>
          <w:tcPr>
            <w:tcW w:w="616"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90</w:t>
            </w:r>
          </w:p>
        </w:tc>
        <w:tc>
          <w:tcPr>
            <w:tcW w:w="727"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color w:val="000000"/>
                <w:sz w:val="24"/>
              </w:rPr>
            </w:pPr>
            <w:r>
              <w:rPr>
                <w:rFonts w:hint="default" w:ascii="Nimbus Roman No9 L" w:hAnsi="Nimbus Roman No9 L" w:eastAsia="仿宋_GB2312" w:cs="Nimbus Roman No9 L"/>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8</w:t>
            </w:r>
          </w:p>
        </w:tc>
        <w:tc>
          <w:tcPr>
            <w:tcW w:w="2140" w:type="pct"/>
          </w:tcPr>
          <w:p>
            <w:pPr>
              <w:keepNext w:val="0"/>
              <w:keepLines w:val="0"/>
              <w:pageBreakBefore w:val="0"/>
              <w:kinsoku/>
              <w:wordWrap/>
              <w:overflowPunct/>
              <w:topLinePunct w:val="0"/>
              <w:autoSpaceDE/>
              <w:autoSpaceDN/>
              <w:bidi w:val="0"/>
              <w:snapToGrid/>
              <w:spacing w:line="580" w:lineRule="exact"/>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职业教育“双师型”教师比例</w:t>
            </w:r>
          </w:p>
        </w:tc>
        <w:tc>
          <w:tcPr>
            <w:tcW w:w="451"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616"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color w:val="FF0000"/>
                <w:sz w:val="24"/>
              </w:rPr>
            </w:pPr>
            <w:r>
              <w:rPr>
                <w:rFonts w:hint="default" w:ascii="Nimbus Roman No9 L" w:hAnsi="Nimbus Roman No9 L" w:eastAsia="仿宋_GB2312" w:cs="Nimbus Roman No9 L"/>
                <w:sz w:val="24"/>
              </w:rPr>
              <w:t>70</w:t>
            </w:r>
          </w:p>
        </w:tc>
        <w:tc>
          <w:tcPr>
            <w:tcW w:w="616"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80</w:t>
            </w:r>
          </w:p>
        </w:tc>
        <w:tc>
          <w:tcPr>
            <w:tcW w:w="727"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color w:val="000000"/>
                <w:sz w:val="24"/>
              </w:rPr>
            </w:pPr>
            <w:r>
              <w:rPr>
                <w:rFonts w:hint="default" w:ascii="Nimbus Roman No9 L" w:hAnsi="Nimbus Roman No9 L" w:eastAsia="仿宋_GB2312" w:cs="Nimbus Roman No9 L"/>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9</w:t>
            </w:r>
          </w:p>
        </w:tc>
        <w:tc>
          <w:tcPr>
            <w:tcW w:w="2140" w:type="pct"/>
          </w:tcPr>
          <w:p>
            <w:pPr>
              <w:keepNext w:val="0"/>
              <w:keepLines w:val="0"/>
              <w:pageBreakBefore w:val="0"/>
              <w:kinsoku/>
              <w:wordWrap/>
              <w:overflowPunct/>
              <w:topLinePunct w:val="0"/>
              <w:autoSpaceDE/>
              <w:autoSpaceDN/>
              <w:bidi w:val="0"/>
              <w:snapToGrid/>
              <w:spacing w:line="580" w:lineRule="exact"/>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新增劳动力平均受教育年限</w:t>
            </w:r>
          </w:p>
        </w:tc>
        <w:tc>
          <w:tcPr>
            <w:tcW w:w="451"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年</w:t>
            </w:r>
          </w:p>
        </w:tc>
        <w:tc>
          <w:tcPr>
            <w:tcW w:w="616"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15.34</w:t>
            </w:r>
          </w:p>
        </w:tc>
        <w:tc>
          <w:tcPr>
            <w:tcW w:w="616"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15.5</w:t>
            </w:r>
          </w:p>
        </w:tc>
        <w:tc>
          <w:tcPr>
            <w:tcW w:w="727" w:type="pct"/>
            <w:vAlign w:val="center"/>
          </w:tcPr>
          <w:p>
            <w:pPr>
              <w:keepNext w:val="0"/>
              <w:keepLines w:val="0"/>
              <w:pageBreakBefore w:val="0"/>
              <w:kinsoku/>
              <w:wordWrap/>
              <w:overflowPunct/>
              <w:topLinePunct w:val="0"/>
              <w:autoSpaceDE/>
              <w:autoSpaceDN/>
              <w:bidi w:val="0"/>
              <w:snapToGrid/>
              <w:spacing w:line="580" w:lineRule="exact"/>
              <w:jc w:val="center"/>
              <w:textAlignment w:val="auto"/>
              <w:rPr>
                <w:rFonts w:hint="default" w:ascii="Nimbus Roman No9 L" w:hAnsi="Nimbus Roman No9 L" w:eastAsia="仿宋_GB2312" w:cs="Nimbus Roman No9 L"/>
                <w:color w:val="000000"/>
                <w:sz w:val="24"/>
              </w:rPr>
            </w:pPr>
            <w:r>
              <w:rPr>
                <w:rFonts w:hint="default" w:ascii="Nimbus Roman No9 L" w:hAnsi="Nimbus Roman No9 L" w:eastAsia="仿宋_GB2312" w:cs="Nimbus Roman No9 L"/>
                <w:color w:val="000000"/>
                <w:sz w:val="24"/>
              </w:rPr>
              <w:t>预期性</w:t>
            </w:r>
          </w:p>
        </w:tc>
      </w:tr>
    </w:tbl>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Nimbus Roman No9 L" w:hAnsi="Nimbus Roman No9 L" w:eastAsia="黑体" w:cs="Nimbus Roman No9 L"/>
          <w:sz w:val="32"/>
          <w:szCs w:val="32"/>
        </w:rPr>
      </w:pPr>
      <w:bookmarkStart w:id="21" w:name="_Toc58918198"/>
      <w:bookmarkStart w:id="22" w:name="_Toc58918086"/>
      <w:bookmarkStart w:id="23" w:name="_Toc58917922"/>
      <w:r>
        <w:rPr>
          <w:rFonts w:hint="default" w:ascii="Nimbus Roman No9 L" w:hAnsi="Nimbus Roman No9 L" w:eastAsia="黑体" w:cs="Nimbus Roman No9 L"/>
          <w:sz w:val="32"/>
          <w:szCs w:val="32"/>
        </w:rPr>
        <w:t>三、主要任务</w:t>
      </w:r>
      <w:bookmarkEnd w:id="21"/>
      <w:bookmarkEnd w:id="22"/>
      <w:bookmarkEnd w:id="23"/>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Nimbus Roman No9 L" w:hAnsi="Nimbus Roman No9 L" w:eastAsia="楷体_GB2312" w:cs="Nimbus Roman No9 L"/>
          <w:sz w:val="32"/>
          <w:szCs w:val="32"/>
        </w:rPr>
      </w:pPr>
      <w:bookmarkStart w:id="24" w:name="_Toc58918087"/>
      <w:bookmarkStart w:id="25" w:name="_Toc58918199"/>
      <w:bookmarkStart w:id="26" w:name="_Toc58917923"/>
      <w:r>
        <w:rPr>
          <w:rFonts w:hint="default" w:ascii="Nimbus Roman No9 L" w:hAnsi="Nimbus Roman No9 L" w:eastAsia="楷体_GB2312" w:cs="Nimbus Roman No9 L"/>
          <w:sz w:val="32"/>
          <w:szCs w:val="32"/>
        </w:rPr>
        <w:t>（一）实施新时代立德树人计划</w:t>
      </w:r>
      <w:bookmarkEnd w:id="24"/>
      <w:bookmarkEnd w:id="25"/>
      <w:bookmarkEnd w:id="26"/>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树立科学的教育质量观，坚持“五育”并举，大力发展素质教育，到2025年，大中小幼一体化思政工作体系基本形成，各级各类学校立德树人成效更加显著。</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1.全面推动习近平新时代中国特色社会主义思想进教材进课堂进头脑。</w:t>
      </w:r>
      <w:r>
        <w:rPr>
          <w:rFonts w:hint="default" w:ascii="Nimbus Roman No9 L" w:hAnsi="Nimbus Roman No9 L" w:eastAsia="仿宋_GB2312" w:cs="Nimbus Roman No9 L"/>
          <w:bCs/>
          <w:sz w:val="32"/>
          <w:szCs w:val="32"/>
        </w:rPr>
        <w:t>持续推进党史、新中国史、改革开放史、社会主义发展史学习教育活动，大力开展以党员和全体教职工、学生为重点的精准化学习教育，推进“四史”学习教育进机关、进校园、进头脑。贯彻落实国家《新时代爱国主义教育实施纲要》和天津市实施意见，组织开展喜迎建党100周年“百年行动”。深入开展理想信念教育，大力弘扬以爱国主义为核心的民族精神和以改革创新为核心的时代精神，深化“中国梦”、“扣好人生第一粒扣子”主题宣传教育，培养学生的爱国情怀，教育引导学生增强中华民族自豪感，热爱和拥护中国共产党。</w:t>
      </w:r>
      <w:r>
        <w:rPr>
          <w:rFonts w:hint="default" w:ascii="Nimbus Roman No9 L" w:hAnsi="Nimbus Roman No9 L" w:eastAsia="仿宋_GB2312" w:cs="Nimbus Roman No9 L"/>
          <w:sz w:val="32"/>
          <w:szCs w:val="32"/>
        </w:rPr>
        <w:t>在大中小学持续开展学习贯彻习近平新时代中国特色社会主义思想和党的十九大精神活动。建设学习贯彻习近平新时代中国特色社会主义思想“名师示范课堂”。深入开展“习近平教育重要论述学悟行”等系列活动，广泛宣传各学校学习习近平新时代中国特色社会主义思想优秀案例。建立和完善中小学国家课程教材选用制度，严格规范使用国家统编教材。将习近平新时代中国特色社会主义思想纳入教师培训必修课程，引导广大教师深刻理解掌握科学体系和丰富内涵，把教材体系、教学体系有效转化为学生的知识体系、价值体系。推进节约型校园、循环型校园、环境友好型校园建设，建设一批生态文明绿色校园，形成具有新区特色、梯次衔接的生态文明教育体系。全面开展校园垃圾分类教育。</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color w:val="FF0000"/>
          <w:sz w:val="32"/>
          <w:szCs w:val="32"/>
        </w:rPr>
      </w:pPr>
      <w:r>
        <w:rPr>
          <w:rFonts w:hint="default" w:ascii="Nimbus Roman No9 L" w:hAnsi="Nimbus Roman No9 L" w:eastAsia="仿宋_GB2312" w:cs="Nimbus Roman No9 L"/>
          <w:b/>
          <w:sz w:val="32"/>
          <w:szCs w:val="32"/>
        </w:rPr>
        <w:t>2.增强学生德育针对性和实效性。</w:t>
      </w:r>
      <w:r>
        <w:rPr>
          <w:rFonts w:hint="default" w:ascii="Nimbus Roman No9 L" w:hAnsi="Nimbus Roman No9 L" w:eastAsia="仿宋_GB2312" w:cs="Nimbus Roman No9 L"/>
          <w:sz w:val="32"/>
          <w:szCs w:val="32"/>
        </w:rPr>
        <w:t>实施中小学德育创新改革工程，从中小学生身心特点和思想实际出发改进德育方式方法，注重循序渐进、因材施教、潜移默化，开展喜闻乐见、入脑入心的德育活动，引导中小学生树立正确的世界观、人生观、价值观。推进大中小幼一体化思政体系建设，形成方向正确、内容完善、学段衔接、载体丰富、常态开展的德育工作体系。严格落实《中小学德育工作指南》。强化中小学生基本礼仪、基本规则、基本要求等教育。成立中小学班主任共同体，研究推动学生习惯培养、班级建设、主题活动、科研引领等工作，每两年举办1次班主任技能大赛、班主任风采展评。完善以教学效果为核心的思政课教学评价体系，推广课堂辩论、小组讨论、角色扮演、案例分析等教学模式。支持中小学共青团、少先队建设。将社会主义核心价值观纳入中小学生发展核心素养和学业质量标准，梯次推进社会主义核心价值观内化于心、外化于行。实施德育资源挖掘计划，用好各类社会资源载体，建设用好德育实践教育基地。发挥学校党组织和群团组织的育人功能，发挥先进人物示范引领和校史校风校训校歌教育作用。健全全员育人、全过程育人、全方位育人机制。持续加强网络环境下德育针对性、时效性、实效性工作。</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color w:val="FF0000"/>
          <w:sz w:val="32"/>
          <w:szCs w:val="32"/>
        </w:rPr>
      </w:pPr>
      <w:r>
        <w:rPr>
          <w:rFonts w:hint="default" w:ascii="Nimbus Roman No9 L" w:hAnsi="Nimbus Roman No9 L" w:eastAsia="仿宋_GB2312" w:cs="Nimbus Roman No9 L"/>
          <w:b/>
          <w:sz w:val="32"/>
          <w:szCs w:val="32"/>
        </w:rPr>
        <w:t>3.创新劳动和实践育人模式。</w:t>
      </w:r>
      <w:r>
        <w:rPr>
          <w:rFonts w:hint="default" w:ascii="Nimbus Roman No9 L" w:hAnsi="Nimbus Roman No9 L" w:eastAsia="仿宋_GB2312" w:cs="Nimbus Roman No9 L"/>
          <w:sz w:val="32"/>
          <w:szCs w:val="32"/>
        </w:rPr>
        <w:t>实施劳动教育磨砺攻坚工程，建设用好区级劳动教育实践基地，开足开好中小学劳动课程和劳动技术教育课程，组织好校内校外劳动，实现以劳树德、以劳增智、以劳强体。充分发挥劳动综合育人功能，积极开展学生生活实践、劳动技术和职业体验教育，创建一批市级、区级劳动教育精品课、特色学校，力争成为市级劳动教育示范区。将学生劳动教育情况纳入综合素质档案，作为升学、评优的重要参考。将中小学开展劳动教育的工作情况纳入学校年度绩效考评指标，将中小学落实劳动教育的情况纳入中小学责任督学挂牌督导内容。深化中小学“实践课堂”建设，建立和完善社会资源单位准入机制，培育一批实践课程、示范课程，推动实践育人工作规范化组织、制度化运行、常态化发展。深入开展学生素质拓展课外活动，探索政府购买服务、服务性收费或代收费、社会捐助等方式多渠道筹措资金，为学生提供丰富多彩的课后服务内容，促进校内教育与校外教育有机衔接。加强学生志愿服务指导。</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4.加强和改进学校体育。</w:t>
      </w:r>
      <w:r>
        <w:rPr>
          <w:rFonts w:hint="default" w:ascii="Nimbus Roman No9 L" w:hAnsi="Nimbus Roman No9 L" w:eastAsia="仿宋_GB2312" w:cs="Nimbus Roman No9 L"/>
          <w:sz w:val="32"/>
          <w:szCs w:val="32"/>
        </w:rPr>
        <w:t>实施体育强健工程，以体育锻炼、健康教育、疾病防控为重点，开展健康素养提升行动、阳光体育运动推进行动和卫生健康促进行动等，让每位学生掌握1至3项运动技能。坚持每年开展全覆盖的学生体质健康测试工作，测试结果向社会及学生家长通报。对学生体质健康水平持续三年下降的学校，在教育督导评估中实行“一票否决”。到2025年，学生体质健康各项指标明显改善，学生体质健康标准优良率进一步提高。提高体育课教学质量，建立“体育教师+体育教练员”的工作机制，完善学校、社区、家庭“三结合”的学生体质健康促进工作长效机制。推广中华传统体育项目，形成“一校一品”“一校多品”的学校体育发展新局面。完善学校游泳馆等体育场馆开放机制，让更多师生得到体育锻炼。实施青少年校园足球推进项目，建设校内联赛、校际联赛、选拔性竞赛、出国交流比赛一体化校园足球竞赛体系，推进校园足球特色纵深发展。到2025年，国家级校园足球特色学校达到50所。严格执行综合防控儿童青少年近视工作方案，推进学生视力健康教育、视力健康综合干预、教室光环境达标等系列项目，有效控制青少年近视发生率。</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5.加强和改进学校美育。</w:t>
      </w:r>
      <w:r>
        <w:rPr>
          <w:rFonts w:hint="default" w:ascii="Nimbus Roman No9 L" w:hAnsi="Nimbus Roman No9 L" w:eastAsia="仿宋_GB2312" w:cs="Nimbus Roman No9 L"/>
          <w:sz w:val="32"/>
          <w:szCs w:val="32"/>
        </w:rPr>
        <w:t>实施美育浸润工程，建设一批美育学科特色课程基地，开发一批地方和校本精品美育特色课程，完善美育课程体系，提高文艺展演质量，使每名学生学会1至2项艺术技能。探索课堂教学、校园文化和课外活动“三位一体”艺术教育模式。实施中华优秀传统文化艺术传承学校创建项目，以班级为基础开展群体性的艺术活动，弘扬民族优秀文化传统，形成鲜明的美育特色。到2025年，再创建2个国家级、5个市级、10个区级中华优秀传统文化艺术传承学校。实施中华优秀语言文化传承与保护工程，举办经典诵读、书写书法、诗文创作等宣传展示和竞赛活动。</w:t>
      </w:r>
    </w:p>
    <w:p>
      <w:pPr>
        <w:keepNext w:val="0"/>
        <w:keepLines w:val="0"/>
        <w:pageBreakBefore w:val="0"/>
        <w:kinsoku/>
        <w:wordWrap/>
        <w:overflowPunct/>
        <w:topLinePunct w:val="0"/>
        <w:autoSpaceDE/>
        <w:autoSpaceDN/>
        <w:bidi w:val="0"/>
        <w:adjustRightInd w:val="0"/>
        <w:snapToGrid/>
        <w:spacing w:line="580" w:lineRule="exact"/>
        <w:ind w:firstLine="692"/>
        <w:textAlignment w:val="auto"/>
        <w:rPr>
          <w:rFonts w:hint="default" w:ascii="Nimbus Roman No9 L" w:hAnsi="Nimbus Roman No9 L" w:eastAsia="仿宋_GB2312" w:cs="Nimbus Roman No9 L"/>
          <w:bCs/>
          <w:sz w:val="32"/>
          <w:szCs w:val="32"/>
        </w:rPr>
      </w:pPr>
      <w:r>
        <w:rPr>
          <w:rFonts w:hint="default" w:ascii="Nimbus Roman No9 L" w:hAnsi="Nimbus Roman No9 L" w:eastAsia="仿宋_GB2312" w:cs="Nimbus Roman No9 L"/>
          <w:b/>
          <w:sz w:val="32"/>
          <w:szCs w:val="32"/>
        </w:rPr>
        <w:t>6.强化学生心理健康教育。</w:t>
      </w:r>
      <w:r>
        <w:rPr>
          <w:rFonts w:hint="default" w:ascii="Nimbus Roman No9 L" w:hAnsi="Nimbus Roman No9 L" w:eastAsia="仿宋_GB2312" w:cs="Nimbus Roman No9 L"/>
          <w:sz w:val="32"/>
          <w:szCs w:val="32"/>
        </w:rPr>
        <w:t>实施心理健康教育“阳光行动”，</w:t>
      </w:r>
      <w:r>
        <w:rPr>
          <w:rFonts w:hint="default" w:ascii="Nimbus Roman No9 L" w:hAnsi="Nimbus Roman No9 L" w:eastAsia="仿宋_GB2312" w:cs="Nimbus Roman No9 L"/>
          <w:bCs/>
          <w:sz w:val="32"/>
          <w:szCs w:val="32"/>
        </w:rPr>
        <w:t>加强学校心理辅导室、人员和场地建设，强化心理健康教育网格化管理，健全心理健康预警防控和危机干预机制。建设专业化心理健康教育工作队伍，完善用好市级、区级心理援助热线，配强心理咨询队伍。强化学生心理诊断干预，密切关注重点人群和有苗头性、倾向性问题学生，坚持抓早抓小抓细，及时进行“一对一”心理干预和个别辅导。创新课内外活动内容和形式，持续开展抗逆力训练，积极组织朋辈课堂、心理情景剧、项目素质拓展等多种活动，有针对性缓解学生心理压力。</w:t>
      </w:r>
    </w:p>
    <w:p>
      <w:pPr>
        <w:keepNext w:val="0"/>
        <w:keepLines w:val="0"/>
        <w:pageBreakBefore w:val="0"/>
        <w:kinsoku/>
        <w:wordWrap/>
        <w:overflowPunct/>
        <w:topLinePunct w:val="0"/>
        <w:autoSpaceDE/>
        <w:autoSpaceDN/>
        <w:bidi w:val="0"/>
        <w:adjustRightInd w:val="0"/>
        <w:snapToGrid/>
        <w:spacing w:line="580" w:lineRule="exact"/>
        <w:ind w:firstLine="692"/>
        <w:textAlignment w:val="auto"/>
        <w:rPr>
          <w:rFonts w:hint="default" w:ascii="Nimbus Roman No9 L" w:hAnsi="Nimbus Roman No9 L" w:eastAsia="仿宋_GB2312" w:cs="Nimbus Roman No9 L"/>
          <w:bCs/>
          <w:sz w:val="32"/>
          <w:szCs w:val="32"/>
        </w:rPr>
      </w:pPr>
      <w:r>
        <w:rPr>
          <w:rFonts w:hint="default" w:ascii="Nimbus Roman No9 L" w:hAnsi="Nimbus Roman No9 L" w:eastAsia="仿宋_GB2312" w:cs="Nimbus Roman No9 L"/>
          <w:b/>
          <w:sz w:val="32"/>
          <w:szCs w:val="32"/>
        </w:rPr>
        <w:t>7.加强家庭教育指导服务。</w:t>
      </w:r>
      <w:r>
        <w:rPr>
          <w:rFonts w:hint="default" w:ascii="Nimbus Roman No9 L" w:hAnsi="Nimbus Roman No9 L" w:eastAsia="仿宋_GB2312" w:cs="Nimbus Roman No9 L"/>
          <w:bCs/>
          <w:sz w:val="32"/>
          <w:szCs w:val="32"/>
        </w:rPr>
        <w:t>实施家校合作行动，建立家校沟通的长效机制，开展家庭教育示范培训，指导使用《家庭教育指导手册》，切实引导家长学习和践行《家长家庭教育基本行为规范》。建好用好家长学校，推动形成家校联动、协同发力机制。研究制定家长学校标准，开展优秀家长学校评选，打造一批家庭教育示范校，帮助家长树立正确的教育观念，引导孩子健康成长和全面发展。</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Nimbus Roman No9 L" w:hAnsi="Nimbus Roman No9 L" w:eastAsia="楷体_GB2312" w:cs="Nimbus Roman No9 L"/>
          <w:sz w:val="32"/>
          <w:szCs w:val="32"/>
        </w:rPr>
      </w:pPr>
      <w:bookmarkStart w:id="27" w:name="_Toc58918088"/>
      <w:bookmarkStart w:id="28" w:name="_Toc58917924"/>
      <w:bookmarkStart w:id="29" w:name="_Toc58918200"/>
      <w:r>
        <w:rPr>
          <w:rFonts w:hint="default" w:ascii="Nimbus Roman No9 L" w:hAnsi="Nimbus Roman No9 L" w:eastAsia="楷体_GB2312" w:cs="Nimbus Roman No9 L"/>
          <w:sz w:val="32"/>
          <w:szCs w:val="32"/>
        </w:rPr>
        <w:t>（二）实施学前教育优质普惠发展计划</w:t>
      </w:r>
      <w:bookmarkEnd w:id="27"/>
      <w:bookmarkEnd w:id="28"/>
      <w:bookmarkEnd w:id="29"/>
    </w:p>
    <w:p>
      <w:pPr>
        <w:keepNext w:val="0"/>
        <w:keepLines w:val="0"/>
        <w:pageBreakBefore w:val="0"/>
        <w:kinsoku/>
        <w:wordWrap/>
        <w:overflowPunct/>
        <w:topLinePunct w:val="0"/>
        <w:autoSpaceDE/>
        <w:autoSpaceDN/>
        <w:bidi w:val="0"/>
        <w:adjustRightInd w:val="0"/>
        <w:snapToGrid/>
        <w:spacing w:line="580" w:lineRule="exact"/>
        <w:ind w:firstLine="645"/>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持续优化学前教育资源供给，提高学前教育保教质量，</w:t>
      </w:r>
      <w:r>
        <w:rPr>
          <w:rFonts w:hint="default" w:ascii="Nimbus Roman No9 L" w:hAnsi="Nimbus Roman No9 L" w:eastAsia="仿宋_GB2312" w:cs="Nimbus Roman No9 L"/>
          <w:color w:val="000000"/>
          <w:sz w:val="32"/>
          <w:szCs w:val="32"/>
        </w:rPr>
        <w:t>到2025年，确保新区学前三年毛入园率达到92%以上，普惠性学前教育资源覆盖率达到</w:t>
      </w:r>
      <w:r>
        <w:rPr>
          <w:rFonts w:hint="default" w:ascii="Nimbus Roman No9 L" w:hAnsi="Nimbus Roman No9 L" w:eastAsia="仿宋_GB2312" w:cs="Nimbus Roman No9 L"/>
          <w:b/>
          <w:color w:val="000000"/>
          <w:sz w:val="32"/>
          <w:szCs w:val="32"/>
        </w:rPr>
        <w:t>88</w:t>
      </w:r>
      <w:r>
        <w:rPr>
          <w:rFonts w:hint="default" w:ascii="Nimbus Roman No9 L" w:hAnsi="Nimbus Roman No9 L" w:eastAsia="仿宋_GB2312" w:cs="Nimbus Roman No9 L"/>
          <w:color w:val="000000"/>
          <w:sz w:val="32"/>
          <w:szCs w:val="32"/>
        </w:rPr>
        <w:t>%以上，</w:t>
      </w:r>
      <w:r>
        <w:rPr>
          <w:rFonts w:hint="default" w:ascii="Nimbus Roman No9 L" w:hAnsi="Nimbus Roman No9 L" w:eastAsia="仿宋_GB2312" w:cs="Nimbus Roman No9 L"/>
          <w:sz w:val="32"/>
          <w:szCs w:val="32"/>
        </w:rPr>
        <w:t>率先建成全国学前教育普及普惠发展区，推进学前教育普及普惠、安全优质、创新包容发展。</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1.持续优化学前教育资源供给。</w:t>
      </w:r>
      <w:r>
        <w:rPr>
          <w:rFonts w:hint="default" w:ascii="Nimbus Roman No9 L" w:hAnsi="Nimbus Roman No9 L" w:eastAsia="仿宋_GB2312" w:cs="Nimbus Roman No9 L"/>
          <w:sz w:val="32"/>
          <w:szCs w:val="32"/>
        </w:rPr>
        <w:t>根据适龄幼儿数量变化，动态调整资源布局，</w:t>
      </w:r>
      <w:r>
        <w:rPr>
          <w:rFonts w:hint="default" w:ascii="Nimbus Roman No9 L" w:hAnsi="Nimbus Roman No9 L" w:eastAsia="仿宋_GB2312" w:cs="Nimbus Roman No9 L"/>
          <w:color w:val="000000"/>
          <w:spacing w:val="6"/>
          <w:sz w:val="32"/>
          <w:szCs w:val="32"/>
        </w:rPr>
        <w:t>通过新建、改扩建、接收小区配套、托幼点治理提升等多种方式补齐幼儿园学位缺口，到2025年公办园在园幼儿占比超过50%。</w:t>
      </w:r>
      <w:r>
        <w:rPr>
          <w:rFonts w:hint="default" w:ascii="Nimbus Roman No9 L" w:hAnsi="Nimbus Roman No9 L" w:eastAsia="仿宋_GB2312" w:cs="Nimbus Roman No9 L"/>
          <w:sz w:val="32"/>
          <w:szCs w:val="32"/>
        </w:rPr>
        <w:t>新建住宅小区配套幼儿园举办为公办幼儿园，优先满足本小区居民适龄儿童就近入园。支持街道、有实力的国有企业、事业单位、普通高等学校举办公办园。通过购买服务、财政补贴、土地划拨、培训教师、教研指导、费用减免等方式，支持普惠性民办园发展。落实普惠性幼儿园等级评定标准及收费标准，建立退出机制，明确普惠性民办园退出程序和违规办园行为的处置办法。遏制民办园过度逐利行为，依法对民办园收取的各类费用实施监管。完善农村幼儿园玩教具的规范管理，提升农村幼儿园装备水平。</w:t>
      </w:r>
    </w:p>
    <w:p>
      <w:pPr>
        <w:keepNext w:val="0"/>
        <w:keepLines w:val="0"/>
        <w:pageBreakBefore w:val="0"/>
        <w:kinsoku/>
        <w:wordWrap/>
        <w:overflowPunct/>
        <w:topLinePunct w:val="0"/>
        <w:autoSpaceDE/>
        <w:autoSpaceDN/>
        <w:bidi w:val="0"/>
        <w:adjustRightInd w:val="0"/>
        <w:snapToGrid/>
        <w:spacing w:line="580" w:lineRule="exact"/>
        <w:ind w:firstLine="645"/>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2.扩大优质学前教育资源覆盖面。</w:t>
      </w:r>
      <w:r>
        <w:rPr>
          <w:rFonts w:hint="default" w:ascii="Nimbus Roman No9 L" w:hAnsi="Nimbus Roman No9 L" w:eastAsia="仿宋_GB2312" w:cs="Nimbus Roman No9 L"/>
          <w:sz w:val="32"/>
          <w:szCs w:val="32"/>
        </w:rPr>
        <w:t>探索幼儿园集团化办学新模式，建立优质园对薄弱园、农村园、民办园的结对帮扶机制，不断扩增优质学前教育资源总量。按照区域相对就近、幼儿园强弱搭配的原则，实施幼儿园片区化管理改革试点，加强片区内公办、民办园帮扶的专业引领和实践指导。发挥优质公办园的示范带动作用，打造学前教育知名品牌。出台优惠政策，吸引国内外优质教育集团来新区办园，兼顾高端和普惠性幼儿园发展，促进学前教育多元化办学、多渠道投入、多样化发展。鼓励根据实际情况与社会需求发展提供多样化的学前教育服务，鼓励有条件的幼儿园开设托儿班，招收2至3岁的幼儿。</w:t>
      </w:r>
    </w:p>
    <w:p>
      <w:pPr>
        <w:keepNext w:val="0"/>
        <w:keepLines w:val="0"/>
        <w:pageBreakBefore w:val="0"/>
        <w:kinsoku/>
        <w:wordWrap/>
        <w:overflowPunct/>
        <w:topLinePunct w:val="0"/>
        <w:autoSpaceDE/>
        <w:autoSpaceDN/>
        <w:bidi w:val="0"/>
        <w:adjustRightInd w:val="0"/>
        <w:snapToGrid/>
        <w:spacing w:line="580" w:lineRule="exact"/>
        <w:ind w:firstLine="645"/>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3.切实提高学前教育保教质量。</w:t>
      </w:r>
      <w:r>
        <w:rPr>
          <w:rFonts w:hint="default" w:ascii="Nimbus Roman No9 L" w:hAnsi="Nimbus Roman No9 L" w:eastAsia="仿宋_GB2312" w:cs="Nimbus Roman No9 L"/>
          <w:sz w:val="32"/>
          <w:szCs w:val="32"/>
        </w:rPr>
        <w:t>全面改善办园条件，合理布局空间、设施，满足基本保育教育活动需要。遵循幼儿身心发展规律，完善幼儿园保教活动方案，将健康、语言、社会、科学、艺术等领域教育内容有机整合，合理安排幼儿一日生活，培养幼儿良好的卫生、生活、行为习惯和自我保护能力。深化幼儿园与小学教育的双向衔接，注重对学前幼儿进行入小学适应性教育，建立并开展幼儿园与小学教师联合教研、双向交流机制，杜绝幼</w:t>
      </w:r>
      <w:r>
        <w:rPr>
          <w:rFonts w:hint="default" w:ascii="Nimbus Roman No9 L" w:hAnsi="Nimbus Roman No9 L" w:eastAsia="仿宋_GB2312" w:cs="Nimbus Roman No9 L"/>
          <w:kern w:val="0"/>
          <w:sz w:val="32"/>
          <w:szCs w:val="32"/>
        </w:rPr>
        <w:t>儿园“小学化”倾向。充实教研队伍，落实教研指导责任区制度，加强园本教研、区域教研，及时解决幼儿园教师在教育实践过程中的困惑和问题。</w:t>
      </w:r>
      <w:r>
        <w:rPr>
          <w:rFonts w:hint="default" w:ascii="Nimbus Roman No9 L" w:hAnsi="Nimbus Roman No9 L" w:eastAsia="仿宋_GB2312" w:cs="Nimbus Roman No9 L"/>
          <w:sz w:val="32"/>
          <w:szCs w:val="32"/>
        </w:rPr>
        <w:t>把保护幼儿生命安全和健康放在首位，落实园长安全主体责任，通过符合幼儿身心特点的各种方式，提高幼儿基本安全知识和自我保护能力。</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Nimbus Roman No9 L" w:hAnsi="Nimbus Roman No9 L" w:eastAsia="楷体_GB2312" w:cs="Nimbus Roman No9 L"/>
          <w:sz w:val="32"/>
          <w:szCs w:val="32"/>
        </w:rPr>
      </w:pPr>
      <w:bookmarkStart w:id="30" w:name="_Toc58918089"/>
      <w:bookmarkStart w:id="31" w:name="_Toc58917925"/>
      <w:bookmarkStart w:id="32" w:name="_Toc58918201"/>
      <w:r>
        <w:rPr>
          <w:rFonts w:hint="default" w:ascii="Nimbus Roman No9 L" w:hAnsi="Nimbus Roman No9 L" w:eastAsia="楷体_GB2312" w:cs="Nimbus Roman No9 L"/>
          <w:sz w:val="32"/>
          <w:szCs w:val="32"/>
        </w:rPr>
        <w:t>（三）实施义务教育优质均衡发展计划</w:t>
      </w:r>
      <w:bookmarkEnd w:id="30"/>
      <w:bookmarkEnd w:id="31"/>
      <w:bookmarkEnd w:id="32"/>
    </w:p>
    <w:p>
      <w:pPr>
        <w:keepNext w:val="0"/>
        <w:keepLines w:val="0"/>
        <w:pageBreakBefore w:val="0"/>
        <w:kinsoku/>
        <w:wordWrap/>
        <w:overflowPunct/>
        <w:topLinePunct w:val="0"/>
        <w:autoSpaceDE/>
        <w:autoSpaceDN/>
        <w:bidi w:val="0"/>
        <w:adjustRightInd w:val="0"/>
        <w:snapToGrid/>
        <w:spacing w:line="580" w:lineRule="exact"/>
        <w:ind w:firstLine="645"/>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sz w:val="32"/>
          <w:szCs w:val="32"/>
        </w:rPr>
        <w:t>根据学龄人口变化，优化义务教育资源配置，改善学校办学条件，扩大优质教育资源覆盖面，全面提升义务教育质量</w:t>
      </w:r>
      <w:r>
        <w:rPr>
          <w:rFonts w:hint="default" w:ascii="Nimbus Roman No9 L" w:hAnsi="Nimbus Roman No9 L" w:eastAsia="仿宋_GB2312" w:cs="Nimbus Roman No9 L"/>
          <w:color w:val="000000"/>
          <w:sz w:val="32"/>
          <w:szCs w:val="32"/>
        </w:rPr>
        <w:t>，到2025年，确保九年义务教育巩固率达到99%以上，如期通过县域义务教育优质均衡国家督导评估认定。</w:t>
      </w:r>
    </w:p>
    <w:p>
      <w:pPr>
        <w:keepNext w:val="0"/>
        <w:keepLines w:val="0"/>
        <w:pageBreakBefore w:val="0"/>
        <w:kinsoku/>
        <w:wordWrap/>
        <w:overflowPunct/>
        <w:topLinePunct w:val="0"/>
        <w:autoSpaceDE/>
        <w:autoSpaceDN/>
        <w:bidi w:val="0"/>
        <w:adjustRightInd w:val="0"/>
        <w:snapToGrid/>
        <w:spacing w:line="580" w:lineRule="exact"/>
        <w:ind w:firstLine="645"/>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1.优化资源配置。</w:t>
      </w:r>
      <w:r>
        <w:rPr>
          <w:rFonts w:hint="default" w:ascii="Nimbus Roman No9 L" w:hAnsi="Nimbus Roman No9 L" w:eastAsia="仿宋_GB2312" w:cs="Nimbus Roman No9 L"/>
          <w:sz w:val="32"/>
          <w:szCs w:val="32"/>
        </w:rPr>
        <w:t>实施义务教育资源建设工程，按照城市更新发展要求，预留足够的义务教育学校用地，合理有序扩大学位供给，新（改扩）建义务教育学校30所，新增学位5.42万个，满足学生就近入学需求。在城市更新和老城区改造中，优先布局义务教育资源。调整中小学布局，采取腾笼换鸟等方式，将核心区域中专、高中学校外迁至新开发区域，增加核心区域义务教育学位供给。加强小区配套学校建设，拓展建设模式，在土地出让时明确代建、配建方式，确保配套学校与住宅小区同步建设、同步使用。严格控制义务教育学校办学规模和班额，逐步达到所有小学、初中规模不超过2000人，一贯制学校义务教育阶段规模不超过2500人，小学、初中所有班级学生数分别不超过45人和50人。</w:t>
      </w:r>
    </w:p>
    <w:p>
      <w:pPr>
        <w:keepNext w:val="0"/>
        <w:keepLines w:val="0"/>
        <w:pageBreakBefore w:val="0"/>
        <w:kinsoku/>
        <w:wordWrap/>
        <w:overflowPunct/>
        <w:topLinePunct w:val="0"/>
        <w:autoSpaceDE/>
        <w:autoSpaceDN/>
        <w:bidi w:val="0"/>
        <w:adjustRightInd w:val="0"/>
        <w:snapToGrid/>
        <w:spacing w:line="580" w:lineRule="exact"/>
        <w:ind w:firstLine="645"/>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2.改善办学条件。</w:t>
      </w:r>
      <w:r>
        <w:rPr>
          <w:rFonts w:hint="default" w:ascii="Nimbus Roman No9 L" w:hAnsi="Nimbus Roman No9 L" w:eastAsia="仿宋_GB2312" w:cs="Nimbus Roman No9 L"/>
          <w:sz w:val="32"/>
          <w:szCs w:val="32"/>
        </w:rPr>
        <w:t>实施义务教育学校体育运动场馆提升改造工程，通过新建、提升改造已有体育活动场地（室）、合用社会（社区）体育场地（步行10分钟内到达）等方式，改善中小学体育教学条件，确保生均体育运动场馆面积达到小学7.5平方米、初中10.2平方米以上。完成C级校舍加固改造，提升校舍安全水平。按照相关标准，配足配齐中小学教学仪器设备，确保全区小学、初中生均教学仪器值分别达到2000元、2500元以上。配齐中小学音乐、美术专用教室，确保全区所有小学、初中每12个班级配备音乐、美术专用教室1间以上。完成158所中小学特色实验室建设任务。鼓励有条件的学校加强创新实验室、信息化学习空间、数字化课程资源建设，完善学科专用教室配置，拓展学校图书馆功能，满足素质教育和创新人才培养需求。</w:t>
      </w:r>
    </w:p>
    <w:p>
      <w:pPr>
        <w:keepNext w:val="0"/>
        <w:keepLines w:val="0"/>
        <w:pageBreakBefore w:val="0"/>
        <w:kinsoku/>
        <w:wordWrap/>
        <w:overflowPunct/>
        <w:topLinePunct w:val="0"/>
        <w:autoSpaceDE/>
        <w:autoSpaceDN/>
        <w:bidi w:val="0"/>
        <w:adjustRightInd w:val="0"/>
        <w:snapToGrid/>
        <w:spacing w:line="580" w:lineRule="exact"/>
        <w:ind w:firstLine="645"/>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3.扩增优质教育资源。</w:t>
      </w:r>
      <w:r>
        <w:rPr>
          <w:rFonts w:hint="default" w:ascii="Nimbus Roman No9 L" w:hAnsi="Nimbus Roman No9 L" w:eastAsia="仿宋_GB2312" w:cs="Nimbus Roman No9 L"/>
          <w:sz w:val="32"/>
          <w:szCs w:val="32"/>
        </w:rPr>
        <w:t>以塘沽一中、浙江路小学以及市直属校滨海学校等优质名校为主体，组建10个左右教育集团，带动相对薄弱学校和新建学校发展。加快耀华滨海学校项目建设，推动人大附中、华东师大附中、东北师大附中等名校在新区新建分校、合作校。鼓励新建配套学校，引进名校品牌。结合新区教育发展水平和实际情况，进一步完善以优质义务教育学校为领衔校的共同体办学机制，搭建共同体资源共建共享平台，在学校管理、课程建设、教学改革、师资队伍建设、特色发展等方面开展区域间多元合作交流，实现集群优质均衡发展。做强做优南开中学滨海生态城学校等一批合作共建学校。加快与耀华中学等市教委直属学校的合作办学进程。积极吸引南开大学、天津大学、天津师范大学、天津科技大学等高校举办公办附属学校。积极引进国内具有优质学校品牌效应、先进管理理念和优秀管理团队的优质教育资源来新区合作办学，在选址用地、教师编制、服务审批、自主办学等方面提供便利条件。</w:t>
      </w:r>
    </w:p>
    <w:p>
      <w:pPr>
        <w:keepNext w:val="0"/>
        <w:keepLines w:val="0"/>
        <w:pageBreakBefore w:val="0"/>
        <w:kinsoku/>
        <w:wordWrap/>
        <w:overflowPunct/>
        <w:topLinePunct w:val="0"/>
        <w:autoSpaceDE/>
        <w:autoSpaceDN/>
        <w:bidi w:val="0"/>
        <w:adjustRightInd w:val="0"/>
        <w:snapToGrid/>
        <w:spacing w:line="580" w:lineRule="exact"/>
        <w:ind w:firstLine="645"/>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4.深化教育教学改革。</w:t>
      </w:r>
      <w:r>
        <w:rPr>
          <w:rFonts w:hint="default" w:ascii="Nimbus Roman No9 L" w:hAnsi="Nimbus Roman No9 L" w:eastAsia="仿宋_GB2312" w:cs="Nimbus Roman No9 L"/>
          <w:sz w:val="32"/>
          <w:szCs w:val="32"/>
        </w:rPr>
        <w:t>严格执行国家义务教育课程方案和各学科课程标准，开足开齐开好规定课程，严格按课程标准零起点教学。推进育人方式改革，遴选200个优秀教学案例，实施“互动式、启发式、探究式、体验式”课堂教学模式改革，引导学生主动思考、积极提问、自主探究。统筹调控不同年级、不同学科作业数量和作业时间，促进学生完成好基础性作业，强化实践性作业，探索弹性作业和跨学科作业，不断提高作业设计质量。适应疫情防控常态形势，形成线上线下相结合的教学机制。探索基于学科的课程综合化教学，开展研究型、项目化、合作式学习。坚持面向全体学生，精准分析学情，重视差异化教学和个别化指导，提高教学效益。严格执行义务教育各学科质量标准，在国家义务教育质量监测中，相关科目学生学业水平达到</w:t>
      </w:r>
      <w:r>
        <w:rPr>
          <w:rFonts w:hint="default" w:ascii="Nimbus Roman No9 L" w:hAnsi="Nimbus Roman No9 L" w:cs="Nimbus Roman No9 L"/>
          <w:sz w:val="32"/>
          <w:szCs w:val="32"/>
        </w:rPr>
        <w:t>Ⅲ</w:t>
      </w:r>
      <w:r>
        <w:rPr>
          <w:rFonts w:hint="default" w:ascii="Nimbus Roman No9 L" w:hAnsi="Nimbus Roman No9 L" w:eastAsia="仿宋_GB2312" w:cs="Nimbus Roman No9 L"/>
          <w:sz w:val="32"/>
          <w:szCs w:val="32"/>
        </w:rPr>
        <w:t>级（良好）以上，且校际差异率低于0.15。落实减负各项要求，切实减轻学生过重的课业负担。</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Nimbus Roman No9 L" w:hAnsi="Nimbus Roman No9 L" w:eastAsia="楷体_GB2312" w:cs="Nimbus Roman No9 L"/>
          <w:sz w:val="32"/>
          <w:szCs w:val="32"/>
        </w:rPr>
      </w:pPr>
      <w:bookmarkStart w:id="33" w:name="_Toc58918202"/>
      <w:bookmarkStart w:id="34" w:name="_Toc58917926"/>
      <w:bookmarkStart w:id="35" w:name="_Toc58918090"/>
      <w:r>
        <w:rPr>
          <w:rFonts w:hint="default" w:ascii="Nimbus Roman No9 L" w:hAnsi="Nimbus Roman No9 L" w:eastAsia="楷体_GB2312" w:cs="Nimbus Roman No9 L"/>
          <w:sz w:val="32"/>
          <w:szCs w:val="32"/>
        </w:rPr>
        <w:t>（四）实施优质品牌高中建设计划</w:t>
      </w:r>
      <w:bookmarkEnd w:id="33"/>
      <w:bookmarkEnd w:id="34"/>
      <w:bookmarkEnd w:id="35"/>
    </w:p>
    <w:p>
      <w:pPr>
        <w:keepNext w:val="0"/>
        <w:keepLines w:val="0"/>
        <w:pageBreakBefore w:val="0"/>
        <w:kinsoku/>
        <w:wordWrap/>
        <w:overflowPunct/>
        <w:topLinePunct w:val="0"/>
        <w:autoSpaceDE/>
        <w:autoSpaceDN/>
        <w:bidi w:val="0"/>
        <w:adjustRightInd w:val="0"/>
        <w:snapToGrid/>
        <w:spacing w:line="580" w:lineRule="exact"/>
        <w:ind w:firstLine="645"/>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加强特色高中和学科特色课程基地建设，全面实施普通高中新课程新教材，完善选课走班教学管理机制，健全学生发展指导体系，到2025年高中阶段毛入学率达到98%以上。</w:t>
      </w:r>
    </w:p>
    <w:p>
      <w:pPr>
        <w:keepNext w:val="0"/>
        <w:keepLines w:val="0"/>
        <w:pageBreakBefore w:val="0"/>
        <w:kinsoku/>
        <w:wordWrap/>
        <w:overflowPunct/>
        <w:topLinePunct w:val="0"/>
        <w:autoSpaceDE/>
        <w:autoSpaceDN/>
        <w:bidi w:val="0"/>
        <w:adjustRightInd w:val="0"/>
        <w:snapToGrid/>
        <w:spacing w:line="580" w:lineRule="exact"/>
        <w:ind w:firstLine="645"/>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1.加强品牌高中建设。</w:t>
      </w:r>
      <w:r>
        <w:rPr>
          <w:rFonts w:hint="default" w:ascii="Nimbus Roman No9 L" w:hAnsi="Nimbus Roman No9 L" w:eastAsia="仿宋_GB2312" w:cs="Nimbus Roman No9 L"/>
          <w:sz w:val="32"/>
          <w:szCs w:val="32"/>
        </w:rPr>
        <w:t>实施优质品牌高中建设工程，建立健全与市优质高中结对帮扶工作机制，在教师培训、联合教研、跟班学习、课堂教学、模拟考试、资源共享、信息互通等方面开展深入合作，到2025年，培育更多的办学质量高、社会声誉佳、发展特色突出的优质品牌高中。全面实施新课程新教材，积极创建新课程新教材实施试验区、试验校。加强学校特色课程建设，围绕学生品德、身心、学习、创新、国际、审美、信息、生活八大核心素养，推动高中特色内涵发展。巩固提高普通高中学科优势课程建设的综合发展实力，聚焦学生发展核心素养和各学科核心素养，建立健全普通高中特色学科群建设体系。完善政策制度，建立促进学校特色化发展的激励机制，推动学校多样化发展。</w:t>
      </w:r>
    </w:p>
    <w:p>
      <w:pPr>
        <w:keepNext w:val="0"/>
        <w:keepLines w:val="0"/>
        <w:pageBreakBefore w:val="0"/>
        <w:kinsoku/>
        <w:wordWrap/>
        <w:overflowPunct/>
        <w:topLinePunct w:val="0"/>
        <w:autoSpaceDE/>
        <w:autoSpaceDN/>
        <w:bidi w:val="0"/>
        <w:adjustRightInd w:val="0"/>
        <w:snapToGrid/>
        <w:spacing w:line="580" w:lineRule="exact"/>
        <w:ind w:firstLine="645"/>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2.深化课程教学改革。</w:t>
      </w:r>
      <w:r>
        <w:rPr>
          <w:rFonts w:hint="default" w:ascii="Nimbus Roman No9 L" w:hAnsi="Nimbus Roman No9 L" w:eastAsia="仿宋_GB2312" w:cs="Nimbus Roman No9 L"/>
          <w:sz w:val="32"/>
          <w:szCs w:val="32"/>
        </w:rPr>
        <w:t>落实基于学科核心素养的普通高中各学科教学指导意见，积极探索实施基于情境、问题导向、互动参与、深度思考的教学改革，着力发展学生学科核心素养。适应普通高中新课程改革和高考综合改革，创新学校教学组织管理，提高教学管理水平和资源使用效率，构建规范有序、科学高效的选课走班运行机制。完善课程内容结构，加强拓展型和研究型课程建设，实现自主选择、分层学习。积极探索基于情境、问题导向的互动式、启发式、探究式、体验式等课堂教学，注重加强课题研究、项目设计、研究性学习等跨学科综合性教学，认真开展验证性实验和探究性实验教学。探索实施个性化学程、学分制管理，以学分和学年结合计算学程，为不同潜质学生的发展创造条件。</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3.推进育人方式改革。</w:t>
      </w:r>
      <w:r>
        <w:rPr>
          <w:rFonts w:hint="default" w:ascii="Nimbus Roman No9 L" w:hAnsi="Nimbus Roman No9 L" w:eastAsia="仿宋_GB2312" w:cs="Nimbus Roman No9 L"/>
          <w:bCs/>
          <w:sz w:val="32"/>
          <w:szCs w:val="32"/>
        </w:rPr>
        <w:t>落实学生发展指导意见，明确指导机构，加强指导教师培训，建立专兼结合的指导教师队伍，通过学科教学渗透、开设指导课程、举办专题讲座、开展职业体验等，</w:t>
      </w:r>
      <w:r>
        <w:rPr>
          <w:rFonts w:hint="default" w:ascii="Nimbus Roman No9 L" w:hAnsi="Nimbus Roman No9 L" w:eastAsia="仿宋_GB2312" w:cs="Nimbus Roman No9 L"/>
          <w:sz w:val="32"/>
          <w:szCs w:val="32"/>
        </w:rPr>
        <w:t>有针对性地开展学生学涯和生涯辅导。</w:t>
      </w:r>
      <w:r>
        <w:rPr>
          <w:rFonts w:hint="default" w:ascii="Nimbus Roman No9 L" w:hAnsi="Nimbus Roman No9 L" w:eastAsia="仿宋_GB2312" w:cs="Nimbus Roman No9 L"/>
          <w:bCs/>
          <w:sz w:val="32"/>
          <w:szCs w:val="32"/>
        </w:rPr>
        <w:t>探索普通高中与创新实践基地、高等院校、科研院所、高新企业、国外优质高中、社会机构联合培养人才的有效机制，合作建立教育实验、研究性学习和社会实践等各类教育基地，加快形成基础教育拔尖创新人才发展路径与培养体系。</w:t>
      </w:r>
      <w:r>
        <w:rPr>
          <w:rFonts w:hint="default" w:ascii="Nimbus Roman No9 L" w:hAnsi="Nimbus Roman No9 L" w:eastAsia="仿宋_GB2312" w:cs="Nimbus Roman No9 L"/>
          <w:sz w:val="32"/>
          <w:szCs w:val="32"/>
        </w:rPr>
        <w:t>全面落实国家课程标准，开发多样化高中课程，探索适当增加高等教育、职业教育内容。鼓励普通高中适当增加培养学生职业意识的职业技术教育内容和实训，实现普通教育与职业教育课程互选、学分互认、资源互通。</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Nimbus Roman No9 L" w:hAnsi="Nimbus Roman No9 L" w:eastAsia="楷体_GB2312" w:cs="Nimbus Roman No9 L"/>
          <w:sz w:val="32"/>
          <w:szCs w:val="32"/>
        </w:rPr>
      </w:pPr>
      <w:bookmarkStart w:id="36" w:name="_Toc58917927"/>
      <w:bookmarkStart w:id="37" w:name="_Toc58918203"/>
      <w:bookmarkStart w:id="38" w:name="_Toc58918091"/>
      <w:r>
        <w:rPr>
          <w:rFonts w:hint="default" w:ascii="Nimbus Roman No9 L" w:hAnsi="Nimbus Roman No9 L" w:eastAsia="楷体_GB2312" w:cs="Nimbus Roman No9 L"/>
          <w:sz w:val="32"/>
          <w:szCs w:val="32"/>
        </w:rPr>
        <w:t>（五）实施特殊教育多元优质发展计划</w:t>
      </w:r>
      <w:bookmarkEnd w:id="36"/>
      <w:bookmarkEnd w:id="37"/>
      <w:bookmarkEnd w:id="38"/>
    </w:p>
    <w:p>
      <w:pPr>
        <w:keepNext w:val="0"/>
        <w:keepLines w:val="0"/>
        <w:pageBreakBefore w:val="0"/>
        <w:kinsoku/>
        <w:wordWrap/>
        <w:overflowPunct/>
        <w:topLinePunct w:val="0"/>
        <w:autoSpaceDE/>
        <w:autoSpaceDN/>
        <w:bidi w:val="0"/>
        <w:adjustRightInd w:val="0"/>
        <w:snapToGrid/>
        <w:spacing w:line="580" w:lineRule="exact"/>
        <w:ind w:firstLine="645"/>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深入实施融合教育，完善特殊教育体系，完善随班就读和送教上门服务，推进教育教学改革，提高特殊教育教师专业水平，到2025年，确保残疾儿童少年义务教育入学率达到95%以上，特殊教育办学条件和质量显著提升，融合教育水平进一步提高。</w:t>
      </w:r>
    </w:p>
    <w:p>
      <w:pPr>
        <w:keepNext w:val="0"/>
        <w:keepLines w:val="0"/>
        <w:pageBreakBefore w:val="0"/>
        <w:kinsoku/>
        <w:wordWrap/>
        <w:overflowPunct/>
        <w:topLinePunct w:val="0"/>
        <w:autoSpaceDE/>
        <w:autoSpaceDN/>
        <w:bidi w:val="0"/>
        <w:adjustRightInd w:val="0"/>
        <w:snapToGrid/>
        <w:spacing w:line="580" w:lineRule="exact"/>
        <w:ind w:firstLine="645"/>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1.完善特殊教育体系。</w:t>
      </w:r>
      <w:r>
        <w:rPr>
          <w:rFonts w:hint="default" w:ascii="Nimbus Roman No9 L" w:hAnsi="Nimbus Roman No9 L" w:eastAsia="仿宋_GB2312" w:cs="Nimbus Roman No9 L"/>
          <w:sz w:val="32"/>
          <w:szCs w:val="32"/>
        </w:rPr>
        <w:t>大力发展残障儿童学前教育，支持普通幼儿园创造条件接收残疾儿童，支持特殊教育学校和有条件的儿童福利机构增设附属幼儿园（学前教育部）。高水平普及残障儿童义务教育，加强随班就读和送教上门管理，提高义务教育阶段特殊教育办学质量。扩大特殊教育学校招生类别，延展特殊教育服务范围。鼓励特殊教育学校根据需要通过随班就读、举办残疾人高中部（特教班）等，探索适合残障学生特点的高中阶段教育。扩大中等职业学校残疾人招生规模，紧密结合经济社会发展需求和残疾人特点合理调整专业结构，支持校企合作，为残障学生提供个性化的职业体验和技能培训，提高就业创业能力。</w:t>
      </w:r>
    </w:p>
    <w:p>
      <w:pPr>
        <w:keepNext w:val="0"/>
        <w:keepLines w:val="0"/>
        <w:pageBreakBefore w:val="0"/>
        <w:kinsoku/>
        <w:wordWrap/>
        <w:overflowPunct/>
        <w:topLinePunct w:val="0"/>
        <w:autoSpaceDE/>
        <w:autoSpaceDN/>
        <w:bidi w:val="0"/>
        <w:adjustRightInd w:val="0"/>
        <w:snapToGrid/>
        <w:spacing w:line="580" w:lineRule="exact"/>
        <w:ind w:firstLine="645"/>
        <w:textAlignment w:val="auto"/>
        <w:rPr>
          <w:rFonts w:hint="default" w:ascii="Nimbus Roman No9 L" w:hAnsi="Nimbus Roman No9 L" w:eastAsia="仿宋_GB2312" w:cs="Nimbus Roman No9 L"/>
          <w:sz w:val="32"/>
          <w:szCs w:val="32"/>
          <w:u w:val="single"/>
        </w:rPr>
      </w:pPr>
      <w:r>
        <w:rPr>
          <w:rFonts w:hint="default" w:ascii="Nimbus Roman No9 L" w:hAnsi="Nimbus Roman No9 L" w:eastAsia="仿宋_GB2312" w:cs="Nimbus Roman No9 L"/>
          <w:b/>
          <w:sz w:val="32"/>
          <w:szCs w:val="32"/>
        </w:rPr>
        <w:t>2.深入推进融合教育。</w:t>
      </w:r>
      <w:r>
        <w:rPr>
          <w:rFonts w:hint="default" w:ascii="Nimbus Roman No9 L" w:hAnsi="Nimbus Roman No9 L" w:eastAsia="仿宋_GB2312" w:cs="Nimbus Roman No9 L"/>
          <w:sz w:val="32"/>
          <w:szCs w:val="32"/>
        </w:rPr>
        <w:t>建立教育、医疗、残联等多部门联动的医教结合服务机制，开展残障儿童入学评估、过程性医学鉴定及教育评估，通过医教结合，建立个人健康档案，实现发现、教育、康复、保健一体化跟踪服务。优化随班就读资源配置，加强资源教室建设，统筹特教指导中心、医疗机构及其他社会资源的综合利用，建立不同程度残障儿童个性化受教育机制。开展随班就读教育教学改革，为随班就读学生设计针对性强的个性化教育与康复课程，采取集体、小组、走班、个别辅导等多种方式，改革课程实施方法，提高随班就读教育的有效性。加强随班就读工作的管理、服务与指导，为随班就读学生、教师、家长提供技术支持。研究制定融合教育质量评估办法，加强对随班就读工作的考核与评估。</w:t>
      </w:r>
    </w:p>
    <w:p>
      <w:pPr>
        <w:keepNext w:val="0"/>
        <w:keepLines w:val="0"/>
        <w:pageBreakBefore w:val="0"/>
        <w:kinsoku/>
        <w:wordWrap/>
        <w:overflowPunct/>
        <w:topLinePunct w:val="0"/>
        <w:autoSpaceDE/>
        <w:autoSpaceDN/>
        <w:bidi w:val="0"/>
        <w:adjustRightInd w:val="0"/>
        <w:snapToGrid/>
        <w:spacing w:line="580" w:lineRule="exact"/>
        <w:ind w:firstLine="645"/>
        <w:textAlignment w:val="auto"/>
        <w:rPr>
          <w:rFonts w:hint="default" w:ascii="Nimbus Roman No9 L" w:hAnsi="Nimbus Roman No9 L" w:eastAsia="仿宋_GB2312" w:cs="Nimbus Roman No9 L"/>
          <w:color w:val="FF0000"/>
          <w:sz w:val="32"/>
          <w:szCs w:val="32"/>
        </w:rPr>
      </w:pPr>
      <w:r>
        <w:rPr>
          <w:rFonts w:hint="default" w:ascii="Nimbus Roman No9 L" w:hAnsi="Nimbus Roman No9 L" w:eastAsia="仿宋_GB2312" w:cs="Nimbus Roman No9 L"/>
          <w:b/>
          <w:sz w:val="32"/>
          <w:szCs w:val="32"/>
        </w:rPr>
        <w:t>3.推进教育教学方式改革</w:t>
      </w:r>
      <w:r>
        <w:rPr>
          <w:rFonts w:hint="default" w:ascii="Nimbus Roman No9 L" w:hAnsi="Nimbus Roman No9 L" w:eastAsia="仿宋_GB2312" w:cs="Nimbus Roman No9 L"/>
          <w:sz w:val="32"/>
          <w:szCs w:val="32"/>
        </w:rPr>
        <w:t>。尊重残疾学生的个体差异，针对不同年龄阶段、不同残疾类别、不同残疾程度学生的特点，强化个别化教育，采取医教结合方式，注重潜能开发和缺陷补偿，促进残疾学生个体全面发展。开展送教上门教育教学研究，完善送教上门课程实施方式。加强特殊教育信息化建设和应用，实现信息技术与教育教学、康复训练的深度融合。重视教具、学具和康复辅助器具的开发与应用。加强特殊教育学校图书配备，开展书香校园活动，培养残疾儿童良好阅读习惯。</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Nimbus Roman No9 L" w:hAnsi="Nimbus Roman No9 L" w:eastAsia="楷体_GB2312" w:cs="Nimbus Roman No9 L"/>
          <w:sz w:val="32"/>
          <w:szCs w:val="32"/>
        </w:rPr>
      </w:pPr>
      <w:bookmarkStart w:id="39" w:name="_Toc58918204"/>
      <w:bookmarkStart w:id="40" w:name="_Toc58917928"/>
      <w:bookmarkStart w:id="41" w:name="_Toc58918092"/>
      <w:r>
        <w:rPr>
          <w:rFonts w:hint="default" w:ascii="Nimbus Roman No9 L" w:hAnsi="Nimbus Roman No9 L" w:eastAsia="楷体_GB2312" w:cs="Nimbus Roman No9 L"/>
          <w:sz w:val="32"/>
          <w:szCs w:val="32"/>
        </w:rPr>
        <w:t>（六）实施构建终身学习体系行动计划</w:t>
      </w:r>
      <w:bookmarkEnd w:id="39"/>
      <w:bookmarkEnd w:id="40"/>
      <w:bookmarkEnd w:id="41"/>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Nimbus Roman No9 L" w:hAnsi="Nimbus Roman No9 L" w:eastAsia="仿宋_GB2312" w:cs="Nimbus Roman No9 L"/>
          <w:bCs/>
          <w:sz w:val="32"/>
          <w:szCs w:val="32"/>
        </w:rPr>
      </w:pPr>
      <w:r>
        <w:rPr>
          <w:rFonts w:hint="default" w:ascii="Nimbus Roman No9 L" w:hAnsi="Nimbus Roman No9 L" w:eastAsia="仿宋_GB2312" w:cs="Nimbus Roman No9 L"/>
          <w:bCs/>
          <w:sz w:val="32"/>
          <w:szCs w:val="32"/>
        </w:rPr>
        <w:t>搭建终身学习服务平台，丰富资源供给，健全发展机制，到2025年，基本形成开放融合、方式灵活、资源丰富、学习便捷的终身学习体系。</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bCs/>
          <w:sz w:val="32"/>
          <w:szCs w:val="32"/>
        </w:rPr>
      </w:pPr>
      <w:r>
        <w:rPr>
          <w:rFonts w:hint="default" w:ascii="Nimbus Roman No9 L" w:hAnsi="Nimbus Roman No9 L" w:eastAsia="仿宋_GB2312" w:cs="Nimbus Roman No9 L"/>
          <w:b/>
          <w:bCs/>
          <w:sz w:val="32"/>
          <w:szCs w:val="32"/>
        </w:rPr>
        <w:t>1</w:t>
      </w:r>
      <w:r>
        <w:rPr>
          <w:rFonts w:hint="default" w:ascii="Nimbus Roman No9 L" w:hAnsi="Nimbus Roman No9 L" w:eastAsia="仿宋_GB2312" w:cs="Nimbus Roman No9 L"/>
          <w:b/>
          <w:sz w:val="32"/>
          <w:szCs w:val="32"/>
        </w:rPr>
        <w:t>.</w:t>
      </w:r>
      <w:r>
        <w:rPr>
          <w:rFonts w:hint="default" w:ascii="Nimbus Roman No9 L" w:hAnsi="Nimbus Roman No9 L" w:eastAsia="仿宋_GB2312" w:cs="Nimbus Roman No9 L"/>
          <w:b/>
          <w:bCs/>
          <w:sz w:val="32"/>
          <w:szCs w:val="32"/>
        </w:rPr>
        <w:t>健全终身教育发展机制。</w:t>
      </w:r>
      <w:r>
        <w:rPr>
          <w:rFonts w:hint="default" w:ascii="Nimbus Roman No9 L" w:hAnsi="Nimbus Roman No9 L" w:eastAsia="仿宋_GB2312" w:cs="Nimbus Roman No9 L"/>
          <w:bCs/>
          <w:sz w:val="32"/>
          <w:szCs w:val="32"/>
        </w:rPr>
        <w:t>加强终身教育的统一规划和统筹协调，建立政府主导、部门协同、社会参与的终身教育发展机制。建设滨海新区学分银行，推行“市民终身学习卡”，对市民学习成果及学分进行统一认证记录。完善以社区学院（职成教中心）为龙头、社区学校（镇街成人文化技术学校）为骨干、社区学校分校（村居成人文化技术学校）为基础的社区教育三级办学体系，巩固社区教育试验区，创建社区教育示范区。完善新区职业教育集团建设机制，建设社区型职业教育集团，建立职业院校与社区联动机制。加强社区家长学校、家庭教育指导服务站点建设，组织开展形式多样的家庭教育指导服务和实践活动。</w:t>
      </w:r>
    </w:p>
    <w:p>
      <w:pPr>
        <w:keepNext w:val="0"/>
        <w:keepLines w:val="0"/>
        <w:pageBreakBefore w:val="0"/>
        <w:widowControl/>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bCs/>
          <w:sz w:val="32"/>
          <w:szCs w:val="32"/>
        </w:rPr>
      </w:pPr>
      <w:r>
        <w:rPr>
          <w:rFonts w:hint="default" w:ascii="Nimbus Roman No9 L" w:hAnsi="Nimbus Roman No9 L" w:eastAsia="仿宋_GB2312" w:cs="Nimbus Roman No9 L"/>
          <w:b/>
          <w:bCs/>
          <w:sz w:val="32"/>
          <w:szCs w:val="32"/>
        </w:rPr>
        <w:t>2</w:t>
      </w:r>
      <w:r>
        <w:rPr>
          <w:rFonts w:hint="default" w:ascii="Nimbus Roman No9 L" w:hAnsi="Nimbus Roman No9 L" w:eastAsia="仿宋_GB2312" w:cs="Nimbus Roman No9 L"/>
          <w:b/>
          <w:sz w:val="32"/>
          <w:szCs w:val="32"/>
        </w:rPr>
        <w:t>.</w:t>
      </w:r>
      <w:r>
        <w:rPr>
          <w:rFonts w:hint="default" w:ascii="Nimbus Roman No9 L" w:hAnsi="Nimbus Roman No9 L" w:eastAsia="仿宋_GB2312" w:cs="Nimbus Roman No9 L"/>
          <w:b/>
          <w:bCs/>
          <w:sz w:val="32"/>
          <w:szCs w:val="32"/>
        </w:rPr>
        <w:t>扩大终身学习资源供给。</w:t>
      </w:r>
      <w:r>
        <w:rPr>
          <w:rFonts w:hint="default" w:ascii="Nimbus Roman No9 L" w:hAnsi="Nimbus Roman No9 L" w:eastAsia="仿宋_GB2312" w:cs="Nimbus Roman No9 L"/>
          <w:bCs/>
          <w:sz w:val="32"/>
          <w:szCs w:val="32"/>
        </w:rPr>
        <w:t>用好全市终身学习网，发挥在线教育优势，汇集区内外各类学习资源，实施终身学习资源配送工程，为市民提供全方位、个性化的在线学习服务。利用现有资源，加强滨海新区终身教育平台建设，健全遍布城乡的终身教育网络，提供优质终身教育资源。引导高等学校、职业院校和社会力量参与社区教育，为社区居民提供多样化教育服务。强化高等学校和职业院校的终身教育与社会培训功能，面向行业企业开展多类型、多形式的职工继续教育，建设高质量职工继续教育基地，为退役军人和武警官兵、企业在岗转岗人员、新生劳动力、城乡待业人员、进城务工人员、农村实用人才、新型职业农民等提供多样化教育培训。加快推动应用学习型城市建设监测指导性指标体系，开展学习社区建设监测。开展学习型城区、学习型社区和学习型家庭创建活动，打造终身学习活动品牌。</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Nimbus Roman No9 L" w:hAnsi="Nimbus Roman No9 L" w:eastAsia="楷体_GB2312" w:cs="Nimbus Roman No9 L"/>
          <w:sz w:val="32"/>
          <w:szCs w:val="32"/>
        </w:rPr>
      </w:pPr>
      <w:bookmarkStart w:id="42" w:name="_Toc58917929"/>
      <w:bookmarkStart w:id="43" w:name="_Toc58918205"/>
      <w:bookmarkStart w:id="44" w:name="_Toc58918093"/>
      <w:r>
        <w:rPr>
          <w:rFonts w:hint="default" w:ascii="Nimbus Roman No9 L" w:hAnsi="Nimbus Roman No9 L" w:eastAsia="楷体_GB2312" w:cs="Nimbus Roman No9 L"/>
          <w:sz w:val="32"/>
          <w:szCs w:val="32"/>
        </w:rPr>
        <w:t>（七）实施职业教育产教融合发展工程</w:t>
      </w:r>
      <w:bookmarkEnd w:id="42"/>
      <w:bookmarkEnd w:id="43"/>
      <w:bookmarkEnd w:id="44"/>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发挥行业办学、校企合作优势，促进产教城深度融合，增强职业技术教育适应性，到2025年，职业教育办学水平、人才培养质量、服务支撑能力、国际影响力显著提升。</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sz w:val="32"/>
          <w:szCs w:val="32"/>
        </w:rPr>
      </w:pPr>
      <w:bookmarkStart w:id="45" w:name="_Toc469318941"/>
      <w:bookmarkStart w:id="46" w:name="_Toc471934690"/>
      <w:bookmarkStart w:id="47" w:name="_Toc482118220"/>
      <w:r>
        <w:rPr>
          <w:rFonts w:hint="default" w:ascii="Nimbus Roman No9 L" w:hAnsi="Nimbus Roman No9 L" w:eastAsia="仿宋_GB2312" w:cs="Nimbus Roman No9 L"/>
          <w:b/>
          <w:sz w:val="32"/>
          <w:szCs w:val="32"/>
        </w:rPr>
        <w:t>1.打造新区职业教育高地。</w:t>
      </w:r>
      <w:r>
        <w:rPr>
          <w:rFonts w:hint="default" w:ascii="Nimbus Roman No9 L" w:hAnsi="Nimbus Roman No9 L" w:eastAsia="仿宋_GB2312" w:cs="Nimbus Roman No9 L"/>
          <w:sz w:val="32"/>
          <w:szCs w:val="32"/>
        </w:rPr>
        <w:t>围绕“1+3+4”产业发展需要，积极引进国内相关领域高水平职业院校到新区办学，推进滨海职业教育园区选址、研究、规划与建设工作，打造产教融合、产城一体的现代化职业教育示范基地。按照“政府搭台、院校主导、社会参与”的工作思路，先期规划装备制造产业、智能制造技术、软件互联网、人工智能行业的高职院校入园，围绕“建设国家一流职业教育示范产业园”的目标，大力推进专业集群、共享平台、产教融合“三大工程”建设，实现资源整合和学校学科优势互补，实现教学、服务、设施资源开放共享，将职业院校建在园区、专业建在产业链上。整合天津市和滨海新区职业教育资源，推进滨海职业学院新校区建设，做大做强做优滨海职业学院，在教师队伍建设、专业群建设、实训基地建设、人才培养质量、全民终身学习公共培训中心建设等方面获得快速提升和高质量发展。支持滨海职业学院与国内外应用技术大学等院校开展合作办学，提升新区职业教育国际化水平。</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2.创新职业教育办学体制机制。</w:t>
      </w:r>
      <w:r>
        <w:rPr>
          <w:rFonts w:hint="default" w:ascii="Nimbus Roman No9 L" w:hAnsi="Nimbus Roman No9 L" w:eastAsia="仿宋_GB2312" w:cs="Nimbus Roman No9 L"/>
          <w:sz w:val="32"/>
          <w:szCs w:val="32"/>
        </w:rPr>
        <w:t>大力开展职业教育“双元”育人机制创新，推动企业、学校、科研院所围绕产业关键技术、核心工艺和共性问题开展协同创新，推进合作育人、协同创新和成果转化。构建多元投入的投融资体制，吸引社会资本参与职业教育，充分激发社会投资活力。大力推广校企联合招生、联合培养、一体化育人的现代学徒制和企业新型学徒制。推进实行“1+X”证书制度试点。深化工学结合人才培养模式改革，健全德技并修育人机制，培养大批具有工匠精神的高素质劳动者和高水平技术技能人才。针对新区企业不同需求，大力开展订单式培养培训。</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3.强力推进产教深度融合。</w:t>
      </w:r>
      <w:bookmarkEnd w:id="45"/>
      <w:bookmarkEnd w:id="46"/>
      <w:bookmarkEnd w:id="47"/>
      <w:r>
        <w:rPr>
          <w:rFonts w:hint="default" w:ascii="Nimbus Roman No9 L" w:hAnsi="Nimbus Roman No9 L" w:eastAsia="仿宋_GB2312" w:cs="Nimbus Roman No9 L"/>
          <w:color w:val="000000"/>
          <w:sz w:val="32"/>
          <w:szCs w:val="32"/>
        </w:rPr>
        <w:t>对接新区重点产业，校企合作共建一批应用技术研发团队、工艺与产品开发中心和高水平实训基地。推动职业教育集团实体化运作，共同组建覆盖全产业链的职业教育集团。到2025年，建成2-3个区域特色鲜明的高水平产业职业教育集团。</w:t>
      </w:r>
      <w:r>
        <w:rPr>
          <w:rFonts w:hint="default" w:ascii="Nimbus Roman No9 L" w:hAnsi="Nimbus Roman No9 L" w:eastAsia="仿宋_GB2312" w:cs="Nimbus Roman No9 L"/>
          <w:sz w:val="32"/>
          <w:szCs w:val="32"/>
        </w:rPr>
        <w:t>依托行业龙头企业、职业院校、知名培训机构建立一批面向</w:t>
      </w:r>
      <w:r>
        <w:rPr>
          <w:rFonts w:hint="default" w:ascii="Nimbus Roman No9 L" w:hAnsi="Nimbus Roman No9 L" w:eastAsia="仿宋_GB2312" w:cs="Nimbus Roman No9 L"/>
          <w:bCs/>
          <w:sz w:val="32"/>
          <w:szCs w:val="32"/>
        </w:rPr>
        <w:t>大中小学生的</w:t>
      </w:r>
      <w:r>
        <w:rPr>
          <w:rFonts w:hint="default" w:ascii="Nimbus Roman No9 L" w:hAnsi="Nimbus Roman No9 L" w:eastAsia="仿宋_GB2312" w:cs="Nimbus Roman No9 L"/>
          <w:sz w:val="32"/>
          <w:szCs w:val="32"/>
        </w:rPr>
        <w:t>职业体验中心，培养学生职业意识，提升学生生活技能和专业认知。</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4.优化职业教育资源配置。</w:t>
      </w:r>
      <w:r>
        <w:rPr>
          <w:rFonts w:hint="default" w:ascii="Nimbus Roman No9 L" w:hAnsi="Nimbus Roman No9 L" w:eastAsia="仿宋_GB2312" w:cs="Nimbus Roman No9 L"/>
          <w:sz w:val="32"/>
          <w:szCs w:val="32"/>
        </w:rPr>
        <w:t>加快建设与海洋产业、高端制造业、高端服务业和战略性新兴产业相关的专业群，到2025年，力争把新区中、高职院校10%的专业培育为国际、国内或我市领先的标志性专业。落实职业教育提质培优行动计划，支持新区职业院校在项目申报、专业建设、师资培训等方面与海河教育园区紧密合作，搭建互利互赢平台。</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Nimbus Roman No9 L" w:hAnsi="Nimbus Roman No9 L" w:eastAsia="楷体_GB2312" w:cs="Nimbus Roman No9 L"/>
          <w:sz w:val="32"/>
          <w:szCs w:val="32"/>
        </w:rPr>
      </w:pPr>
      <w:bookmarkStart w:id="48" w:name="_Toc58918094"/>
      <w:bookmarkStart w:id="49" w:name="_Toc58918206"/>
      <w:bookmarkStart w:id="50" w:name="_Toc58917930"/>
      <w:r>
        <w:rPr>
          <w:rFonts w:hint="default" w:ascii="Nimbus Roman No9 L" w:hAnsi="Nimbus Roman No9 L" w:eastAsia="楷体_GB2312" w:cs="Nimbus Roman No9 L"/>
          <w:sz w:val="32"/>
          <w:szCs w:val="32"/>
        </w:rPr>
        <w:t>（八）实施高等教育聚力发展工程</w:t>
      </w:r>
      <w:bookmarkEnd w:id="48"/>
      <w:bookmarkEnd w:id="49"/>
      <w:bookmarkEnd w:id="50"/>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积极推动高等教育高质量内涵发展，以引进优质高等教育资源为重点，大力扶持新区高等教育跨越式发展，到2025年，力争在</w:t>
      </w:r>
      <w:r>
        <w:rPr>
          <w:rFonts w:hint="default" w:ascii="Nimbus Roman No9 L" w:hAnsi="Nimbus Roman No9 L" w:eastAsia="仿宋_GB2312" w:cs="Nimbus Roman No9 L"/>
          <w:color w:val="000000"/>
          <w:sz w:val="32"/>
          <w:szCs w:val="32"/>
        </w:rPr>
        <w:t>滨</w:t>
      </w:r>
      <w:r>
        <w:rPr>
          <w:rFonts w:hint="default" w:ascii="Nimbus Roman No9 L" w:hAnsi="Nimbus Roman No9 L" w:eastAsia="仿宋_GB2312" w:cs="Nimbus Roman No9 L"/>
          <w:sz w:val="32"/>
          <w:szCs w:val="32"/>
        </w:rPr>
        <w:t>高校（含校区）的人才培养质量和服务水平进一步提升。</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color w:val="FF0000"/>
          <w:sz w:val="32"/>
          <w:szCs w:val="32"/>
        </w:rPr>
      </w:pPr>
      <w:r>
        <w:rPr>
          <w:rFonts w:hint="default" w:ascii="Nimbus Roman No9 L" w:hAnsi="Nimbus Roman No9 L" w:eastAsia="仿宋_GB2312" w:cs="Nimbus Roman No9 L"/>
          <w:b/>
          <w:sz w:val="32"/>
          <w:szCs w:val="32"/>
        </w:rPr>
        <w:t>1.引进发展优质高等教育资源。</w:t>
      </w:r>
      <w:r>
        <w:rPr>
          <w:rFonts w:hint="default" w:ascii="Nimbus Roman No9 L" w:hAnsi="Nimbus Roman No9 L" w:eastAsia="仿宋_GB2312" w:cs="Nimbus Roman No9 L"/>
          <w:sz w:val="32"/>
          <w:szCs w:val="32"/>
        </w:rPr>
        <w:t>落实资金、人才等方面优惠政策，支持引进世界知名大学和国内“双一流”高校落户新区，在滨独立办学或合作办学。加快生态城、海洋高新区、临港工业区、大港新城等高校集聚区规划建设，扩大土地供给，预留新增大学（或校区）发展空间，优化高等教育办学布局，统筹调配优质资源，做好基础配套服务工作。全力支持南开大学滨海校区、天津大学国际医学院建设。支持辽宁石油化工大学、渤海大学来新区办学。支持天津音乐学院、天津美术学院等优质特色市属高校在新区发展。支持天津科技大学高水平发展，加强应用型人才培养。大力支持加快核工业研究院建设。</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2.增强高校科技创新能力。</w:t>
      </w:r>
      <w:r>
        <w:rPr>
          <w:rFonts w:hint="default" w:ascii="Nimbus Roman No9 L" w:hAnsi="Nimbus Roman No9 L" w:eastAsia="仿宋_GB2312" w:cs="Nimbus Roman No9 L"/>
          <w:sz w:val="32"/>
          <w:szCs w:val="32"/>
        </w:rPr>
        <w:t>鼓励各类高校特别是京津优质高校与新区各开发区、产业园区、大型企业共建研究生院、现代产业学院、产业（技术）研究院、人工智能学院、软件学院等，力争到2025年，共建5-10家与产业对接紧密的产业（技术）研究院，打造形成多个高等教育产学研一体化高科技园区。创新园区发展模式，构建人才培养、创新创业、成果转化、产业升级等功能完善的创新生态系统。加强人才、科研成果推广，完善成果转化对接机制，与中国科学院、清华大学、北京大学等高校和科研院所共建科技成果转化联盟，加大技术研发、成果转化、科技服务、人才培养等多方面支持力度，打造科技成果转化高地。</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Nimbus Roman No9 L" w:hAnsi="Nimbus Roman No9 L" w:eastAsia="楷体_GB2312" w:cs="Nimbus Roman No9 L"/>
          <w:sz w:val="32"/>
          <w:szCs w:val="32"/>
        </w:rPr>
      </w:pPr>
      <w:bookmarkStart w:id="51" w:name="_Toc58917931"/>
      <w:bookmarkStart w:id="52" w:name="_Toc58918095"/>
      <w:bookmarkStart w:id="53" w:name="_Toc58918207"/>
      <w:r>
        <w:rPr>
          <w:rFonts w:hint="default" w:ascii="Nimbus Roman No9 L" w:hAnsi="Nimbus Roman No9 L" w:eastAsia="楷体_GB2312" w:cs="Nimbus Roman No9 L"/>
          <w:sz w:val="32"/>
          <w:szCs w:val="32"/>
        </w:rPr>
        <w:t>（九）实施高水平教师队伍建设工程</w:t>
      </w:r>
      <w:bookmarkEnd w:id="51"/>
      <w:bookmarkEnd w:id="52"/>
      <w:bookmarkEnd w:id="53"/>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加强师德师风建设，完善教师管理机制，提高教师专业化水平，到2025年，基本建成一支政治素质过硬、业务能力精湛、育人水平高超的高素质专业化创新型教师队伍。</w:t>
      </w:r>
    </w:p>
    <w:p>
      <w:pPr>
        <w:keepNext w:val="0"/>
        <w:keepLines w:val="0"/>
        <w:pageBreakBefore w:val="0"/>
        <w:kinsoku/>
        <w:wordWrap/>
        <w:overflowPunct/>
        <w:topLinePunct w:val="0"/>
        <w:autoSpaceDE/>
        <w:autoSpaceDN/>
        <w:bidi w:val="0"/>
        <w:adjustRightInd w:val="0"/>
        <w:snapToGrid/>
        <w:spacing w:line="580" w:lineRule="exact"/>
        <w:ind w:firstLine="645"/>
        <w:textAlignment w:val="auto"/>
        <w:rPr>
          <w:rFonts w:hint="default" w:ascii="Nimbus Roman No9 L" w:hAnsi="Nimbus Roman No9 L" w:eastAsia="仿宋_GB2312" w:cs="Nimbus Roman No9 L"/>
          <w:sz w:val="32"/>
          <w:szCs w:val="32"/>
          <w:u w:val="single"/>
        </w:rPr>
      </w:pPr>
      <w:r>
        <w:rPr>
          <w:rFonts w:hint="default" w:ascii="Nimbus Roman No9 L" w:hAnsi="Nimbus Roman No9 L" w:eastAsia="仿宋_GB2312" w:cs="Nimbus Roman No9 L"/>
          <w:b/>
          <w:sz w:val="32"/>
          <w:szCs w:val="32"/>
        </w:rPr>
        <w:t>1.加强师德师风建设。</w:t>
      </w:r>
      <w:r>
        <w:rPr>
          <w:rFonts w:hint="default" w:ascii="Nimbus Roman No9 L" w:hAnsi="Nimbus Roman No9 L" w:eastAsia="仿宋_GB2312" w:cs="Nimbus Roman No9 L"/>
          <w:sz w:val="32"/>
          <w:szCs w:val="32"/>
        </w:rPr>
        <w:t>加强教师思想政治教育，增强对中国特色社会主义的思想认同、理论认同和情感认同，把党的教育方针贯彻到教育教学全过程。严格执行新时代教师职业行为十项准则，坚决打击中小学教师师德失范行为。建立教师个人信用记录，完善诚信承诺和失信惩戒机制。落实师德建设长效机制，将师德教育融入职业准入、职前培训、职后管理全过程，在教师资格定期注册、业绩考核、职称评审、岗位聘用、评优奖励等工作中，实行师德“一票否决制”。建立教师心理健康监测工作机制，定期开展心理问题筛查和心理干预。加大教师表彰力度。健全教师荣誉制度，完善师德标兵奖励机制和评选体系，发挥典型示范引领作用。</w:t>
      </w:r>
    </w:p>
    <w:p>
      <w:pPr>
        <w:keepNext w:val="0"/>
        <w:keepLines w:val="0"/>
        <w:pageBreakBefore w:val="0"/>
        <w:kinsoku/>
        <w:wordWrap/>
        <w:overflowPunct/>
        <w:topLinePunct w:val="0"/>
        <w:autoSpaceDE/>
        <w:autoSpaceDN/>
        <w:bidi w:val="0"/>
        <w:adjustRightInd w:val="0"/>
        <w:snapToGrid/>
        <w:spacing w:line="580" w:lineRule="exact"/>
        <w:ind w:firstLine="629" w:firstLineChars="196"/>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2.提高教师专业化水平。</w:t>
      </w:r>
      <w:r>
        <w:rPr>
          <w:rFonts w:hint="default" w:ascii="Nimbus Roman No9 L" w:hAnsi="Nimbus Roman No9 L" w:eastAsia="仿宋_GB2312" w:cs="Nimbus Roman No9 L"/>
          <w:sz w:val="32"/>
          <w:szCs w:val="32"/>
        </w:rPr>
        <w:t>制定实施滨海新区教育系统高层次人才引育工作实施方案，设立教育人才引育基金，建立健全人才考评激励机制，着力培养引育一批名教师、名校长、名班主任。深入实施未来教育家奠基工程、学科领航教师培养工程等培训项目，吸引一批名师名校长到新区设立名师名校长工作室，充分发挥名师名校长的示范辐射作用，加强骨干教师队伍和后备干部建设，保证新区中小学每百名学生至少拥有1名区级以上骨干教师。实施“追求卓越”幼儿师资培训项目、乡村幼儿师资培训项目，培养一批学前教育领域领军人才。实施优秀青年校长助推计划，遴选优秀青年校长进行深度培养。做好五年一周期的中小学教师全员继续教育培训。建立中小学教师培训信息化综合服务平台。推进区级教师发展机构建设与改革。</w:t>
      </w:r>
    </w:p>
    <w:p>
      <w:pPr>
        <w:keepNext w:val="0"/>
        <w:keepLines w:val="0"/>
        <w:pageBreakBefore w:val="0"/>
        <w:kinsoku/>
        <w:wordWrap/>
        <w:overflowPunct/>
        <w:topLinePunct w:val="0"/>
        <w:autoSpaceDE/>
        <w:autoSpaceDN/>
        <w:bidi w:val="0"/>
        <w:adjustRightInd w:val="0"/>
        <w:snapToGrid/>
        <w:spacing w:line="580" w:lineRule="exact"/>
        <w:ind w:firstLine="629" w:firstLineChars="196"/>
        <w:textAlignment w:val="auto"/>
        <w:rPr>
          <w:rFonts w:hint="default" w:ascii="Nimbus Roman No9 L" w:hAnsi="Nimbus Roman No9 L" w:eastAsia="仿宋_GB2312" w:cs="Nimbus Roman No9 L"/>
          <w:color w:val="FF0000"/>
          <w:sz w:val="32"/>
          <w:szCs w:val="32"/>
        </w:rPr>
      </w:pPr>
      <w:r>
        <w:rPr>
          <w:rFonts w:hint="default" w:ascii="Nimbus Roman No9 L" w:hAnsi="Nimbus Roman No9 L" w:eastAsia="仿宋_GB2312" w:cs="Nimbus Roman No9 L"/>
          <w:b/>
          <w:sz w:val="32"/>
          <w:szCs w:val="32"/>
        </w:rPr>
        <w:t>3.加大教师补充力度。</w:t>
      </w:r>
      <w:r>
        <w:rPr>
          <w:rFonts w:hint="default" w:ascii="Nimbus Roman No9 L" w:hAnsi="Nimbus Roman No9 L" w:eastAsia="仿宋_GB2312" w:cs="Nimbus Roman No9 L"/>
          <w:sz w:val="32"/>
          <w:szCs w:val="32"/>
        </w:rPr>
        <w:t>适应新高考和新课程改革等发展需要，科学核定教师编制，创新和规范中小学教师编制配备，建立“编制蓄水池”、预留“机动编制”，实施公办中小学幼儿园教师编制全区统一调配。科学制定教师补充计划，逐步为学校配齐相应的心理教师与校医。落实公办幼儿园机构编制标准，通过政府购买服务等方式统一招聘派遣制保育员，提高保教人员素质水平。落实职业院校教师编制标准。</w:t>
      </w:r>
    </w:p>
    <w:p>
      <w:pPr>
        <w:keepNext w:val="0"/>
        <w:keepLines w:val="0"/>
        <w:pageBreakBefore w:val="0"/>
        <w:kinsoku/>
        <w:wordWrap/>
        <w:overflowPunct/>
        <w:topLinePunct w:val="0"/>
        <w:autoSpaceDE/>
        <w:autoSpaceDN/>
        <w:bidi w:val="0"/>
        <w:adjustRightInd w:val="0"/>
        <w:snapToGrid/>
        <w:spacing w:line="580" w:lineRule="exact"/>
        <w:ind w:firstLine="629" w:firstLineChars="196"/>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4.创新教师管理方式。</w:t>
      </w:r>
      <w:r>
        <w:rPr>
          <w:rFonts w:hint="default" w:ascii="Nimbus Roman No9 L" w:hAnsi="Nimbus Roman No9 L" w:eastAsia="仿宋_GB2312" w:cs="Nimbus Roman No9 L"/>
          <w:sz w:val="32"/>
          <w:szCs w:val="32"/>
        </w:rPr>
        <w:t>实施义务教育教师“区管校聘”改革，在核定的岗位总量内，将岗位具体分配到各学校，结合教师校长交流轮岗情况及时动态调整。积极探索中小学思政课教师配置的有效途径，加强中小学思政课教师遴选、培养、认定、考核、奖励、退出等制度机制建设。探索中小学校长职级制改革，落实和扩大学校办学自主权，改革校长、园长绩效考核方式，激发校长队伍活力和创造力，培育一批“教育家型”名校长。完善区域内义务教育教师、校长交流轮岗机制。实行教师定期注册制度，探索建立教师退出现岗和待岗培训再上岗机制，提升教师队伍整体活力。</w:t>
      </w:r>
    </w:p>
    <w:p>
      <w:pPr>
        <w:keepNext w:val="0"/>
        <w:keepLines w:val="0"/>
        <w:pageBreakBefore w:val="0"/>
        <w:kinsoku/>
        <w:wordWrap/>
        <w:overflowPunct/>
        <w:topLinePunct w:val="0"/>
        <w:autoSpaceDE/>
        <w:autoSpaceDN/>
        <w:bidi w:val="0"/>
        <w:adjustRightInd w:val="0"/>
        <w:snapToGrid/>
        <w:spacing w:line="580" w:lineRule="exact"/>
        <w:ind w:firstLine="645"/>
        <w:textAlignment w:val="auto"/>
        <w:rPr>
          <w:rFonts w:hint="default" w:ascii="Nimbus Roman No9 L" w:hAnsi="Nimbus Roman No9 L" w:eastAsia="仿宋_GB2312" w:cs="Nimbus Roman No9 L"/>
          <w:strike/>
          <w:color w:val="FF0000"/>
          <w:sz w:val="32"/>
          <w:szCs w:val="32"/>
          <w:u w:val="single"/>
        </w:rPr>
      </w:pPr>
      <w:r>
        <w:rPr>
          <w:rFonts w:hint="default" w:ascii="Nimbus Roman No9 L" w:hAnsi="Nimbus Roman No9 L" w:eastAsia="仿宋_GB2312" w:cs="Nimbus Roman No9 L"/>
          <w:b/>
          <w:sz w:val="32"/>
          <w:szCs w:val="32"/>
        </w:rPr>
        <w:t>5.提高教师待遇水平。</w:t>
      </w:r>
      <w:r>
        <w:rPr>
          <w:rFonts w:hint="default" w:ascii="Nimbus Roman No9 L" w:hAnsi="Nimbus Roman No9 L" w:eastAsia="仿宋_GB2312" w:cs="Nimbus Roman No9 L"/>
          <w:sz w:val="32"/>
          <w:szCs w:val="32"/>
        </w:rPr>
        <w:t>支持学校激活绩效工资“二次分配”，加大对工作量、实际贡献和工作绩效的考核，绩效工资分配向班主任、一线教师、乡村教师倾斜。加强和改进乡村教师培训，提高乡村教师发展能力。完善教师职称评价标准，健全符合中小学岗位特点的考核评价指标体系。依法依规保障落实教师教育惩戒权，为教师履职尽责撑腰、鼓劲。</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Nimbus Roman No9 L" w:hAnsi="Nimbus Roman No9 L" w:eastAsia="楷体_GB2312" w:cs="Nimbus Roman No9 L"/>
          <w:sz w:val="32"/>
          <w:szCs w:val="32"/>
        </w:rPr>
      </w:pPr>
      <w:bookmarkStart w:id="54" w:name="_Toc58918208"/>
      <w:bookmarkStart w:id="55" w:name="_Toc58917932"/>
      <w:bookmarkStart w:id="56" w:name="_Toc58918096"/>
      <w:r>
        <w:rPr>
          <w:rFonts w:hint="default" w:ascii="Nimbus Roman No9 L" w:hAnsi="Nimbus Roman No9 L" w:eastAsia="楷体_GB2312" w:cs="Nimbus Roman No9 L"/>
          <w:sz w:val="32"/>
          <w:szCs w:val="32"/>
        </w:rPr>
        <w:t>（十）实施人工智能与教育信息化提升工程</w:t>
      </w:r>
      <w:bookmarkEnd w:id="54"/>
      <w:bookmarkEnd w:id="55"/>
      <w:bookmarkEnd w:id="56"/>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以教育信息化带动教育现代化，探索基于5G、人工智能、大数据、物联网、区块链等新技术的教育教学新模式，到2025年，力争新区智慧教育成为智慧滨海建设的亮点，让广大学生享受到优质丰富多样的互联网教育。</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1.打造教育信息化升级版。</w:t>
      </w:r>
      <w:r>
        <w:rPr>
          <w:rFonts w:hint="default" w:ascii="Nimbus Roman No9 L" w:hAnsi="Nimbus Roman No9 L" w:eastAsia="仿宋_GB2312" w:cs="Nimbus Roman No9 L"/>
          <w:sz w:val="32"/>
          <w:szCs w:val="32"/>
        </w:rPr>
        <w:t>实施中小学现代化设备设施提升项目，加强人工智能与教育信息化应用环境建设。推进智慧校园体系建设，打造10所基于物联网、大数据一体化、网络化、智能化的“未来学校”示范校。推进优质数字化教育资源共建共享和均衡配置，建设覆盖各学段、各类教育的优质数字教育资源库，探索建立跨校课程共享与学分认定制度。完善准入机制，吸纳社会力量参与大型开放式网络课程建设，支撑全民学习、终身教育。创建国家级智慧教育示范区，建设一批智慧教育示范校。</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2.推进信息技术与教育教学深度融合。</w:t>
      </w:r>
      <w:r>
        <w:rPr>
          <w:rFonts w:hint="default" w:ascii="Nimbus Roman No9 L" w:hAnsi="Nimbus Roman No9 L" w:eastAsia="仿宋_GB2312" w:cs="Nimbus Roman No9 L"/>
          <w:sz w:val="32"/>
          <w:szCs w:val="32"/>
        </w:rPr>
        <w:t>推进“互联网+”教育模式改革，加强“未来智慧课堂”建设。充分应用互联网资源，以MOOC、微课、翻转课堂、SPOC等新型教学方式，开展线上线下混合式教学，引导学生自主获取多学科知识，培养学生的自主学习、网络应用、实践操作、创新创造、审美能力、坚强意志、社会责任。探索建立网上创客教室和“STEM创新学习实验室”，通过网络和实训让学生开展创客式学习，培育滨海新区校园创客文化。实施教师信息化能力提升培训计划，开展教育设计、教育创意，举办教案大赛，提升教师在备课、教学、学生个性化辅导等方面的信息化素养。鼓励学校围绕国家课程和校本课程，研制开发符合学生素质发展的电子互动教学材料和辅助教学资源，实现常规课例视频和微课视频对教材知识点的全覆盖。</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3.提升教育信息化治理能力。</w:t>
      </w:r>
      <w:r>
        <w:rPr>
          <w:rFonts w:hint="default" w:ascii="Nimbus Roman No9 L" w:hAnsi="Nimbus Roman No9 L" w:eastAsia="仿宋_GB2312" w:cs="Nimbus Roman No9 L"/>
          <w:sz w:val="32"/>
          <w:szCs w:val="32"/>
        </w:rPr>
        <w:t>加强教育管理和决策信息化支持平台建设，构建以大数据为基础的教育决策支持及信息服务体系，为科学决策提供依据。建设滨海新区智慧教育中心管理平台和教育公共服务平台，开展业务管理、决策支持、监测监管、评估评价、公共服务、安全风险防控等应用。完善教育机构信息库、学生信息库、教职员工信息库，为教育服务提供便利。</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Nimbus Roman No9 L" w:hAnsi="Nimbus Roman No9 L" w:eastAsia="楷体_GB2312" w:cs="Nimbus Roman No9 L"/>
          <w:sz w:val="32"/>
          <w:szCs w:val="32"/>
        </w:rPr>
      </w:pPr>
      <w:bookmarkStart w:id="57" w:name="_Toc58918209"/>
      <w:bookmarkStart w:id="58" w:name="_Toc58917933"/>
      <w:bookmarkStart w:id="59" w:name="_Toc58918097"/>
      <w:r>
        <w:rPr>
          <w:rFonts w:hint="default" w:ascii="Nimbus Roman No9 L" w:hAnsi="Nimbus Roman No9 L" w:eastAsia="楷体_GB2312" w:cs="Nimbus Roman No9 L"/>
          <w:sz w:val="32"/>
          <w:szCs w:val="32"/>
        </w:rPr>
        <w:t>（十一）实施教育对外开放提升工程</w:t>
      </w:r>
      <w:bookmarkEnd w:id="57"/>
      <w:bookmarkEnd w:id="58"/>
      <w:bookmarkEnd w:id="59"/>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推进京津冀教育协同深入发展，加快“一带一路”教育共建，积极引进境内外优质教育资源，到2025年，新区教育国际竞争力和影响力进一步增强。</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b/>
          <w:sz w:val="32"/>
          <w:szCs w:val="32"/>
        </w:rPr>
        <w:t>1.推进京津冀教育协同发展。</w:t>
      </w:r>
      <w:r>
        <w:rPr>
          <w:rFonts w:hint="default" w:ascii="Nimbus Roman No9 L" w:hAnsi="Nimbus Roman No9 L" w:eastAsia="仿宋_GB2312" w:cs="Nimbus Roman No9 L"/>
          <w:sz w:val="32"/>
          <w:szCs w:val="32"/>
        </w:rPr>
        <w:t>深化京津冀教育合作共建，承接非首都功能疏解任务，推进与北京高校合作，推动与北京的合作办学项目。</w:t>
      </w:r>
      <w:r>
        <w:rPr>
          <w:rFonts w:hint="default" w:ascii="Nimbus Roman No9 L" w:hAnsi="Nimbus Roman No9 L" w:eastAsia="仿宋_GB2312" w:cs="Nimbus Roman No9 L"/>
          <w:color w:val="000000"/>
          <w:sz w:val="32"/>
          <w:szCs w:val="32"/>
        </w:rPr>
        <w:t>做好滨海中关村科技园等承接首都转移项目</w:t>
      </w:r>
      <w:r>
        <w:rPr>
          <w:rFonts w:hint="default" w:ascii="Nimbus Roman No9 L" w:hAnsi="Nimbus Roman No9 L" w:eastAsia="仿宋_GB2312" w:cs="Nimbus Roman No9 L"/>
          <w:sz w:val="32"/>
          <w:szCs w:val="32"/>
        </w:rPr>
        <w:t>在职</w:t>
      </w:r>
      <w:r>
        <w:rPr>
          <w:rFonts w:hint="default" w:ascii="Nimbus Roman No9 L" w:hAnsi="Nimbus Roman No9 L" w:eastAsia="仿宋_GB2312" w:cs="Nimbus Roman No9 L"/>
          <w:color w:val="000000"/>
          <w:sz w:val="32"/>
          <w:szCs w:val="32"/>
        </w:rPr>
        <w:t>职工随迁京籍子女在新区接受学前教育、义务教育工作，简化入学手续。</w:t>
      </w:r>
      <w:r>
        <w:rPr>
          <w:rFonts w:hint="default" w:ascii="Nimbus Roman No9 L" w:hAnsi="Nimbus Roman No9 L" w:eastAsia="仿宋_GB2312" w:cs="Nimbus Roman No9 L"/>
          <w:sz w:val="32"/>
          <w:szCs w:val="32"/>
        </w:rPr>
        <w:t>落实京籍中小学生随迁在新区就读有关政策，为在新区就读的京籍随迁子女在京参加小升初和中考招生提供便利。</w:t>
      </w:r>
      <w:r>
        <w:rPr>
          <w:rFonts w:hint="default" w:ascii="Nimbus Roman No9 L" w:hAnsi="Nimbus Roman No9 L" w:eastAsia="仿宋_GB2312" w:cs="Nimbus Roman No9 L"/>
          <w:color w:val="000000"/>
          <w:sz w:val="32"/>
          <w:szCs w:val="32"/>
        </w:rPr>
        <w:t>与北京市、河北省共建基础教育合作联盟，开展教育交流合作。</w:t>
      </w:r>
      <w:r>
        <w:rPr>
          <w:rFonts w:hint="default" w:ascii="Nimbus Roman No9 L" w:hAnsi="Nimbus Roman No9 L" w:eastAsia="仿宋_GB2312" w:cs="Nimbus Roman No9 L"/>
          <w:sz w:val="32"/>
          <w:szCs w:val="32"/>
        </w:rPr>
        <w:t>扩大津冀之间中小学骨干教师、校长交流合作，互派优秀校长、教师挂职交流，选派优秀教师到河北受帮扶地区开展支教送教。发挥新区职业教育集团作用，积极联合河北省有关职业院校共建实训基地，建设京津冀职业教育对接产业服务平台，共同打造高端技术技能人才培养基地。</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color w:val="FF0000"/>
          <w:sz w:val="32"/>
          <w:szCs w:val="32"/>
        </w:rPr>
      </w:pPr>
      <w:r>
        <w:rPr>
          <w:rFonts w:hint="default" w:ascii="Nimbus Roman No9 L" w:hAnsi="Nimbus Roman No9 L" w:eastAsia="仿宋_GB2312" w:cs="Nimbus Roman No9 L"/>
          <w:b/>
          <w:sz w:val="32"/>
          <w:szCs w:val="32"/>
        </w:rPr>
        <w:t>2.深化国际教育合作交流。</w:t>
      </w:r>
      <w:r>
        <w:rPr>
          <w:rFonts w:hint="default" w:ascii="Nimbus Roman No9 L" w:hAnsi="Nimbus Roman No9 L" w:eastAsia="仿宋_GB2312" w:cs="Nimbus Roman No9 L"/>
          <w:sz w:val="32"/>
          <w:szCs w:val="32"/>
        </w:rPr>
        <w:t>用好自贸区国际教育改革试验区优惠政策，开展多种形式的国际教育合作交流，提升新区教育国际影响力和竞争力。大力支持天津茱莉亚学院和天津音乐学院茱莉亚研究院发展，</w:t>
      </w:r>
      <w:r>
        <w:rPr>
          <w:rFonts w:hint="default" w:ascii="Nimbus Roman No9 L" w:hAnsi="Nimbus Roman No9 L" w:eastAsia="仿宋_GB2312" w:cs="Nimbus Roman No9 L"/>
          <w:color w:val="000000"/>
          <w:sz w:val="32"/>
          <w:szCs w:val="32"/>
        </w:rPr>
        <w:t>打造艺术教育殿堂，提升滨海新区城市品位。</w:t>
      </w:r>
      <w:r>
        <w:rPr>
          <w:rFonts w:hint="default" w:ascii="Nimbus Roman No9 L" w:hAnsi="Nimbus Roman No9 L" w:eastAsia="仿宋_GB2312" w:cs="Nimbus Roman No9 L"/>
          <w:sz w:val="32"/>
          <w:szCs w:val="32"/>
        </w:rPr>
        <w:t>积极参与建设“鲁班工坊”，打造职业教育国际化特色品牌。支持社会力量举办中外合作学校和国际学校。探索外籍教师引进新机制，提升外籍教师引进质量。健全师生学访机制，鼓励有条件的学校与境外高水平教育机构共建互访，提高国际理解教育水平。</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Nimbus Roman No9 L" w:hAnsi="Nimbus Roman No9 L" w:eastAsia="楷体_GB2312" w:cs="Nimbus Roman No9 L"/>
          <w:sz w:val="32"/>
          <w:szCs w:val="32"/>
        </w:rPr>
      </w:pPr>
      <w:bookmarkStart w:id="60" w:name="_Toc58918098"/>
      <w:bookmarkStart w:id="61" w:name="_Toc58918210"/>
      <w:bookmarkStart w:id="62" w:name="_Toc58917934"/>
      <w:r>
        <w:rPr>
          <w:rFonts w:hint="default" w:ascii="Nimbus Roman No9 L" w:hAnsi="Nimbus Roman No9 L" w:eastAsia="楷体_GB2312" w:cs="Nimbus Roman No9 L"/>
          <w:sz w:val="32"/>
          <w:szCs w:val="32"/>
        </w:rPr>
        <w:t>（十二）全面深化教育领域综合改革</w:t>
      </w:r>
      <w:bookmarkEnd w:id="60"/>
      <w:bookmarkEnd w:id="61"/>
      <w:bookmarkEnd w:id="62"/>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深化教育评价、办学体制机制等重点领域改革，在重点领域和关键环节先行先试，到2025年，新区办学活力显著增强，教育治理体系和治理能力现代化水平进一步提升。</w:t>
      </w:r>
    </w:p>
    <w:p>
      <w:pPr>
        <w:keepNext w:val="0"/>
        <w:keepLines w:val="0"/>
        <w:pageBreakBefore w:val="0"/>
        <w:kinsoku/>
        <w:wordWrap/>
        <w:overflowPunct/>
        <w:topLinePunct w:val="0"/>
        <w:autoSpaceDE/>
        <w:autoSpaceDN/>
        <w:bidi w:val="0"/>
        <w:adjustRightInd w:val="0"/>
        <w:snapToGrid/>
        <w:spacing w:line="580" w:lineRule="exact"/>
        <w:ind w:firstLine="645"/>
        <w:textAlignment w:val="auto"/>
        <w:rPr>
          <w:rFonts w:hint="default" w:ascii="Nimbus Roman No9 L" w:hAnsi="Nimbus Roman No9 L" w:eastAsia="仿宋_GB2312" w:cs="Nimbus Roman No9 L"/>
          <w:color w:val="FF0000"/>
          <w:sz w:val="32"/>
          <w:szCs w:val="32"/>
        </w:rPr>
      </w:pPr>
      <w:r>
        <w:rPr>
          <w:rFonts w:hint="default" w:ascii="Nimbus Roman No9 L" w:hAnsi="Nimbus Roman No9 L" w:eastAsia="仿宋_GB2312" w:cs="Nimbus Roman No9 L"/>
          <w:b/>
          <w:bCs/>
          <w:sz w:val="32"/>
          <w:szCs w:val="32"/>
        </w:rPr>
        <w:t>1</w:t>
      </w:r>
      <w:r>
        <w:rPr>
          <w:rFonts w:hint="default" w:ascii="Nimbus Roman No9 L" w:hAnsi="Nimbus Roman No9 L" w:eastAsia="仿宋_GB2312" w:cs="Nimbus Roman No9 L"/>
          <w:b/>
          <w:sz w:val="32"/>
          <w:szCs w:val="32"/>
        </w:rPr>
        <w:t>.</w:t>
      </w:r>
      <w:r>
        <w:rPr>
          <w:rFonts w:hint="default" w:ascii="Nimbus Roman No9 L" w:hAnsi="Nimbus Roman No9 L" w:eastAsia="仿宋_GB2312" w:cs="Nimbus Roman No9 L"/>
          <w:b/>
          <w:bCs/>
          <w:sz w:val="32"/>
          <w:szCs w:val="32"/>
        </w:rPr>
        <w:t>深化新时代教育评价改革。</w:t>
      </w:r>
      <w:r>
        <w:rPr>
          <w:rFonts w:hint="default" w:ascii="Nimbus Roman No9 L" w:hAnsi="Nimbus Roman No9 L" w:eastAsia="仿宋_GB2312" w:cs="Nimbus Roman No9 L"/>
          <w:sz w:val="32"/>
          <w:szCs w:val="32"/>
        </w:rPr>
        <w:t>落实新时代教育评价改革清单，完善党委和政府教育工作评价、学校评价、教师评价、学生评价和用人评价机制，改进结果评价，强化过程评价，探索增值评价，健全综合评价，推进教育评价关键领域改革取得实质性突破。严格落实县域义务教育质量、学校办学质量和学生发展质量评价标准。探索建立教育质量“绿色指标”评价体系，开展全面教育质量观指导下的教学与评价。推进初中学生入学水平基线测试，推动学业质量增值评价，完善学校和学生发展性评价标准。建立第三方评估监测机制，健全教育质量年度报告制度和反馈改进机制，形成由政府、学校、家长及社会各方面参与的多元教育质量评价体系。加快构建基于过程评价的教育质量监测系统，利用教育云、大数据，建立学生综合素质发展电子档案。改进学生综合素质评价方式和使用办法，提高综合素质评价的信度和效度。</w:t>
      </w:r>
    </w:p>
    <w:p>
      <w:pPr>
        <w:keepNext w:val="0"/>
        <w:keepLines w:val="0"/>
        <w:pageBreakBefore w:val="0"/>
        <w:kinsoku/>
        <w:wordWrap/>
        <w:overflowPunct/>
        <w:topLinePunct w:val="0"/>
        <w:autoSpaceDE/>
        <w:autoSpaceDN/>
        <w:bidi w:val="0"/>
        <w:adjustRightInd w:val="0"/>
        <w:snapToGrid/>
        <w:spacing w:line="580" w:lineRule="exact"/>
        <w:ind w:firstLine="642" w:firstLineChars="200"/>
        <w:textAlignment w:val="auto"/>
        <w:rPr>
          <w:rFonts w:hint="default" w:ascii="Nimbus Roman No9 L" w:hAnsi="Nimbus Roman No9 L" w:eastAsia="仿宋_GB2312" w:cs="Nimbus Roman No9 L"/>
          <w:bCs/>
          <w:sz w:val="32"/>
          <w:szCs w:val="32"/>
        </w:rPr>
      </w:pPr>
      <w:r>
        <w:rPr>
          <w:rFonts w:hint="default" w:ascii="Nimbus Roman No9 L" w:hAnsi="Nimbus Roman No9 L" w:eastAsia="仿宋_GB2312" w:cs="Nimbus Roman No9 L"/>
          <w:b/>
          <w:bCs/>
          <w:sz w:val="32"/>
          <w:szCs w:val="32"/>
        </w:rPr>
        <w:t>2</w:t>
      </w:r>
      <w:r>
        <w:rPr>
          <w:rFonts w:hint="default" w:ascii="Nimbus Roman No9 L" w:hAnsi="Nimbus Roman No9 L" w:eastAsia="仿宋_GB2312" w:cs="Nimbus Roman No9 L"/>
          <w:b/>
          <w:sz w:val="32"/>
          <w:szCs w:val="32"/>
        </w:rPr>
        <w:t>.</w:t>
      </w:r>
      <w:r>
        <w:rPr>
          <w:rFonts w:hint="default" w:ascii="Nimbus Roman No9 L" w:hAnsi="Nimbus Roman No9 L" w:eastAsia="仿宋_GB2312" w:cs="Nimbus Roman No9 L"/>
          <w:b/>
          <w:bCs/>
          <w:sz w:val="32"/>
          <w:szCs w:val="32"/>
        </w:rPr>
        <w:t>激发学校办学活力。</w:t>
      </w:r>
      <w:r>
        <w:rPr>
          <w:rFonts w:hint="default" w:ascii="Nimbus Roman No9 L" w:hAnsi="Nimbus Roman No9 L" w:eastAsia="仿宋_GB2312" w:cs="Nimbus Roman No9 L"/>
          <w:sz w:val="32"/>
          <w:szCs w:val="32"/>
        </w:rPr>
        <w:t>建立健全以发展素质教育为导向的学校办学质量评价体系，构建完善的教师激励体系，扩大人事工作自主权，落实经费使用自主权，进一步激发中小学办学活力。落实减轻中小学教师负担清单，进一步营造教育教学良好环境。</w:t>
      </w:r>
      <w:r>
        <w:rPr>
          <w:rFonts w:hint="default" w:ascii="Nimbus Roman No9 L" w:hAnsi="Nimbus Roman No9 L" w:eastAsia="仿宋_GB2312" w:cs="Nimbus Roman No9 L"/>
          <w:bCs/>
          <w:sz w:val="32"/>
          <w:szCs w:val="32"/>
        </w:rPr>
        <w:t>健全公众参与学校议事、监督和意见反馈制度，提升学校管理、决策的科学性。</w:t>
      </w:r>
      <w:r>
        <w:rPr>
          <w:rFonts w:hint="default" w:ascii="Nimbus Roman No9 L" w:hAnsi="Nimbus Roman No9 L" w:eastAsia="仿宋_GB2312" w:cs="Nimbus Roman No9 L"/>
          <w:sz w:val="32"/>
          <w:szCs w:val="32"/>
        </w:rPr>
        <w:t>充分发挥优质教育资源的示范、辐射和带动作用，采取学区化办学、集团化办学、委托管理、学校联盟等改革举措，进一步打破学段和校际间壁垒，实现以强带弱、以城带乡、协同发展、优势互补。加强与高等院校、教育教学研究机构、社会组织等战略合作，推动学校培育特色、高质量发展。</w:t>
      </w:r>
    </w:p>
    <w:p>
      <w:pPr>
        <w:keepNext w:val="0"/>
        <w:keepLines w:val="0"/>
        <w:pageBreakBefore w:val="0"/>
        <w:kinsoku/>
        <w:wordWrap/>
        <w:overflowPunct/>
        <w:topLinePunct w:val="0"/>
        <w:autoSpaceDE/>
        <w:autoSpaceDN/>
        <w:bidi w:val="0"/>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3</w:t>
      </w:r>
      <w:r>
        <w:rPr>
          <w:rFonts w:hint="default" w:ascii="Nimbus Roman No9 L" w:hAnsi="Nimbus Roman No9 L" w:eastAsia="仿宋_GB2312" w:cs="Nimbus Roman No9 L"/>
          <w:b/>
          <w:sz w:val="32"/>
          <w:szCs w:val="32"/>
        </w:rPr>
        <w:t>.</w:t>
      </w:r>
      <w:r>
        <w:rPr>
          <w:rFonts w:hint="default" w:ascii="Nimbus Roman No9 L" w:hAnsi="Nimbus Roman No9 L" w:eastAsia="仿宋_GB2312" w:cs="Nimbus Roman No9 L"/>
          <w:b/>
          <w:bCs/>
          <w:sz w:val="32"/>
          <w:szCs w:val="32"/>
        </w:rPr>
        <w:t>规范发展民办教育。</w:t>
      </w:r>
      <w:r>
        <w:rPr>
          <w:rFonts w:hint="default" w:ascii="Nimbus Roman No9 L" w:hAnsi="Nimbus Roman No9 L" w:eastAsia="仿宋_GB2312" w:cs="Nimbus Roman No9 L"/>
          <w:sz w:val="32"/>
          <w:szCs w:val="32"/>
        </w:rPr>
        <w:t>创新民办教育发展投融资机制，鼓励和引导社会力量兴办教育。实施民办学校分类管理，落实财政、土地、收费等方面的差异化扶持政策。规范民办学校办学行为，建立民办义务教育学校教育教学常态化监督机制，做到与公办学校同部署同要求。完善民办教育年检年报、财务管理、审计监督制度，加强风险防范。建立健全民办学校信息公开制度和联合执法机制，将民办学校纳入教育督导评估范围。推进校外培训机构治理常态化，全面加强监督监管，坚决纠正不良办学行为。</w:t>
      </w:r>
    </w:p>
    <w:p>
      <w:pPr>
        <w:keepNext w:val="0"/>
        <w:keepLines w:val="0"/>
        <w:pageBreakBefore w:val="0"/>
        <w:kinsoku/>
        <w:wordWrap/>
        <w:overflowPunct/>
        <w:topLinePunct w:val="0"/>
        <w:autoSpaceDE/>
        <w:autoSpaceDN/>
        <w:bidi w:val="0"/>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4</w:t>
      </w:r>
      <w:r>
        <w:rPr>
          <w:rFonts w:hint="default" w:ascii="Nimbus Roman No9 L" w:hAnsi="Nimbus Roman No9 L" w:eastAsia="仿宋_GB2312" w:cs="Nimbus Roman No9 L"/>
          <w:b/>
          <w:sz w:val="32"/>
          <w:szCs w:val="32"/>
        </w:rPr>
        <w:t>.</w:t>
      </w:r>
      <w:r>
        <w:rPr>
          <w:rFonts w:hint="default" w:ascii="Nimbus Roman No9 L" w:hAnsi="Nimbus Roman No9 L" w:eastAsia="仿宋_GB2312" w:cs="Nimbus Roman No9 L"/>
          <w:b/>
          <w:bCs/>
          <w:sz w:val="32"/>
          <w:szCs w:val="32"/>
        </w:rPr>
        <w:t>深化教育督导机制改革。</w:t>
      </w:r>
      <w:r>
        <w:rPr>
          <w:rFonts w:hint="default" w:ascii="Nimbus Roman No9 L" w:hAnsi="Nimbus Roman No9 L" w:eastAsia="仿宋_GB2312" w:cs="Nimbus Roman No9 L"/>
          <w:sz w:val="32"/>
          <w:szCs w:val="32"/>
        </w:rPr>
        <w:t>完善政府履行教育职责评价体系，强化对政府部门执行办学标准、加大教育投入、落实教师编制待遇、推进重大教育工程项目实施等情况的专项督导。</w:t>
      </w:r>
      <w:r>
        <w:rPr>
          <w:rFonts w:hint="default" w:ascii="Nimbus Roman No9 L" w:hAnsi="Nimbus Roman No9 L" w:eastAsia="仿宋_GB2312" w:cs="Nimbus Roman No9 L"/>
          <w:bCs/>
          <w:sz w:val="32"/>
          <w:szCs w:val="32"/>
        </w:rPr>
        <w:t>加强督学队伍建设，提升教育督导专业性。</w:t>
      </w:r>
      <w:r>
        <w:rPr>
          <w:rFonts w:hint="default" w:ascii="Nimbus Roman No9 L" w:hAnsi="Nimbus Roman No9 L" w:eastAsia="仿宋_GB2312" w:cs="Nimbus Roman No9 L"/>
          <w:sz w:val="32"/>
          <w:szCs w:val="32"/>
        </w:rPr>
        <w:t>完善学校督导标准，健全督学责任区制度，强化对学校教育教学、科学研究、师德师风、资源配置、教育收费、安全稳定等情况的常态督导。加强和改进教育评估监测，健全各级各类教育监测制度，强化对学校教师队伍建设、办学条件和教育教学质量的评估监测，探索第三方评估监测机构和社会组织开展教育评估监测的工作机制。进一步完善教育督导问责机制，健全整改、复查、激励、约谈等制度。</w:t>
      </w:r>
    </w:p>
    <w:p>
      <w:pPr>
        <w:keepNext w:val="0"/>
        <w:keepLines w:val="0"/>
        <w:pageBreakBefore w:val="0"/>
        <w:kinsoku/>
        <w:wordWrap/>
        <w:overflowPunct/>
        <w:topLinePunct w:val="0"/>
        <w:autoSpaceDE/>
        <w:autoSpaceDN/>
        <w:bidi w:val="0"/>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5.强化教育科研。</w:t>
      </w:r>
      <w:r>
        <w:rPr>
          <w:rFonts w:hint="default" w:ascii="Nimbus Roman No9 L" w:hAnsi="Nimbus Roman No9 L" w:eastAsia="仿宋_GB2312" w:cs="Nimbus Roman No9 L"/>
          <w:color w:val="000000"/>
          <w:sz w:val="32"/>
          <w:szCs w:val="32"/>
        </w:rPr>
        <w:t>建设用好市教科院滨海分院，着力提升新区教育科研水平。</w:t>
      </w:r>
      <w:r>
        <w:rPr>
          <w:rFonts w:hint="default" w:ascii="Nimbus Roman No9 L" w:hAnsi="Nimbus Roman No9 L" w:eastAsia="仿宋_GB2312" w:cs="Nimbus Roman No9 L"/>
          <w:color w:val="000000"/>
          <w:spacing w:val="6"/>
          <w:sz w:val="32"/>
          <w:szCs w:val="32"/>
        </w:rPr>
        <w:t>健全区、校两级教研机构体系，</w:t>
      </w:r>
      <w:r>
        <w:rPr>
          <w:rFonts w:hint="default" w:ascii="Nimbus Roman No9 L" w:hAnsi="Nimbus Roman No9 L" w:eastAsia="仿宋_GB2312" w:cs="Nimbus Roman No9 L"/>
          <w:color w:val="000000"/>
          <w:sz w:val="32"/>
          <w:szCs w:val="32"/>
        </w:rPr>
        <w:t>完善区教研、区域教研、共同体教研及其考核评价办法，加强开发区教研工作指导，强化校本教研，规范教研运行机制，创新教研方式方法，</w:t>
      </w:r>
      <w:r>
        <w:rPr>
          <w:rFonts w:hint="default" w:ascii="Nimbus Roman No9 L" w:hAnsi="Nimbus Roman No9 L" w:eastAsia="仿宋_GB2312" w:cs="Nimbus Roman No9 L"/>
          <w:color w:val="000000"/>
          <w:spacing w:val="6"/>
          <w:sz w:val="32"/>
          <w:szCs w:val="32"/>
        </w:rPr>
        <w:t>建强配齐高水平教研队伍，</w:t>
      </w:r>
      <w:r>
        <w:rPr>
          <w:rFonts w:hint="default" w:ascii="Nimbus Roman No9 L" w:hAnsi="Nimbus Roman No9 L" w:eastAsia="仿宋_GB2312" w:cs="Nimbus Roman No9 L"/>
          <w:color w:val="000000"/>
          <w:sz w:val="32"/>
          <w:szCs w:val="32"/>
        </w:rPr>
        <w:t>切实提高教研能力和水平。</w:t>
      </w:r>
      <w:r>
        <w:rPr>
          <w:rFonts w:hint="default" w:ascii="Nimbus Roman No9 L" w:hAnsi="Nimbus Roman No9 L" w:eastAsia="仿宋_GB2312" w:cs="Nimbus Roman No9 L"/>
          <w:sz w:val="32"/>
          <w:szCs w:val="32"/>
        </w:rPr>
        <w:t>发挥教育智库的科研力量，适时成立专业咨询委员会，借智引智聚智，切实提升教育科学研究的科学化、民主化水平。发挥基层和学校在教育科研中的主体作用</w:t>
      </w:r>
      <w:r>
        <w:rPr>
          <w:rFonts w:hint="default" w:ascii="Nimbus Roman No9 L" w:hAnsi="Nimbus Roman No9 L" w:eastAsia="仿宋_GB2312" w:cs="Nimbus Roman No9 L"/>
          <w:color w:val="000000"/>
          <w:sz w:val="32"/>
          <w:szCs w:val="32"/>
        </w:rPr>
        <w:t>，通过高水平教育科研带动新区教育高质量发展</w:t>
      </w:r>
      <w:r>
        <w:rPr>
          <w:rFonts w:hint="default" w:ascii="Nimbus Roman No9 L" w:hAnsi="Nimbus Roman No9 L" w:eastAsia="仿宋_GB2312" w:cs="Nimbus Roman No9 L"/>
          <w:sz w:val="32"/>
          <w:szCs w:val="32"/>
        </w:rPr>
        <w:t>。</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Nimbus Roman No9 L" w:hAnsi="Nimbus Roman No9 L" w:eastAsia="黑体" w:cs="Nimbus Roman No9 L"/>
          <w:sz w:val="32"/>
          <w:szCs w:val="32"/>
        </w:rPr>
      </w:pPr>
      <w:bookmarkStart w:id="63" w:name="_Toc58918099"/>
      <w:bookmarkStart w:id="64" w:name="_Toc58917935"/>
      <w:bookmarkStart w:id="65" w:name="_Toc58918211"/>
      <w:r>
        <w:rPr>
          <w:rFonts w:hint="default" w:ascii="Nimbus Roman No9 L" w:hAnsi="Nimbus Roman No9 L" w:eastAsia="黑体" w:cs="Nimbus Roman No9 L"/>
          <w:sz w:val="32"/>
          <w:szCs w:val="32"/>
        </w:rPr>
        <w:t>四、</w:t>
      </w:r>
      <w:bookmarkEnd w:id="63"/>
      <w:bookmarkEnd w:id="64"/>
      <w:bookmarkEnd w:id="65"/>
      <w:r>
        <w:rPr>
          <w:rFonts w:hint="default" w:ascii="Nimbus Roman No9 L" w:hAnsi="Nimbus Roman No9 L" w:eastAsia="黑体" w:cs="Nimbus Roman No9 L"/>
          <w:sz w:val="32"/>
          <w:szCs w:val="32"/>
        </w:rPr>
        <w:t>保障措施</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Nimbus Roman No9 L" w:hAnsi="Nimbus Roman No9 L" w:eastAsia="楷体_GB2312" w:cs="Nimbus Roman No9 L"/>
          <w:sz w:val="32"/>
          <w:szCs w:val="32"/>
        </w:rPr>
      </w:pPr>
      <w:bookmarkStart w:id="66" w:name="_Toc58918100"/>
      <w:bookmarkStart w:id="67" w:name="_Toc58917936"/>
      <w:bookmarkStart w:id="68" w:name="_Toc58918212"/>
      <w:r>
        <w:rPr>
          <w:rFonts w:hint="default" w:ascii="Nimbus Roman No9 L" w:hAnsi="Nimbus Roman No9 L" w:eastAsia="楷体_GB2312" w:cs="Nimbus Roman No9 L"/>
          <w:sz w:val="32"/>
          <w:szCs w:val="32"/>
        </w:rPr>
        <w:t>（一）加强组织领导</w:t>
      </w:r>
      <w:bookmarkEnd w:id="66"/>
      <w:bookmarkEnd w:id="67"/>
      <w:bookmarkEnd w:id="68"/>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sz w:val="32"/>
          <w:szCs w:val="32"/>
        </w:rPr>
        <w:t>切实加强党对教育工作的全面领导，协调动员各方力量共同推进教育改革发展。强化党建引领，加强基层党支部规范化、标准化建设。推进中小学党组织领导的校长负责制改革试点。建立区教体局与各开发区联席会议机制，大力推进各开发区教育集团建设，促进各开发区教育发展融入全区教育发展大局。加强区、街镇（开发区）教育发展“十四五”规划衔接，建立定期沟通协调机制。健全多部门协调会商机制，明确职责分工，各负其责，形成发展合力，强力组织实施。</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Nimbus Roman No9 L" w:hAnsi="Nimbus Roman No9 L" w:eastAsia="楷体_GB2312" w:cs="Nimbus Roman No9 L"/>
          <w:sz w:val="32"/>
          <w:szCs w:val="32"/>
        </w:rPr>
      </w:pPr>
      <w:bookmarkStart w:id="69" w:name="_Toc58918101"/>
      <w:bookmarkStart w:id="70" w:name="_Toc58917937"/>
      <w:bookmarkStart w:id="71" w:name="_Toc58918213"/>
      <w:r>
        <w:rPr>
          <w:rFonts w:hint="default" w:ascii="Nimbus Roman No9 L" w:hAnsi="Nimbus Roman No9 L" w:eastAsia="楷体_GB2312" w:cs="Nimbus Roman No9 L"/>
          <w:sz w:val="32"/>
          <w:szCs w:val="32"/>
        </w:rPr>
        <w:t>（二）强化依法治教</w:t>
      </w:r>
      <w:bookmarkEnd w:id="69"/>
      <w:bookmarkEnd w:id="70"/>
      <w:bookmarkEnd w:id="71"/>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完善中小学校章程和制度，积极推进学校依法治校、自主办学。积极探索建立在法治框架内的多元化矛盾纠纷解决机制，引导公民、法人和其他社会组织通过法治途径，合法合理表达诉求，妥善处理各类教育纠纷。完善依法治教示范校建设工作机制，争创一批国家级、市级依法治教示范校。发挥课堂主渠道作用、学校主阵地作用，抓好教育系统干部和教师的法治教育。</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Nimbus Roman No9 L" w:hAnsi="Nimbus Roman No9 L" w:eastAsia="楷体_GB2312" w:cs="Nimbus Roman No9 L"/>
          <w:sz w:val="32"/>
          <w:szCs w:val="32"/>
        </w:rPr>
      </w:pPr>
      <w:bookmarkStart w:id="72" w:name="_Toc58918214"/>
      <w:bookmarkStart w:id="73" w:name="_Toc58918102"/>
      <w:bookmarkStart w:id="74" w:name="_Toc58917938"/>
      <w:r>
        <w:rPr>
          <w:rFonts w:hint="default" w:ascii="Nimbus Roman No9 L" w:hAnsi="Nimbus Roman No9 L" w:eastAsia="楷体_GB2312" w:cs="Nimbus Roman No9 L"/>
          <w:sz w:val="32"/>
          <w:szCs w:val="32"/>
        </w:rPr>
        <w:t>（三）加大教育投入</w:t>
      </w:r>
      <w:bookmarkEnd w:id="72"/>
      <w:bookmarkEnd w:id="73"/>
      <w:bookmarkEnd w:id="74"/>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sz w:val="32"/>
          <w:szCs w:val="32"/>
        </w:rPr>
        <w:t>完善教育投入保障机制，确保一般公共预算教育投入逐年只增不减，确保按在校学生人数平均的一般公共预算教育支出逐年只增不减。完善以政府投入为主、多渠道筹措教育经费的体制，扩大社会资源进入教育途径。完善捐赠教育激励机制。落实各级各类教育资助政策与奖励政策，完善学生资助、奖励体系。加快教育经费信息库建设，强化内部审计，加强教育经费监管，防范财务风险。深化全面预算绩效管理改革，建立完善教育经费使用绩效评价机制，优化经费使用结构，重点向困难领域和薄弱环节倾斜，提高教育经费使用效益。</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Nimbus Roman No9 L" w:hAnsi="Nimbus Roman No9 L" w:eastAsia="楷体_GB2312" w:cs="Nimbus Roman No9 L"/>
          <w:sz w:val="32"/>
          <w:szCs w:val="32"/>
        </w:rPr>
      </w:pPr>
      <w:bookmarkStart w:id="75" w:name="_Toc58917939"/>
      <w:bookmarkStart w:id="76" w:name="_Toc58918103"/>
      <w:bookmarkStart w:id="77" w:name="_Toc58918215"/>
      <w:r>
        <w:rPr>
          <w:rFonts w:hint="default" w:ascii="Nimbus Roman No9 L" w:hAnsi="Nimbus Roman No9 L" w:eastAsia="楷体_GB2312" w:cs="Nimbus Roman No9 L"/>
          <w:sz w:val="32"/>
          <w:szCs w:val="32"/>
        </w:rPr>
        <w:t>（四）</w:t>
      </w:r>
      <w:bookmarkEnd w:id="75"/>
      <w:bookmarkEnd w:id="76"/>
      <w:bookmarkEnd w:id="77"/>
      <w:r>
        <w:rPr>
          <w:rFonts w:hint="default" w:ascii="Nimbus Roman No9 L" w:hAnsi="Nimbus Roman No9 L" w:eastAsia="楷体_GB2312" w:cs="Nimbus Roman No9 L"/>
          <w:sz w:val="32"/>
          <w:szCs w:val="32"/>
        </w:rPr>
        <w:t>维护校园安全</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科学精准做好校园常态化疫情防控工作，完善学校疫情防控策略和措施，提高学校应对突发公共卫生事件监测预警处置能力。有针对性地开展学校安全专题教育，定期组织应对地震、火灾等情况的应急疏散演练。进一步完善学校和幼儿园安全风险防控体系，加强人防、物防、技防设施建设与维护。健全校园安全事故处理和风险化解机制，统筹协调中小学校安全事故与应急事件处置。加强校园周边综合治理，完善学生安全区域制度，防范校园恶性安全事件。严格执行预防和治理校园欺凌排查、预警、处置和干预机制，建设一批无校园欺凌示范校，全力打造无欺凌校园。</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Nimbus Roman No9 L" w:hAnsi="Nimbus Roman No9 L" w:eastAsia="楷体_GB2312" w:cs="Nimbus Roman No9 L"/>
          <w:sz w:val="32"/>
          <w:szCs w:val="32"/>
        </w:rPr>
      </w:pPr>
      <w:bookmarkStart w:id="78" w:name="_Toc58918104"/>
      <w:bookmarkStart w:id="79" w:name="_Toc58917940"/>
      <w:bookmarkStart w:id="80" w:name="_Toc58918216"/>
      <w:r>
        <w:rPr>
          <w:rFonts w:hint="default" w:ascii="Nimbus Roman No9 L" w:hAnsi="Nimbus Roman No9 L" w:eastAsia="楷体_GB2312" w:cs="Nimbus Roman No9 L"/>
          <w:sz w:val="32"/>
          <w:szCs w:val="32"/>
        </w:rPr>
        <w:t>（五）强化督导考核</w:t>
      </w:r>
      <w:bookmarkEnd w:id="78"/>
      <w:bookmarkEnd w:id="79"/>
      <w:bookmarkEnd w:id="80"/>
    </w:p>
    <w:p>
      <w:pPr>
        <w:pStyle w:val="2"/>
        <w:keepNext w:val="0"/>
        <w:keepLines w:val="0"/>
        <w:pageBreakBefore w:val="0"/>
        <w:kinsoku/>
        <w:wordWrap/>
        <w:overflowPunct/>
        <w:topLinePunct w:val="0"/>
        <w:autoSpaceDE/>
        <w:autoSpaceDN/>
        <w:bidi w:val="0"/>
        <w:snapToGrid/>
        <w:spacing w:before="0" w:line="580" w:lineRule="exact"/>
        <w:ind w:firstLine="640" w:firstLineChars="200"/>
        <w:jc w:val="both"/>
        <w:textAlignment w:val="auto"/>
        <w:rPr>
          <w:rFonts w:hint="default" w:ascii="Nimbus Roman No9 L" w:hAnsi="Nimbus Roman No9 L" w:cs="Nimbus Roman No9 L"/>
        </w:rPr>
      </w:pPr>
      <w:r>
        <w:rPr>
          <w:rFonts w:hint="default" w:ascii="Nimbus Roman No9 L" w:hAnsi="Nimbus Roman No9 L" w:eastAsia="仿宋_GB2312" w:cs="Nimbus Roman No9 L"/>
          <w:sz w:val="32"/>
          <w:szCs w:val="32"/>
        </w:rPr>
        <w:t>结合区教育改革发展实际，细化落实“十四五”教育规划提出的目标任务和重点项目，制订配套措施，确定时间表、路线图，并将规划重点指标和任务分工纳入各部门综合评价和绩效考核体系，将年度建设任务列入政府督查内容。建立规划中期评估和年度监测制度，区教体局对规划实施情况进行年度监测，区政府教育督导室定期对规划实施和重大教育项目推进情况开展评估、督导。探索第三方跟踪评估教育发展制度，分析跟踪各项政策落实情况及实施效果，为教育决策提供支撑。定期向社会公开规划实施评估情况，主动接受社会监督。</w:t>
      </w:r>
    </w:p>
    <w:sectPr>
      <w:footerReference r:id="rId3" w:type="default"/>
      <w:pgSz w:w="11906" w:h="16838"/>
      <w:pgMar w:top="2098" w:right="1474" w:bottom="1985" w:left="1588" w:header="851" w:footer="992" w:gutter="0"/>
      <w:pgNumType w:fmt="decimal"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方正书宋_GBK"/>
    <w:panose1 w:val="02010600040101010101"/>
    <w:charset w:val="86"/>
    <w:family w:val="auto"/>
    <w:pitch w:val="default"/>
    <w:sig w:usb0="00000000" w:usb1="00000000" w:usb2="00000010" w:usb3="00000000" w:csb0="0004009F" w:csb1="00000000"/>
  </w:font>
  <w:font w:name="Cambria">
    <w:altName w:val="FreeSerif"/>
    <w:panose1 w:val="02040503050406030204"/>
    <w:charset w:val="00"/>
    <w:family w:val="roman"/>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w:pict>
        <v:shape id="_x0000_s4098" o:spid="_x0000_s4098" o:spt="202" type="#_x0000_t202" style="position:absolute;left:0pt;margin-top:-25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9"/>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E887F"/>
    <w:multiLevelType w:val="singleLevel"/>
    <w:tmpl w:val="8F1E887F"/>
    <w:lvl w:ilvl="0" w:tentative="0">
      <w:start w:val="1"/>
      <w:numFmt w:val="chineseCounting"/>
      <w:pStyle w:val="36"/>
      <w:suff w:val="nothing"/>
      <w:lvlText w:val="（%1）"/>
      <w:lvlJc w:val="left"/>
      <w:pPr>
        <w:ind w:firstLine="420"/>
      </w:pPr>
      <w:rPr>
        <w:rFonts w:hint="eastAsia" w:cs="Times New Roman"/>
      </w:rPr>
    </w:lvl>
  </w:abstractNum>
  <w:abstractNum w:abstractNumId="1">
    <w:nsid w:val="C2F26A53"/>
    <w:multiLevelType w:val="singleLevel"/>
    <w:tmpl w:val="C2F26A53"/>
    <w:lvl w:ilvl="0" w:tentative="0">
      <w:start w:val="1"/>
      <w:numFmt w:val="chineseCounting"/>
      <w:pStyle w:val="33"/>
      <w:suff w:val="nothing"/>
      <w:lvlText w:val="%1、"/>
      <w:lvlJc w:val="left"/>
      <w:rPr>
        <w:rFonts w:hint="eastAsia" w:eastAsia="黑体" w:cs="Times New Roman"/>
        <w:sz w:val="32"/>
      </w:rPr>
    </w:lvl>
  </w:abstractNum>
  <w:abstractNum w:abstractNumId="2">
    <w:nsid w:val="F41E81AE"/>
    <w:multiLevelType w:val="singleLevel"/>
    <w:tmpl w:val="F41E81AE"/>
    <w:lvl w:ilvl="0" w:tentative="0">
      <w:start w:val="1"/>
      <w:numFmt w:val="decimal"/>
      <w:pStyle w:val="35"/>
      <w:suff w:val="space"/>
      <w:lvlText w:val="%1."/>
      <w:lvlJc w:val="left"/>
      <w:pPr>
        <w:tabs>
          <w:tab w:val="left" w:pos="420"/>
        </w:tabs>
      </w:pPr>
      <w:rPr>
        <w:rFonts w:hint="default" w:ascii="Times New Roman" w:hAnsi="Times New Roman" w:eastAsia="仿宋_GB2312" w:cs="Times New Roman"/>
        <w:sz w:val="32"/>
      </w:rPr>
    </w:lvl>
  </w:abstractNum>
  <w:abstractNum w:abstractNumId="3">
    <w:nsid w:val="1ACFE1A9"/>
    <w:multiLevelType w:val="singleLevel"/>
    <w:tmpl w:val="1ACFE1A9"/>
    <w:lvl w:ilvl="0" w:tentative="0">
      <w:start w:val="1"/>
      <w:numFmt w:val="chineseCounting"/>
      <w:pStyle w:val="34"/>
      <w:suff w:val="nothing"/>
      <w:lvlText w:val="（%1）"/>
      <w:lvlJc w:val="left"/>
      <w:pPr>
        <w:ind w:firstLine="420"/>
      </w:pPr>
      <w:rPr>
        <w:rFonts w:hint="eastAsia"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NotTrackMoves/>
  <w:revisionView w:markup="0"/>
  <w:trackRevisions w:val="true"/>
  <w:documentProtection w:enforcement="0"/>
  <w:defaultTabStop w:val="420"/>
  <w:drawingGridHorizontalSpacing w:val="105"/>
  <w:drawingGridVerticalSpacing w:val="158"/>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B35"/>
    <w:rsid w:val="00033AF3"/>
    <w:rsid w:val="000A3310"/>
    <w:rsid w:val="000D2994"/>
    <w:rsid w:val="001819A2"/>
    <w:rsid w:val="001B1813"/>
    <w:rsid w:val="001E69FB"/>
    <w:rsid w:val="00247674"/>
    <w:rsid w:val="00292DB0"/>
    <w:rsid w:val="002A25E1"/>
    <w:rsid w:val="002B09B8"/>
    <w:rsid w:val="002D5B97"/>
    <w:rsid w:val="002D61E5"/>
    <w:rsid w:val="002D772F"/>
    <w:rsid w:val="0031597C"/>
    <w:rsid w:val="00340886"/>
    <w:rsid w:val="00343E8D"/>
    <w:rsid w:val="00355172"/>
    <w:rsid w:val="004104D4"/>
    <w:rsid w:val="004C7E6E"/>
    <w:rsid w:val="004E3138"/>
    <w:rsid w:val="005039B8"/>
    <w:rsid w:val="00544CD6"/>
    <w:rsid w:val="00575AB7"/>
    <w:rsid w:val="00655E43"/>
    <w:rsid w:val="00665CF9"/>
    <w:rsid w:val="006D52CC"/>
    <w:rsid w:val="0077796E"/>
    <w:rsid w:val="007E592B"/>
    <w:rsid w:val="0080094F"/>
    <w:rsid w:val="00833A4B"/>
    <w:rsid w:val="008622CF"/>
    <w:rsid w:val="008639C3"/>
    <w:rsid w:val="008A2589"/>
    <w:rsid w:val="009028C6"/>
    <w:rsid w:val="00990A25"/>
    <w:rsid w:val="0099133B"/>
    <w:rsid w:val="009C57FD"/>
    <w:rsid w:val="00A17BF3"/>
    <w:rsid w:val="00A21F37"/>
    <w:rsid w:val="00A33B32"/>
    <w:rsid w:val="00A66706"/>
    <w:rsid w:val="00A95B76"/>
    <w:rsid w:val="00AA04CC"/>
    <w:rsid w:val="00B540A8"/>
    <w:rsid w:val="00BA0B35"/>
    <w:rsid w:val="00BB7AE3"/>
    <w:rsid w:val="00C06F93"/>
    <w:rsid w:val="00C91F97"/>
    <w:rsid w:val="00DA111E"/>
    <w:rsid w:val="00DA3125"/>
    <w:rsid w:val="00EB147E"/>
    <w:rsid w:val="00F16E50"/>
    <w:rsid w:val="00FE4028"/>
    <w:rsid w:val="01595F50"/>
    <w:rsid w:val="0175060D"/>
    <w:rsid w:val="01CA3CDE"/>
    <w:rsid w:val="01D35271"/>
    <w:rsid w:val="03955A29"/>
    <w:rsid w:val="041B3796"/>
    <w:rsid w:val="045128D1"/>
    <w:rsid w:val="065A42A1"/>
    <w:rsid w:val="06686D45"/>
    <w:rsid w:val="09AC0675"/>
    <w:rsid w:val="0AFD3E48"/>
    <w:rsid w:val="0B836802"/>
    <w:rsid w:val="0BB5309A"/>
    <w:rsid w:val="0D246EDD"/>
    <w:rsid w:val="0D2F64FE"/>
    <w:rsid w:val="0D853CBC"/>
    <w:rsid w:val="0DFA67EB"/>
    <w:rsid w:val="0ED538F7"/>
    <w:rsid w:val="104D4EE9"/>
    <w:rsid w:val="1062601D"/>
    <w:rsid w:val="10744C86"/>
    <w:rsid w:val="111132D7"/>
    <w:rsid w:val="111A088C"/>
    <w:rsid w:val="11D86C61"/>
    <w:rsid w:val="1212405A"/>
    <w:rsid w:val="132D095B"/>
    <w:rsid w:val="13B3380F"/>
    <w:rsid w:val="15963965"/>
    <w:rsid w:val="15BF6A76"/>
    <w:rsid w:val="1715302E"/>
    <w:rsid w:val="1A057F93"/>
    <w:rsid w:val="1A0911BC"/>
    <w:rsid w:val="1A214CA6"/>
    <w:rsid w:val="1A5C3B02"/>
    <w:rsid w:val="1B784288"/>
    <w:rsid w:val="1B824216"/>
    <w:rsid w:val="1BEF5AF4"/>
    <w:rsid w:val="1C3FF966"/>
    <w:rsid w:val="1CE21F98"/>
    <w:rsid w:val="1E624DDF"/>
    <w:rsid w:val="1E68782B"/>
    <w:rsid w:val="20480FD2"/>
    <w:rsid w:val="20A873C2"/>
    <w:rsid w:val="212A00E0"/>
    <w:rsid w:val="21A1497E"/>
    <w:rsid w:val="22395493"/>
    <w:rsid w:val="25870886"/>
    <w:rsid w:val="26690664"/>
    <w:rsid w:val="26E51BCE"/>
    <w:rsid w:val="27FC6381"/>
    <w:rsid w:val="2926177D"/>
    <w:rsid w:val="29672F82"/>
    <w:rsid w:val="299C0E3E"/>
    <w:rsid w:val="29BA3DD0"/>
    <w:rsid w:val="2B0077D9"/>
    <w:rsid w:val="2B374805"/>
    <w:rsid w:val="2C3A2C30"/>
    <w:rsid w:val="2CAB2F95"/>
    <w:rsid w:val="2CF2360B"/>
    <w:rsid w:val="2E8C3249"/>
    <w:rsid w:val="2EE73146"/>
    <w:rsid w:val="2F4B0EAA"/>
    <w:rsid w:val="2FFE3889"/>
    <w:rsid w:val="300164BD"/>
    <w:rsid w:val="309E0C32"/>
    <w:rsid w:val="31173817"/>
    <w:rsid w:val="317B7C0A"/>
    <w:rsid w:val="31A80064"/>
    <w:rsid w:val="31AD21DA"/>
    <w:rsid w:val="32A12760"/>
    <w:rsid w:val="32C12F93"/>
    <w:rsid w:val="33345615"/>
    <w:rsid w:val="335D1C8C"/>
    <w:rsid w:val="3366255A"/>
    <w:rsid w:val="33CB351E"/>
    <w:rsid w:val="34C800EF"/>
    <w:rsid w:val="35924E87"/>
    <w:rsid w:val="35A57475"/>
    <w:rsid w:val="376115B9"/>
    <w:rsid w:val="37BF74FC"/>
    <w:rsid w:val="37BF798C"/>
    <w:rsid w:val="38457DF9"/>
    <w:rsid w:val="3AC66C02"/>
    <w:rsid w:val="3BA4219D"/>
    <w:rsid w:val="3C066A9E"/>
    <w:rsid w:val="3C1B36D3"/>
    <w:rsid w:val="3CAD4F1E"/>
    <w:rsid w:val="3CBC168A"/>
    <w:rsid w:val="3CC40FD8"/>
    <w:rsid w:val="3D1D4DE5"/>
    <w:rsid w:val="3DDF4720"/>
    <w:rsid w:val="3E3F2623"/>
    <w:rsid w:val="3FEC7D48"/>
    <w:rsid w:val="41DF7F4E"/>
    <w:rsid w:val="42447AD1"/>
    <w:rsid w:val="42785D32"/>
    <w:rsid w:val="42791666"/>
    <w:rsid w:val="42B76554"/>
    <w:rsid w:val="432A5F40"/>
    <w:rsid w:val="44EB7BB0"/>
    <w:rsid w:val="452B0519"/>
    <w:rsid w:val="46845A39"/>
    <w:rsid w:val="47402520"/>
    <w:rsid w:val="476F7085"/>
    <w:rsid w:val="47E34683"/>
    <w:rsid w:val="483510BA"/>
    <w:rsid w:val="48633009"/>
    <w:rsid w:val="488C7027"/>
    <w:rsid w:val="48F0221B"/>
    <w:rsid w:val="49971F26"/>
    <w:rsid w:val="4AEB63CC"/>
    <w:rsid w:val="4AFE5DF4"/>
    <w:rsid w:val="4B21706F"/>
    <w:rsid w:val="4BB04719"/>
    <w:rsid w:val="4C656599"/>
    <w:rsid w:val="4DDF0719"/>
    <w:rsid w:val="4E3625C4"/>
    <w:rsid w:val="4E791EF9"/>
    <w:rsid w:val="4E882EC3"/>
    <w:rsid w:val="4EC240BE"/>
    <w:rsid w:val="4F603F94"/>
    <w:rsid w:val="4F7535D8"/>
    <w:rsid w:val="4FAC7958"/>
    <w:rsid w:val="502C18AE"/>
    <w:rsid w:val="507E3CB3"/>
    <w:rsid w:val="50857E69"/>
    <w:rsid w:val="509F564F"/>
    <w:rsid w:val="50AA75E2"/>
    <w:rsid w:val="5191358C"/>
    <w:rsid w:val="526514B0"/>
    <w:rsid w:val="545D195D"/>
    <w:rsid w:val="553E3A8F"/>
    <w:rsid w:val="56334CD5"/>
    <w:rsid w:val="5633661D"/>
    <w:rsid w:val="56D55E31"/>
    <w:rsid w:val="57C117C6"/>
    <w:rsid w:val="57F7299D"/>
    <w:rsid w:val="58804CC0"/>
    <w:rsid w:val="5B5F7FCF"/>
    <w:rsid w:val="5B790501"/>
    <w:rsid w:val="5B7F5560"/>
    <w:rsid w:val="5B9A74EC"/>
    <w:rsid w:val="5D0D516C"/>
    <w:rsid w:val="5DE37726"/>
    <w:rsid w:val="5E916589"/>
    <w:rsid w:val="5F586AB0"/>
    <w:rsid w:val="5F6F3CBE"/>
    <w:rsid w:val="611617AB"/>
    <w:rsid w:val="61476181"/>
    <w:rsid w:val="6178237F"/>
    <w:rsid w:val="617A6B9A"/>
    <w:rsid w:val="622C7176"/>
    <w:rsid w:val="6303292C"/>
    <w:rsid w:val="63C662CD"/>
    <w:rsid w:val="65EC707A"/>
    <w:rsid w:val="665042DD"/>
    <w:rsid w:val="66522BF5"/>
    <w:rsid w:val="67AD58F0"/>
    <w:rsid w:val="67AF5499"/>
    <w:rsid w:val="68CE51F9"/>
    <w:rsid w:val="690140E2"/>
    <w:rsid w:val="6AF331E3"/>
    <w:rsid w:val="6B5D1D9F"/>
    <w:rsid w:val="6B7F831A"/>
    <w:rsid w:val="6C690A9A"/>
    <w:rsid w:val="6D226BA7"/>
    <w:rsid w:val="6D4B69C0"/>
    <w:rsid w:val="6D866B70"/>
    <w:rsid w:val="6E012309"/>
    <w:rsid w:val="6E2B1382"/>
    <w:rsid w:val="6EF15464"/>
    <w:rsid w:val="6F132B88"/>
    <w:rsid w:val="6F826B2E"/>
    <w:rsid w:val="6FFA5F53"/>
    <w:rsid w:val="71017611"/>
    <w:rsid w:val="732F34B0"/>
    <w:rsid w:val="73486DCD"/>
    <w:rsid w:val="73670029"/>
    <w:rsid w:val="737D0F8F"/>
    <w:rsid w:val="74FB77E3"/>
    <w:rsid w:val="74FE5F70"/>
    <w:rsid w:val="75022B6D"/>
    <w:rsid w:val="753E06B7"/>
    <w:rsid w:val="75F505DB"/>
    <w:rsid w:val="76333303"/>
    <w:rsid w:val="764F2C52"/>
    <w:rsid w:val="76C87937"/>
    <w:rsid w:val="76D3185C"/>
    <w:rsid w:val="77464DD1"/>
    <w:rsid w:val="78B67E7F"/>
    <w:rsid w:val="7914055E"/>
    <w:rsid w:val="799B4385"/>
    <w:rsid w:val="79D257C8"/>
    <w:rsid w:val="7A92751F"/>
    <w:rsid w:val="7B064A73"/>
    <w:rsid w:val="7C8928E3"/>
    <w:rsid w:val="7CAB321C"/>
    <w:rsid w:val="7CE547C5"/>
    <w:rsid w:val="7D0C5C6E"/>
    <w:rsid w:val="7D1F34E4"/>
    <w:rsid w:val="7EAC6094"/>
    <w:rsid w:val="7EB604B4"/>
    <w:rsid w:val="7F8356DC"/>
    <w:rsid w:val="7FDCF346"/>
    <w:rsid w:val="BFFE5611"/>
    <w:rsid w:val="CDF4D8EB"/>
    <w:rsid w:val="F7DB948E"/>
    <w:rsid w:val="FFF97E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99"/>
    <w:pPr>
      <w:keepNext/>
      <w:keepLines/>
      <w:spacing w:line="576" w:lineRule="auto"/>
      <w:outlineLvl w:val="0"/>
    </w:pPr>
    <w:rPr>
      <w:b/>
      <w:kern w:val="44"/>
      <w:sz w:val="44"/>
    </w:rPr>
  </w:style>
  <w:style w:type="paragraph" w:styleId="4">
    <w:name w:val="heading 2"/>
    <w:basedOn w:val="1"/>
    <w:next w:val="1"/>
    <w:link w:val="22"/>
    <w:qFormat/>
    <w:uiPriority w:val="99"/>
    <w:pPr>
      <w:spacing w:line="560" w:lineRule="exact"/>
      <w:ind w:firstLine="200" w:firstLineChars="200"/>
      <w:outlineLvl w:val="1"/>
    </w:pPr>
    <w:rPr>
      <w:rFonts w:ascii="Calibri Light" w:hAnsi="Calibri Light" w:eastAsia="楷体"/>
      <w:b/>
      <w:bCs/>
      <w:sz w:val="32"/>
      <w:szCs w:val="32"/>
    </w:rPr>
  </w:style>
  <w:style w:type="paragraph" w:styleId="5">
    <w:name w:val="heading 3"/>
    <w:basedOn w:val="1"/>
    <w:next w:val="1"/>
    <w:link w:val="23"/>
    <w:qFormat/>
    <w:uiPriority w:val="99"/>
    <w:pPr>
      <w:spacing w:line="560" w:lineRule="exact"/>
      <w:ind w:firstLine="200" w:firstLineChars="200"/>
      <w:outlineLvl w:val="2"/>
    </w:pPr>
    <w:rPr>
      <w:rFonts w:ascii="仿宋_GB2312" w:eastAsia="仿宋_GB2312"/>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100" w:line="360" w:lineRule="exact"/>
      <w:jc w:val="center"/>
    </w:pPr>
    <w:rPr>
      <w:rFonts w:ascii="仿宋_GB2312" w:hAnsi="华文中宋" w:eastAsia="仿宋_GB2312"/>
    </w:rPr>
  </w:style>
  <w:style w:type="paragraph" w:styleId="6">
    <w:name w:val="toc 3"/>
    <w:basedOn w:val="1"/>
    <w:next w:val="1"/>
    <w:qFormat/>
    <w:uiPriority w:val="99"/>
    <w:pPr>
      <w:ind w:left="840" w:leftChars="400"/>
    </w:pPr>
  </w:style>
  <w:style w:type="paragraph" w:styleId="7">
    <w:name w:val="Plain Text"/>
    <w:basedOn w:val="1"/>
    <w:link w:val="25"/>
    <w:qFormat/>
    <w:uiPriority w:val="99"/>
    <w:pPr>
      <w:spacing w:line="600" w:lineRule="exact"/>
      <w:ind w:firstLine="560" w:firstLineChars="200"/>
    </w:pPr>
    <w:rPr>
      <w:rFonts w:eastAsia="仿宋_GB2312"/>
      <w:sz w:val="32"/>
      <w:szCs w:val="20"/>
    </w:rPr>
  </w:style>
  <w:style w:type="paragraph" w:styleId="8">
    <w:name w:val="Balloon Text"/>
    <w:basedOn w:val="1"/>
    <w:link w:val="26"/>
    <w:qFormat/>
    <w:uiPriority w:val="99"/>
    <w:rPr>
      <w:sz w:val="18"/>
      <w:szCs w:val="18"/>
    </w:rPr>
  </w:style>
  <w:style w:type="paragraph" w:styleId="9">
    <w:name w:val="footer"/>
    <w:basedOn w:val="1"/>
    <w:link w:val="27"/>
    <w:qFormat/>
    <w:uiPriority w:val="99"/>
    <w:pPr>
      <w:tabs>
        <w:tab w:val="center" w:pos="4153"/>
        <w:tab w:val="right" w:pos="8306"/>
      </w:tabs>
      <w:snapToGrid w:val="0"/>
      <w:jc w:val="left"/>
    </w:pPr>
    <w:rPr>
      <w:sz w:val="18"/>
    </w:rPr>
  </w:style>
  <w:style w:type="paragraph" w:styleId="10">
    <w:name w:val="header"/>
    <w:basedOn w:val="1"/>
    <w:link w:val="2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99"/>
  </w:style>
  <w:style w:type="paragraph" w:styleId="12">
    <w:name w:val="toc 2"/>
    <w:basedOn w:val="1"/>
    <w:next w:val="1"/>
    <w:qFormat/>
    <w:uiPriority w:val="99"/>
    <w:pPr>
      <w:ind w:left="420" w:leftChars="200"/>
    </w:pPr>
  </w:style>
  <w:style w:type="paragraph" w:styleId="1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99"/>
    <w:pPr>
      <w:spacing w:before="100" w:beforeAutospacing="1" w:after="100" w:afterAutospacing="1" w:line="500" w:lineRule="exact"/>
      <w:ind w:firstLine="1040" w:firstLineChars="200"/>
      <w:jc w:val="left"/>
    </w:pPr>
    <w:rPr>
      <w:rFonts w:eastAsia="仿宋_GB2312"/>
      <w:kern w:val="0"/>
      <w:sz w:val="24"/>
      <w:szCs w:val="22"/>
    </w:rPr>
  </w:style>
  <w:style w:type="paragraph" w:styleId="15">
    <w:name w:val="Title"/>
    <w:basedOn w:val="1"/>
    <w:link w:val="29"/>
    <w:qFormat/>
    <w:uiPriority w:val="99"/>
    <w:pPr>
      <w:jc w:val="center"/>
      <w:outlineLvl w:val="0"/>
    </w:pPr>
    <w:rPr>
      <w:rFonts w:ascii="Arial" w:hAnsi="Arial"/>
      <w:b/>
      <w:sz w:val="32"/>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Emphasis"/>
    <w:qFormat/>
    <w:uiPriority w:val="99"/>
    <w:rPr>
      <w:rFonts w:cs="Times New Roman"/>
      <w:i/>
    </w:rPr>
  </w:style>
  <w:style w:type="character" w:styleId="20">
    <w:name w:val="Hyperlink"/>
    <w:qFormat/>
    <w:uiPriority w:val="99"/>
    <w:rPr>
      <w:rFonts w:cs="Times New Roman"/>
      <w:color w:val="0563C1"/>
      <w:u w:val="single"/>
    </w:rPr>
  </w:style>
  <w:style w:type="character" w:customStyle="1" w:styleId="21">
    <w:name w:val="标题 1 Char"/>
    <w:link w:val="3"/>
    <w:qFormat/>
    <w:uiPriority w:val="9"/>
    <w:rPr>
      <w:b/>
      <w:bCs/>
      <w:kern w:val="44"/>
      <w:sz w:val="44"/>
      <w:szCs w:val="44"/>
    </w:rPr>
  </w:style>
  <w:style w:type="character" w:customStyle="1" w:styleId="22">
    <w:name w:val="标题 2 Char"/>
    <w:link w:val="4"/>
    <w:semiHidden/>
    <w:qFormat/>
    <w:uiPriority w:val="9"/>
    <w:rPr>
      <w:rFonts w:ascii="Cambria" w:hAnsi="Cambria" w:eastAsia="宋体" w:cs="Times New Roman"/>
      <w:b/>
      <w:bCs/>
      <w:sz w:val="32"/>
      <w:szCs w:val="32"/>
    </w:rPr>
  </w:style>
  <w:style w:type="character" w:customStyle="1" w:styleId="23">
    <w:name w:val="标题 3 Char"/>
    <w:link w:val="5"/>
    <w:semiHidden/>
    <w:qFormat/>
    <w:uiPriority w:val="9"/>
    <w:rPr>
      <w:b/>
      <w:bCs/>
      <w:sz w:val="32"/>
      <w:szCs w:val="32"/>
    </w:rPr>
  </w:style>
  <w:style w:type="character" w:customStyle="1" w:styleId="24">
    <w:name w:val="正文文本 Char"/>
    <w:link w:val="2"/>
    <w:semiHidden/>
    <w:qFormat/>
    <w:uiPriority w:val="99"/>
    <w:rPr>
      <w:szCs w:val="24"/>
    </w:rPr>
  </w:style>
  <w:style w:type="character" w:customStyle="1" w:styleId="25">
    <w:name w:val="纯文本 Char"/>
    <w:link w:val="7"/>
    <w:semiHidden/>
    <w:qFormat/>
    <w:uiPriority w:val="99"/>
    <w:rPr>
      <w:rFonts w:ascii="宋体" w:hAnsi="Courier New"/>
      <w:szCs w:val="21"/>
    </w:rPr>
  </w:style>
  <w:style w:type="character" w:customStyle="1" w:styleId="26">
    <w:name w:val="批注框文本 Char"/>
    <w:link w:val="8"/>
    <w:qFormat/>
    <w:locked/>
    <w:uiPriority w:val="99"/>
    <w:rPr>
      <w:rFonts w:cs="Times New Roman"/>
      <w:kern w:val="2"/>
      <w:sz w:val="18"/>
      <w:szCs w:val="18"/>
    </w:rPr>
  </w:style>
  <w:style w:type="character" w:customStyle="1" w:styleId="27">
    <w:name w:val="页脚 Char"/>
    <w:link w:val="9"/>
    <w:qFormat/>
    <w:locked/>
    <w:uiPriority w:val="99"/>
    <w:rPr>
      <w:rFonts w:cs="Times New Roman"/>
      <w:kern w:val="2"/>
      <w:sz w:val="24"/>
      <w:szCs w:val="24"/>
    </w:rPr>
  </w:style>
  <w:style w:type="character" w:customStyle="1" w:styleId="28">
    <w:name w:val="页眉 Char"/>
    <w:link w:val="10"/>
    <w:semiHidden/>
    <w:qFormat/>
    <w:uiPriority w:val="99"/>
    <w:rPr>
      <w:sz w:val="18"/>
      <w:szCs w:val="18"/>
    </w:rPr>
  </w:style>
  <w:style w:type="character" w:customStyle="1" w:styleId="29">
    <w:name w:val="标题 Char"/>
    <w:link w:val="15"/>
    <w:qFormat/>
    <w:uiPriority w:val="10"/>
    <w:rPr>
      <w:rFonts w:ascii="Cambria" w:hAnsi="Cambria" w:cs="Times New Roman"/>
      <w:b/>
      <w:bCs/>
      <w:sz w:val="32"/>
      <w:szCs w:val="32"/>
    </w:rPr>
  </w:style>
  <w:style w:type="paragraph" w:customStyle="1" w:styleId="30">
    <w:name w:val="公文标题"/>
    <w:basedOn w:val="15"/>
    <w:qFormat/>
    <w:uiPriority w:val="99"/>
    <w:pPr>
      <w:spacing w:line="680" w:lineRule="exact"/>
    </w:pPr>
    <w:rPr>
      <w:rFonts w:ascii="Times New Roman" w:hAnsi="Times New Roman" w:eastAsia="方正小标宋简体"/>
      <w:b w:val="0"/>
      <w:sz w:val="44"/>
    </w:rPr>
  </w:style>
  <w:style w:type="paragraph" w:customStyle="1" w:styleId="31">
    <w:name w:val="公文正文"/>
    <w:basedOn w:val="1"/>
    <w:qFormat/>
    <w:uiPriority w:val="99"/>
    <w:pPr>
      <w:adjustRightInd w:val="0"/>
      <w:snapToGrid w:val="0"/>
      <w:spacing w:line="560" w:lineRule="exact"/>
      <w:ind w:left="840" w:leftChars="300"/>
    </w:pPr>
    <w:rPr>
      <w:rFonts w:eastAsia="仿宋_GB2312"/>
      <w:sz w:val="32"/>
    </w:rPr>
  </w:style>
  <w:style w:type="paragraph" w:customStyle="1" w:styleId="32">
    <w:name w:val="公文一级标题"/>
    <w:basedOn w:val="3"/>
    <w:next w:val="31"/>
    <w:qFormat/>
    <w:uiPriority w:val="99"/>
    <w:rPr>
      <w:rFonts w:ascii="Calibri" w:hAnsi="Calibri" w:eastAsia="黑体"/>
      <w:sz w:val="32"/>
    </w:rPr>
  </w:style>
  <w:style w:type="paragraph" w:customStyle="1" w:styleId="33">
    <w:name w:val="公标一"/>
    <w:basedOn w:val="31"/>
    <w:next w:val="31"/>
    <w:qFormat/>
    <w:uiPriority w:val="99"/>
    <w:pPr>
      <w:numPr>
        <w:ilvl w:val="0"/>
        <w:numId w:val="1"/>
      </w:numPr>
      <w:ind w:left="0" w:leftChars="0" w:firstLine="643" w:firstLineChars="200"/>
      <w:outlineLvl w:val="0"/>
    </w:pPr>
    <w:rPr>
      <w:rFonts w:eastAsia="黑体"/>
    </w:rPr>
  </w:style>
  <w:style w:type="paragraph" w:customStyle="1" w:styleId="34">
    <w:name w:val="公标二"/>
    <w:basedOn w:val="33"/>
    <w:next w:val="31"/>
    <w:qFormat/>
    <w:uiPriority w:val="99"/>
    <w:pPr>
      <w:numPr>
        <w:numId w:val="2"/>
      </w:numPr>
    </w:pPr>
    <w:rPr>
      <w:rFonts w:eastAsia="楷体_GB2312"/>
    </w:rPr>
  </w:style>
  <w:style w:type="paragraph" w:customStyle="1" w:styleId="35">
    <w:name w:val="公标3"/>
    <w:basedOn w:val="36"/>
    <w:qFormat/>
    <w:uiPriority w:val="99"/>
    <w:pPr>
      <w:numPr>
        <w:ilvl w:val="0"/>
        <w:numId w:val="3"/>
      </w:numPr>
      <w:tabs>
        <w:tab w:val="decimal" w:pos="0"/>
      </w:tabs>
      <w:ind w:firstLine="640"/>
      <w:outlineLvl w:val="2"/>
    </w:pPr>
    <w:rPr>
      <w:rFonts w:eastAsia="仿宋_GB2312"/>
    </w:rPr>
  </w:style>
  <w:style w:type="paragraph" w:customStyle="1" w:styleId="36">
    <w:name w:val="公标（二）"/>
    <w:basedOn w:val="33"/>
    <w:next w:val="31"/>
    <w:qFormat/>
    <w:uiPriority w:val="99"/>
    <w:pPr>
      <w:numPr>
        <w:ilvl w:val="0"/>
        <w:numId w:val="4"/>
      </w:numPr>
    </w:pPr>
    <w:rPr>
      <w:rFonts w:eastAsia="楷体_GB2312"/>
    </w:rPr>
  </w:style>
  <w:style w:type="paragraph" w:styleId="37">
    <w:name w:val="List Paragraph"/>
    <w:basedOn w:val="1"/>
    <w:qFormat/>
    <w:uiPriority w:val="99"/>
    <w:pPr>
      <w:ind w:firstLine="420" w:firstLineChars="200"/>
    </w:pPr>
  </w:style>
  <w:style w:type="paragraph" w:customStyle="1" w:styleId="38">
    <w:name w:val="gei正文"/>
    <w:basedOn w:val="1"/>
    <w:qFormat/>
    <w:uiPriority w:val="99"/>
    <w:pPr>
      <w:spacing w:line="560" w:lineRule="exact"/>
      <w:ind w:firstLine="200" w:firstLineChars="200"/>
    </w:pPr>
    <w:rPr>
      <w:rFonts w:ascii="仿宋_GB2312" w:eastAsia="仿宋_GB2312"/>
      <w:sz w:val="32"/>
      <w:szCs w:val="28"/>
    </w:rPr>
  </w:style>
  <w:style w:type="paragraph" w:customStyle="1" w:styleId="39">
    <w:name w:val="WPSOffice手动目录 1"/>
    <w:qFormat/>
    <w:uiPriority w:val="99"/>
    <w:rPr>
      <w:rFonts w:ascii="Times New Roman" w:hAnsi="Times New Roman" w:eastAsia="宋体" w:cs="Times New Roman"/>
      <w:lang w:val="en-US" w:eastAsia="zh-CN" w:bidi="ar-SA"/>
    </w:rPr>
  </w:style>
  <w:style w:type="paragraph" w:customStyle="1" w:styleId="40">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41">
    <w:name w:val="WPSOffice手动目录 3"/>
    <w:qFormat/>
    <w:uiPriority w:val="99"/>
    <w:pPr>
      <w:ind w:left="400" w:leftChars="400"/>
    </w:pPr>
    <w:rPr>
      <w:rFonts w:ascii="Times New Roman" w:hAnsi="Times New Roman" w:eastAsia="宋体" w:cs="Times New Roman"/>
      <w:lang w:val="en-US" w:eastAsia="zh-CN" w:bidi="ar-SA"/>
    </w:rPr>
  </w:style>
  <w:style w:type="paragraph" w:customStyle="1" w:styleId="42">
    <w:name w:val="正文1"/>
    <w:qFormat/>
    <w:uiPriority w:val="99"/>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2881</Words>
  <Characters>16427</Characters>
  <Lines>136</Lines>
  <Paragraphs>38</Paragraphs>
  <TotalTime>45</TotalTime>
  <ScaleCrop>false</ScaleCrop>
  <LinksUpToDate>false</LinksUpToDate>
  <CharactersWithSpaces>19270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2009-04-26T08:47:00Z</dcterms:created>
  <dc:creator>lenovo</dc:creator>
  <cp:lastModifiedBy>建文排版</cp:lastModifiedBy>
  <dcterms:modified xsi:type="dcterms:W3CDTF">2021-09-28T09:24:41Z</dcterms:modified>
  <dc:title>附件：体例及格式参考</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5759E4AA6DEE4EDF8ACF0456FA463208</vt:lpwstr>
  </property>
</Properties>
</file>