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60" w:rsidRDefault="00BA3517">
      <w:pPr>
        <w:spacing w:line="580" w:lineRule="exact"/>
        <w:rPr>
          <w:rFonts w:ascii="Nimbus Roman No9 L" w:eastAsia="方正小标宋简体" w:hAnsi="Nimbus Roman No9 L" w:cs="Nimbus Roman No9 L" w:hint="eastAsia"/>
          <w:bCs/>
          <w:sz w:val="44"/>
          <w:szCs w:val="44"/>
        </w:rPr>
      </w:pPr>
      <w:r>
        <w:rPr>
          <w:rFonts w:ascii="Nimbus Roman No9 L" w:eastAsia="黑体" w:hAnsi="Nimbus Roman No9 L" w:cs="Nimbus Roman No9 L"/>
          <w:sz w:val="32"/>
          <w:szCs w:val="32"/>
        </w:rPr>
        <w:t>附件</w:t>
      </w:r>
      <w:r>
        <w:rPr>
          <w:rFonts w:ascii="Nimbus Roman No9 L" w:eastAsia="黑体" w:hAnsi="Nimbus Roman No9 L" w:cs="Nimbus Roman No9 L"/>
          <w:sz w:val="32"/>
          <w:szCs w:val="32"/>
        </w:rPr>
        <w:t>16</w:t>
      </w:r>
    </w:p>
    <w:p w:rsidR="008C1560" w:rsidRDefault="008C1560">
      <w:pPr>
        <w:spacing w:line="580" w:lineRule="exact"/>
        <w:jc w:val="center"/>
        <w:rPr>
          <w:rFonts w:ascii="Nimbus Roman No9 L" w:eastAsia="方正小标宋简体" w:hAnsi="Nimbus Roman No9 L" w:cs="Nimbus Roman No9 L" w:hint="eastAsia"/>
          <w:bCs/>
          <w:sz w:val="44"/>
          <w:szCs w:val="44"/>
        </w:rPr>
      </w:pPr>
    </w:p>
    <w:p w:rsidR="008C1560" w:rsidRDefault="00BA3517">
      <w:pPr>
        <w:spacing w:line="580" w:lineRule="exact"/>
        <w:jc w:val="center"/>
        <w:rPr>
          <w:rFonts w:ascii="Nimbus Roman No9 L" w:eastAsia="方正小标宋简体" w:hAnsi="Nimbus Roman No9 L" w:cs="Nimbus Roman No9 L" w:hint="eastAsia"/>
          <w:bCs/>
          <w:sz w:val="44"/>
          <w:szCs w:val="44"/>
        </w:rPr>
      </w:pPr>
      <w:r>
        <w:rPr>
          <w:rFonts w:ascii="Nimbus Roman No9 L" w:eastAsia="方正小标宋简体" w:hAnsi="Nimbus Roman No9 L" w:cs="Nimbus Roman No9 L"/>
          <w:bCs/>
          <w:sz w:val="44"/>
          <w:szCs w:val="44"/>
        </w:rPr>
        <w:t>天津市滨海新区</w:t>
      </w:r>
      <w:r>
        <w:rPr>
          <w:rFonts w:ascii="Nimbus Roman No9 L" w:eastAsia="方正小标宋简体" w:hAnsi="Nimbus Roman No9 L" w:cs="Nimbus Roman No9 L"/>
          <w:bCs/>
          <w:sz w:val="44"/>
          <w:szCs w:val="44"/>
        </w:rPr>
        <w:t>“</w:t>
      </w:r>
      <w:r>
        <w:rPr>
          <w:rFonts w:ascii="Nimbus Roman No9 L" w:eastAsia="方正小标宋简体" w:hAnsi="Nimbus Roman No9 L" w:cs="Nimbus Roman No9 L"/>
          <w:bCs/>
          <w:sz w:val="44"/>
          <w:szCs w:val="44"/>
        </w:rPr>
        <w:t>十四五</w:t>
      </w:r>
      <w:r>
        <w:rPr>
          <w:rFonts w:ascii="Nimbus Roman No9 L" w:eastAsia="方正小标宋简体" w:hAnsi="Nimbus Roman No9 L" w:cs="Nimbus Roman No9 L"/>
          <w:bCs/>
          <w:sz w:val="44"/>
          <w:szCs w:val="44"/>
        </w:rPr>
        <w:t>”</w:t>
      </w:r>
      <w:r>
        <w:rPr>
          <w:rFonts w:ascii="Nimbus Roman No9 L" w:eastAsia="方正小标宋简体" w:hAnsi="Nimbus Roman No9 L" w:cs="Nimbus Roman No9 L"/>
          <w:bCs/>
          <w:sz w:val="44"/>
          <w:szCs w:val="44"/>
        </w:rPr>
        <w:t>时期固定</w:t>
      </w:r>
    </w:p>
    <w:p w:rsidR="008C1560" w:rsidRDefault="00BA3517">
      <w:pPr>
        <w:spacing w:line="580" w:lineRule="exact"/>
        <w:jc w:val="center"/>
        <w:rPr>
          <w:rFonts w:ascii="Nimbus Roman No9 L" w:eastAsia="方正小标宋简体" w:hAnsi="Nimbus Roman No9 L" w:cs="Nimbus Roman No9 L" w:hint="eastAsia"/>
          <w:bCs/>
          <w:sz w:val="44"/>
          <w:szCs w:val="44"/>
        </w:rPr>
      </w:pPr>
      <w:r>
        <w:rPr>
          <w:rFonts w:ascii="Nimbus Roman No9 L" w:eastAsia="方正小标宋简体" w:hAnsi="Nimbus Roman No9 L" w:cs="Nimbus Roman No9 L"/>
          <w:bCs/>
          <w:sz w:val="44"/>
          <w:szCs w:val="44"/>
        </w:rPr>
        <w:t>资产投资与重大项目建设指引</w:t>
      </w:r>
    </w:p>
    <w:p w:rsidR="008C1560" w:rsidRDefault="008C1560" w:rsidP="009D3EED">
      <w:pPr>
        <w:spacing w:line="580" w:lineRule="exact"/>
        <w:ind w:firstLineChars="200" w:firstLine="640"/>
        <w:rPr>
          <w:rFonts w:ascii="Nimbus Roman No9 L" w:eastAsia="楷体_GB2312" w:hAnsi="Nimbus Roman No9 L" w:cs="Nimbus Roman No9 L" w:hint="eastAsia"/>
          <w:b/>
          <w:bCs/>
          <w:sz w:val="32"/>
          <w:szCs w:val="32"/>
        </w:rPr>
      </w:pPr>
    </w:p>
    <w:p w:rsidR="008C1560" w:rsidRDefault="00BA3517">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时期，是滨海新区在全面建成高质量小康社会的基础上，落实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发展布局，推进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二次创业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加快实现新时代高质量发展，全面建设生态、智慧、港产城融合的宜居宜业美丽滨海新城的关键时期。为充分发挥投资的驾辕之马和压舱石作用，加大力度谋划推进重大项目建设，加快形成有效投资，依据《天津市滨海新区国民经济和社会发展第十四个五年规划和二〇三五年远景目标纲要》，科学编制本指引。本指引主要阐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时期滨海新区固定资产投资与重大项目建设的总体思路、基本原则及发展目标，是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时期滨海新区重点投资领域及方向的指引性文件，为全区经济社会发展科学决策提供支撑。</w:t>
      </w:r>
    </w:p>
    <w:p w:rsidR="008C1560" w:rsidRDefault="00BA3517">
      <w:pPr>
        <w:spacing w:line="580" w:lineRule="exact"/>
        <w:ind w:firstLineChars="200" w:firstLine="640"/>
        <w:outlineLvl w:val="0"/>
        <w:rPr>
          <w:rFonts w:ascii="Nimbus Roman No9 L" w:eastAsia="黑体" w:hAnsi="Nimbus Roman No9 L" w:cs="Nimbus Roman No9 L" w:hint="eastAsia"/>
          <w:sz w:val="32"/>
          <w:szCs w:val="32"/>
        </w:rPr>
      </w:pPr>
      <w:bookmarkStart w:id="0" w:name="_Toc24402"/>
      <w:bookmarkStart w:id="1" w:name="_Toc24417"/>
      <w:bookmarkStart w:id="2" w:name="_Toc28003940"/>
      <w:bookmarkStart w:id="3" w:name="_Toc40287032"/>
      <w:bookmarkStart w:id="4" w:name="_Toc72775245"/>
      <w:bookmarkStart w:id="5" w:name="_Toc40281691"/>
      <w:bookmarkStart w:id="6" w:name="_Toc28003868"/>
      <w:r>
        <w:rPr>
          <w:rFonts w:ascii="Nimbus Roman No9 L" w:eastAsia="黑体" w:hAnsi="Nimbus Roman No9 L" w:cs="Nimbus Roman No9 L"/>
          <w:sz w:val="32"/>
          <w:szCs w:val="32"/>
        </w:rPr>
        <w:t>一、</w:t>
      </w:r>
      <w:r>
        <w:rPr>
          <w:rFonts w:ascii="Nimbus Roman No9 L" w:eastAsia="黑体" w:hAnsi="Nimbus Roman No9 L" w:cs="Nimbus Roman No9 L"/>
          <w:sz w:val="32"/>
          <w:szCs w:val="32"/>
        </w:rPr>
        <w:t>“</w:t>
      </w:r>
      <w:r>
        <w:rPr>
          <w:rFonts w:ascii="Nimbus Roman No9 L" w:eastAsia="黑体" w:hAnsi="Nimbus Roman No9 L" w:cs="Nimbus Roman No9 L"/>
          <w:sz w:val="32"/>
          <w:szCs w:val="32"/>
        </w:rPr>
        <w:t>十三五</w:t>
      </w:r>
      <w:r>
        <w:rPr>
          <w:rFonts w:ascii="Nimbus Roman No9 L" w:eastAsia="黑体" w:hAnsi="Nimbus Roman No9 L" w:cs="Nimbus Roman No9 L"/>
          <w:sz w:val="32"/>
          <w:szCs w:val="32"/>
        </w:rPr>
        <w:t>”</w:t>
      </w:r>
      <w:r>
        <w:rPr>
          <w:rFonts w:ascii="Nimbus Roman No9 L" w:eastAsia="黑体" w:hAnsi="Nimbus Roman No9 L" w:cs="Nimbus Roman No9 L"/>
          <w:sz w:val="32"/>
          <w:szCs w:val="32"/>
        </w:rPr>
        <w:t>时期发展回顾</w:t>
      </w:r>
      <w:bookmarkEnd w:id="0"/>
      <w:bookmarkEnd w:id="1"/>
    </w:p>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bookmarkStart w:id="7" w:name="_Toc4298"/>
      <w:bookmarkStart w:id="8" w:name="_Toc40281704"/>
      <w:bookmarkStart w:id="9" w:name="_Toc5180"/>
      <w:bookmarkStart w:id="10" w:name="_Toc18333"/>
      <w:bookmarkStart w:id="11" w:name="_Toc7822"/>
      <w:bookmarkStart w:id="12" w:name="_Toc40287036"/>
      <w:r>
        <w:rPr>
          <w:rFonts w:ascii="Nimbus Roman No9 L" w:eastAsia="楷体" w:hAnsi="Nimbus Roman No9 L" w:cs="Nimbus Roman No9 L"/>
          <w:sz w:val="32"/>
          <w:szCs w:val="32"/>
        </w:rPr>
        <w:t>（一）</w:t>
      </w:r>
      <w:r>
        <w:rPr>
          <w:rFonts w:ascii="Nimbus Roman No9 L" w:eastAsia="楷体" w:hAnsi="Nimbus Roman No9 L" w:cs="Nimbus Roman No9 L"/>
          <w:sz w:val="32"/>
          <w:szCs w:val="32"/>
        </w:rPr>
        <w:t>“</w:t>
      </w:r>
      <w:r>
        <w:rPr>
          <w:rFonts w:ascii="Nimbus Roman No9 L" w:eastAsia="楷体" w:hAnsi="Nimbus Roman No9 L" w:cs="Nimbus Roman No9 L"/>
          <w:sz w:val="32"/>
          <w:szCs w:val="32"/>
        </w:rPr>
        <w:t>十三五</w:t>
      </w:r>
      <w:r>
        <w:rPr>
          <w:rFonts w:ascii="Nimbus Roman No9 L" w:eastAsia="楷体" w:hAnsi="Nimbus Roman No9 L" w:cs="Nimbus Roman No9 L"/>
          <w:sz w:val="32"/>
          <w:szCs w:val="32"/>
        </w:rPr>
        <w:t>”</w:t>
      </w:r>
      <w:r>
        <w:rPr>
          <w:rFonts w:ascii="Nimbus Roman No9 L" w:eastAsia="楷体" w:hAnsi="Nimbus Roman No9 L" w:cs="Nimbus Roman No9 L"/>
          <w:sz w:val="32"/>
          <w:szCs w:val="32"/>
        </w:rPr>
        <w:t>时期固定资产投资现状</w:t>
      </w:r>
      <w:bookmarkEnd w:id="7"/>
      <w:bookmarkEnd w:id="8"/>
      <w:bookmarkEnd w:id="9"/>
      <w:bookmarkEnd w:id="10"/>
      <w:bookmarkEnd w:id="11"/>
      <w:bookmarkEnd w:id="12"/>
    </w:p>
    <w:p w:rsidR="008C1560" w:rsidRDefault="00BA3517" w:rsidP="009D3EED">
      <w:pPr>
        <w:spacing w:line="580" w:lineRule="exact"/>
        <w:ind w:firstLineChars="196" w:firstLine="628"/>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、固定资产投资趋势波动性较大。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时期，由于</w:t>
      </w:r>
      <w:r>
        <w:rPr>
          <w:rFonts w:ascii="Nimbus Roman No9 L" w:eastAsia="仿宋_GB2312" w:hAnsi="Nimbus Roman No9 L" w:cs="Nimbus Roman No9 L"/>
          <w:sz w:val="32"/>
          <w:szCs w:val="32"/>
        </w:rPr>
        <w:t>2017</w:t>
      </w:r>
      <w:r>
        <w:rPr>
          <w:rFonts w:ascii="Nimbus Roman No9 L" w:eastAsia="仿宋_GB2312" w:hAnsi="Nimbus Roman No9 L" w:cs="Nimbus Roman No9 L"/>
          <w:sz w:val="32"/>
          <w:szCs w:val="32"/>
        </w:rPr>
        <w:t>年统计口径的调整，新区固定资产投资呈急剧增长后急速下降后又稳步增长的趋势。</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时期，新区在交通设施、生态环境、产业发展的投资领域均有较大的成就，形成了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空铁陆海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立体化</w:t>
      </w:r>
      <w:r>
        <w:rPr>
          <w:rFonts w:ascii="Nimbus Roman No9 L" w:eastAsia="仿宋_GB2312" w:hAnsi="Nimbus Roman No9 L" w:cs="Nimbus Roman No9 L"/>
          <w:sz w:val="32"/>
          <w:szCs w:val="32"/>
        </w:rPr>
        <w:lastRenderedPageBreak/>
        <w:t>的交通网络；形成了以航空航天、汽车、装备制造、新材料、生物医药等优势产业为主的产业集群，新科技产业领域快速发展并形成高端引领态势。</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、分行业固定资产投资整体增长趋势明显。</w:t>
      </w:r>
      <w:r>
        <w:rPr>
          <w:rFonts w:ascii="Nimbus Roman No9 L" w:eastAsia="仿宋_GB2312" w:hAnsi="Nimbus Roman No9 L" w:cs="Nimbus Roman No9 L"/>
          <w:sz w:val="32"/>
          <w:szCs w:val="32"/>
        </w:rPr>
        <w:t>从</w:t>
      </w:r>
      <w:r>
        <w:rPr>
          <w:rFonts w:ascii="Nimbus Roman No9 L" w:eastAsia="仿宋_GB2312" w:hAnsi="Nimbus Roman No9 L" w:cs="Nimbus Roman No9 L"/>
          <w:sz w:val="32"/>
          <w:szCs w:val="32"/>
        </w:rPr>
        <w:t>2016-2020</w:t>
      </w:r>
      <w:r>
        <w:rPr>
          <w:rFonts w:ascii="Nimbus Roman No9 L" w:eastAsia="仿宋_GB2312" w:hAnsi="Nimbus Roman No9 L" w:cs="Nimbus Roman No9 L"/>
          <w:sz w:val="32"/>
          <w:szCs w:val="32"/>
        </w:rPr>
        <w:t>年分行业固定资产投资情况来看，三次产业固定资产投资总量基本呈上升趋势，其中，三产和一产固定资产投资增长趋势显著，二产固定资产投资增长比较稳定。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十三五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滨海新区形成了现代服务经济体系，现代物流、现代金融、国际贸易等生产性服务业，以及休闲旅游、现代商贸、住宿餐饮等生活性服务业都得到了大力发展，综合服务功能进一步提升，逐步形成与繁荣宜居智慧新城相适应的服务经济体系。</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、由政府投资为主向以社会投资为主的投融资模式转型。</w:t>
      </w:r>
      <w:r>
        <w:rPr>
          <w:rFonts w:ascii="Nimbus Roman No9 L" w:eastAsia="仿宋_GB2312" w:hAnsi="Nimbus Roman No9 L" w:cs="Nimbus Roman No9 L"/>
          <w:sz w:val="32"/>
          <w:szCs w:val="32"/>
        </w:rPr>
        <w:t>新区固定资产投资资金主要来源于政府和社会资本投资，社会资本投资呈现逐年增长的趋势，为进一步激发社会资本投资活力，</w:t>
      </w:r>
      <w:r>
        <w:rPr>
          <w:rFonts w:ascii="Nimbus Roman No9 L" w:eastAsia="仿宋_GB2312" w:hAnsi="Nimbus Roman No9 L" w:cs="Nimbus Roman No9 L"/>
          <w:sz w:val="32"/>
          <w:szCs w:val="32"/>
        </w:rPr>
        <w:t>2019</w:t>
      </w:r>
      <w:r>
        <w:rPr>
          <w:rFonts w:ascii="Nimbus Roman No9 L" w:eastAsia="仿宋_GB2312" w:hAnsi="Nimbus Roman No9 L" w:cs="Nimbus Roman No9 L"/>
          <w:sz w:val="32"/>
          <w:szCs w:val="32"/>
        </w:rPr>
        <w:t>年，滨海新区</w:t>
      </w:r>
      <w:bookmarkStart w:id="13" w:name="_GoBack"/>
      <w:bookmarkEnd w:id="13"/>
      <w:r>
        <w:rPr>
          <w:rFonts w:ascii="Nimbus Roman No9 L" w:eastAsia="仿宋_GB2312" w:hAnsi="Nimbus Roman No9 L" w:cs="Nimbus Roman No9 L"/>
          <w:sz w:val="32"/>
          <w:szCs w:val="32"/>
        </w:rPr>
        <w:t>政府和社会资本合作（</w:t>
      </w:r>
      <w:r>
        <w:rPr>
          <w:rFonts w:ascii="Nimbus Roman No9 L" w:eastAsia="仿宋_GB2312" w:hAnsi="Nimbus Roman No9 L" w:cs="Nimbus Roman No9 L"/>
          <w:sz w:val="32"/>
          <w:szCs w:val="32"/>
        </w:rPr>
        <w:t>PPP</w:t>
      </w:r>
      <w:r>
        <w:rPr>
          <w:rFonts w:ascii="Nimbus Roman No9 L" w:eastAsia="仿宋_GB2312" w:hAnsi="Nimbus Roman No9 L" w:cs="Nimbus Roman No9 L"/>
          <w:sz w:val="32"/>
          <w:szCs w:val="32"/>
        </w:rPr>
        <w:t>）项目推介会，共发布了</w:t>
      </w:r>
      <w:r>
        <w:rPr>
          <w:rFonts w:ascii="Nimbus Roman No9 L" w:eastAsia="仿宋_GB2312" w:hAnsi="Nimbus Roman No9 L" w:cs="Nimbus Roman No9 L"/>
          <w:sz w:val="32"/>
          <w:szCs w:val="32"/>
        </w:rPr>
        <w:t>40</w:t>
      </w:r>
      <w:r>
        <w:rPr>
          <w:rFonts w:ascii="Nimbus Roman No9 L" w:eastAsia="仿宋_GB2312" w:hAnsi="Nimbus Roman No9 L" w:cs="Nimbus Roman No9 L"/>
          <w:sz w:val="32"/>
          <w:szCs w:val="32"/>
        </w:rPr>
        <w:t>个</w:t>
      </w:r>
      <w:r>
        <w:rPr>
          <w:rFonts w:ascii="Nimbus Roman No9 L" w:eastAsia="仿宋_GB2312" w:hAnsi="Nimbus Roman No9 L" w:cs="Nimbus Roman No9 L"/>
          <w:sz w:val="32"/>
          <w:szCs w:val="32"/>
        </w:rPr>
        <w:t>PPP</w:t>
      </w:r>
      <w:r>
        <w:rPr>
          <w:rFonts w:ascii="Nimbus Roman No9 L" w:eastAsia="仿宋_GB2312" w:hAnsi="Nimbus Roman No9 L" w:cs="Nimbus Roman No9 L"/>
          <w:sz w:val="32"/>
          <w:szCs w:val="32"/>
        </w:rPr>
        <w:t>项目，总投资</w:t>
      </w:r>
      <w:r>
        <w:rPr>
          <w:rFonts w:ascii="Nimbus Roman No9 L" w:eastAsia="仿宋_GB2312" w:hAnsi="Nimbus Roman No9 L" w:cs="Nimbus Roman No9 L"/>
          <w:sz w:val="32"/>
          <w:szCs w:val="32"/>
        </w:rPr>
        <w:t>1000</w:t>
      </w:r>
      <w:r>
        <w:rPr>
          <w:rFonts w:ascii="Nimbus Roman No9 L" w:eastAsia="仿宋_GB2312" w:hAnsi="Nimbus Roman No9 L" w:cs="Nimbus Roman No9 L"/>
          <w:sz w:val="32"/>
          <w:szCs w:val="32"/>
        </w:rPr>
        <w:t>亿元，涉及轨道交通、市政基础设施、环保、卫生、教育、片区开发、保障性住房等多个领域。滨海新区持续优化民间投资健康发展环境，调动民间投资积极性，充分发挥投资对优化供给结构的关键性作用。</w:t>
      </w:r>
    </w:p>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bookmarkStart w:id="14" w:name="_Toc17677"/>
      <w:bookmarkStart w:id="15" w:name="_Toc11290"/>
      <w:bookmarkStart w:id="16" w:name="_Toc40281705"/>
      <w:bookmarkStart w:id="17" w:name="_Toc24558"/>
      <w:bookmarkStart w:id="18" w:name="_Toc40287037"/>
      <w:bookmarkStart w:id="19" w:name="_Toc30540"/>
      <w:r>
        <w:rPr>
          <w:rFonts w:ascii="Nimbus Roman No9 L" w:eastAsia="楷体" w:hAnsi="Nimbus Roman No9 L" w:cs="Nimbus Roman No9 L"/>
          <w:sz w:val="32"/>
          <w:szCs w:val="32"/>
        </w:rPr>
        <w:t>（二）</w:t>
      </w:r>
      <w:r>
        <w:rPr>
          <w:rFonts w:ascii="Nimbus Roman No9 L" w:eastAsia="楷体" w:hAnsi="Nimbus Roman No9 L" w:cs="Nimbus Roman No9 L"/>
          <w:sz w:val="32"/>
          <w:szCs w:val="32"/>
        </w:rPr>
        <w:t>“</w:t>
      </w:r>
      <w:r>
        <w:rPr>
          <w:rFonts w:ascii="Nimbus Roman No9 L" w:eastAsia="楷体" w:hAnsi="Nimbus Roman No9 L" w:cs="Nimbus Roman No9 L"/>
          <w:sz w:val="32"/>
          <w:szCs w:val="32"/>
        </w:rPr>
        <w:t>十三五</w:t>
      </w:r>
      <w:r>
        <w:rPr>
          <w:rFonts w:ascii="Nimbus Roman No9 L" w:eastAsia="楷体" w:hAnsi="Nimbus Roman No9 L" w:cs="Nimbus Roman No9 L"/>
          <w:sz w:val="32"/>
          <w:szCs w:val="32"/>
        </w:rPr>
        <w:t>”</w:t>
      </w:r>
      <w:r>
        <w:rPr>
          <w:rFonts w:ascii="Nimbus Roman No9 L" w:eastAsia="楷体" w:hAnsi="Nimbus Roman No9 L" w:cs="Nimbus Roman No9 L"/>
          <w:sz w:val="32"/>
          <w:szCs w:val="32"/>
        </w:rPr>
        <w:t>期间固定资产投资存在问题</w:t>
      </w:r>
      <w:bookmarkEnd w:id="14"/>
      <w:bookmarkEnd w:id="15"/>
      <w:bookmarkEnd w:id="16"/>
      <w:bookmarkEnd w:id="17"/>
      <w:bookmarkEnd w:id="18"/>
      <w:bookmarkEnd w:id="19"/>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、新区仍处于</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投资拉动</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阶段。</w:t>
      </w:r>
      <w:r>
        <w:rPr>
          <w:rFonts w:ascii="Nimbus Roman No9 L" w:eastAsia="仿宋_GB2312" w:hAnsi="Nimbus Roman No9 L" w:cs="Nimbus Roman No9 L"/>
          <w:sz w:val="32"/>
          <w:szCs w:val="32"/>
        </w:rPr>
        <w:t>目前新区仍然属于投资拉</w:t>
      </w:r>
      <w:r>
        <w:rPr>
          <w:rFonts w:ascii="Nimbus Roman No9 L" w:eastAsia="仿宋_GB2312" w:hAnsi="Nimbus Roman No9 L" w:cs="Nimbus Roman No9 L"/>
          <w:sz w:val="32"/>
          <w:szCs w:val="32"/>
        </w:rPr>
        <w:lastRenderedPageBreak/>
        <w:t>动转型阶段。从新区作为国家发展战略承担的任务和城市发展的需要看，新区发展仍需进一步扩大投资和精准有效投资。</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、产业结构优化仍有调整空间。</w:t>
      </w:r>
      <w:r>
        <w:rPr>
          <w:rFonts w:ascii="Nimbus Roman No9 L" w:eastAsia="仿宋_GB2312" w:hAnsi="Nimbus Roman No9 L" w:cs="Nimbus Roman No9 L"/>
          <w:sz w:val="32"/>
          <w:szCs w:val="32"/>
        </w:rPr>
        <w:t>目前，滨海新区已经形成以第三产业为主导的投资格局，但从产业结构看，固定投资各行业之间还不太均衡。新区的投资呈现强度依赖房地产开发的趋势，依托房地产开发投资的投资结构的可持续性不强，应积极调整产业投资结构。</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b/>
          <w:bCs/>
          <w:sz w:val="32"/>
          <w:szCs w:val="32"/>
        </w:rPr>
        <w:t>、社会资本投资活力仍有待激发。</w:t>
      </w:r>
      <w:r>
        <w:rPr>
          <w:rFonts w:ascii="Nimbus Roman No9 L" w:eastAsia="仿宋_GB2312" w:hAnsi="Nimbus Roman No9 L" w:cs="Nimbus Roman No9 L"/>
          <w:sz w:val="32"/>
          <w:szCs w:val="32"/>
        </w:rPr>
        <w:t>滨海新区</w:t>
      </w:r>
      <w:r>
        <w:rPr>
          <w:rFonts w:ascii="Nimbus Roman No9 L" w:eastAsia="仿宋_GB2312" w:hAnsi="Nimbus Roman No9 L" w:cs="Nimbus Roman No9 L"/>
          <w:sz w:val="32"/>
          <w:szCs w:val="32"/>
        </w:rPr>
        <w:t>2012</w:t>
      </w:r>
      <w:r>
        <w:rPr>
          <w:rFonts w:ascii="Nimbus Roman No9 L" w:eastAsia="仿宋_GB2312" w:hAnsi="Nimbus Roman No9 L" w:cs="Nimbus Roman No9 L"/>
          <w:sz w:val="32"/>
          <w:szCs w:val="32"/>
        </w:rPr>
        <w:t>至</w:t>
      </w:r>
      <w:r>
        <w:rPr>
          <w:rFonts w:ascii="Nimbus Roman No9 L" w:eastAsia="仿宋_GB2312" w:hAnsi="Nimbus Roman No9 L" w:cs="Nimbus Roman No9 L"/>
          <w:sz w:val="32"/>
          <w:szCs w:val="32"/>
        </w:rPr>
        <w:t>2017</w:t>
      </w:r>
      <w:r>
        <w:rPr>
          <w:rFonts w:ascii="Nimbus Roman No9 L" w:eastAsia="仿宋_GB2312" w:hAnsi="Nimbus Roman No9 L" w:cs="Nimbus Roman No9 L"/>
          <w:sz w:val="32"/>
          <w:szCs w:val="32"/>
        </w:rPr>
        <w:t>年，社会资本投资占比逐渐下降。社会资本投资活力还有待激发，此外，还存在房地产企业占比较重等现象。</w:t>
      </w:r>
    </w:p>
    <w:p w:rsidR="008C1560" w:rsidRDefault="00BA3517">
      <w:pPr>
        <w:spacing w:line="580" w:lineRule="exact"/>
        <w:ind w:firstLineChars="200" w:firstLine="640"/>
        <w:outlineLvl w:val="0"/>
        <w:rPr>
          <w:rFonts w:ascii="Nimbus Roman No9 L" w:eastAsia="黑体" w:hAnsi="Nimbus Roman No9 L" w:cs="Nimbus Roman No9 L" w:hint="eastAsia"/>
          <w:sz w:val="32"/>
          <w:szCs w:val="32"/>
        </w:rPr>
      </w:pPr>
      <w:bookmarkStart w:id="20" w:name="_Toc6089"/>
      <w:r>
        <w:rPr>
          <w:rFonts w:ascii="Nimbus Roman No9 L" w:eastAsia="黑体" w:hAnsi="Nimbus Roman No9 L" w:cs="Nimbus Roman No9 L"/>
          <w:sz w:val="32"/>
          <w:szCs w:val="32"/>
        </w:rPr>
        <w:t>二、</w:t>
      </w:r>
      <w:r>
        <w:rPr>
          <w:rFonts w:ascii="Nimbus Roman No9 L" w:eastAsia="黑体" w:hAnsi="Nimbus Roman No9 L" w:cs="Nimbus Roman No9 L"/>
          <w:sz w:val="32"/>
          <w:szCs w:val="32"/>
        </w:rPr>
        <w:t>“</w:t>
      </w:r>
      <w:r>
        <w:rPr>
          <w:rFonts w:ascii="Nimbus Roman No9 L" w:eastAsia="黑体" w:hAnsi="Nimbus Roman No9 L" w:cs="Nimbus Roman No9 L"/>
          <w:sz w:val="32"/>
          <w:szCs w:val="32"/>
        </w:rPr>
        <w:t>十四五</w:t>
      </w:r>
      <w:r>
        <w:rPr>
          <w:rFonts w:ascii="Nimbus Roman No9 L" w:eastAsia="黑体" w:hAnsi="Nimbus Roman No9 L" w:cs="Nimbus Roman No9 L"/>
          <w:sz w:val="32"/>
          <w:szCs w:val="32"/>
        </w:rPr>
        <w:t>”</w:t>
      </w:r>
      <w:r>
        <w:rPr>
          <w:rFonts w:ascii="Nimbus Roman No9 L" w:eastAsia="黑体" w:hAnsi="Nimbus Roman No9 L" w:cs="Nimbus Roman No9 L"/>
          <w:sz w:val="32"/>
          <w:szCs w:val="32"/>
        </w:rPr>
        <w:t>时期宏观形势</w:t>
      </w:r>
      <w:bookmarkEnd w:id="2"/>
      <w:bookmarkEnd w:id="3"/>
      <w:bookmarkEnd w:id="4"/>
      <w:bookmarkEnd w:id="5"/>
      <w:bookmarkEnd w:id="6"/>
      <w:bookmarkEnd w:id="20"/>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21" w:name="_Toc28003871"/>
      <w:bookmarkStart w:id="22" w:name="_Toc72775247"/>
      <w:bookmarkStart w:id="23" w:name="_Toc40287034"/>
      <w:bookmarkStart w:id="24" w:name="_Toc40281693"/>
      <w:bookmarkStart w:id="25" w:name="_Toc28003943"/>
      <w:r>
        <w:rPr>
          <w:rFonts w:ascii="Nimbus Roman No9 L" w:eastAsia="仿宋_GB2312" w:hAnsi="Nimbus Roman No9 L" w:cs="Nimbus Roman No9 L"/>
          <w:b/>
          <w:bCs/>
          <w:sz w:val="32"/>
          <w:szCs w:val="32"/>
        </w:rPr>
        <w:t>从国际看，</w:t>
      </w:r>
      <w:r>
        <w:rPr>
          <w:rFonts w:ascii="Nimbus Roman No9 L" w:eastAsia="仿宋_GB2312" w:hAnsi="Nimbus Roman No9 L" w:cs="Nimbus Roman No9 L"/>
          <w:sz w:val="32"/>
          <w:szCs w:val="32"/>
        </w:rPr>
        <w:t>宏观经济与疫情冲击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三期叠加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耦合，倒逼中国经济高质量发展。面对中美经贸摩擦和全球经济增长放缓以及疫情冲击的三期叠加，为我国对冲经济下行，保持经济合理运行，化危机为结构调整和高质量转型带来新动力和新挑战。在新常态下，我国经济发展的环境、条件、任务、要求等都发生了新的变化，增长速度从高速转向中高速，发展方式从规模速度型转向质量效率型，经济结构调整从增量扩能为主转向调整存量、做优增量并举，发展动力从主要依靠资源和低成本劳动力等要素投入转向创新驱动。疫情防控带来短期冲击，地缘经济危机、全球产业链萎缩等潜在风险不容忽视。疫情与产业布局呈现周期性特征，</w:t>
      </w:r>
      <w:r>
        <w:rPr>
          <w:rFonts w:ascii="Nimbus Roman No9 L" w:eastAsia="仿宋_GB2312" w:hAnsi="Nimbus Roman No9 L" w:cs="Nimbus Roman No9 L"/>
          <w:sz w:val="32"/>
          <w:szCs w:val="32"/>
        </w:rPr>
        <w:lastRenderedPageBreak/>
        <w:t>“</w:t>
      </w:r>
      <w:r>
        <w:rPr>
          <w:rFonts w:ascii="Nimbus Roman No9 L" w:eastAsia="仿宋_GB2312" w:hAnsi="Nimbus Roman No9 L" w:cs="Nimbus Roman No9 L"/>
          <w:sz w:val="32"/>
          <w:szCs w:val="32"/>
        </w:rPr>
        <w:t>新基建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成为宏观稳定的重要支点，后疫情期，随着逆周期调节力度加大，产业链修复、资本市场利好和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新基建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等多项举措正在发挥作用。</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从国内看，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稳投资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政策驱动固定资产投资结构化调整。中央经济工作会对新时期的区域经济发展、房地产政策、产业政策、财政政策、货币政策等方面进行了部署和要求。房地产政策方面，要求加强城市更新和存量住房改造提升。产业政策方面，支持战略性产业发展，推进传统制造业优化升级，推进旅游业高质量发展，引导资金投向供需共同受益、具有乘数效应的先进制造、民生建设、基础设施短板等领域，促进产业和消费双升级。财政政策方面，大力提质增效，更加注重结构调整，做好重点领域保障，支持基层保工资、保运转、保基本民生，大力优化财政支出结构。</w:t>
      </w:r>
      <w:r>
        <w:rPr>
          <w:rFonts w:ascii="Nimbus Roman No9 L" w:eastAsia="仿宋_GB2312" w:hAnsi="Nimbus Roman No9 L" w:cs="Nimbus Roman No9 L"/>
          <w:sz w:val="32"/>
          <w:szCs w:val="32"/>
        </w:rPr>
        <w:t>2020</w:t>
      </w:r>
      <w:r>
        <w:rPr>
          <w:rFonts w:ascii="Nimbus Roman No9 L" w:eastAsia="仿宋_GB2312" w:hAnsi="Nimbus Roman No9 L" w:cs="Nimbus Roman No9 L"/>
          <w:sz w:val="32"/>
          <w:szCs w:val="32"/>
        </w:rPr>
        <w:t>年</w:t>
      </w:r>
      <w:r>
        <w:rPr>
          <w:rFonts w:ascii="Nimbus Roman No9 L" w:eastAsia="仿宋_GB2312" w:hAnsi="Nimbus Roman No9 L" w:cs="Nimbus Roman No9 L"/>
          <w:sz w:val="32"/>
          <w:szCs w:val="32"/>
        </w:rPr>
        <w:t>327</w:t>
      </w:r>
      <w:r>
        <w:rPr>
          <w:rFonts w:ascii="Nimbus Roman No9 L" w:eastAsia="仿宋_GB2312" w:hAnsi="Nimbus Roman No9 L" w:cs="Nimbus Roman No9 L"/>
          <w:sz w:val="32"/>
          <w:szCs w:val="32"/>
        </w:rPr>
        <w:t>中央政治局会议明确提出扩大内需，启动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一轮基建，以财政政策为主、货币政策为辅，对冲经济下行，让</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新基建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真正起到稳增长、补短板、调结构、促创新、惠民生的重大作用。</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从全市看，</w:t>
      </w:r>
      <w:r>
        <w:rPr>
          <w:rFonts w:ascii="Nimbus Roman No9 L" w:eastAsia="仿宋_GB2312" w:hAnsi="Nimbus Roman No9 L" w:cs="Nimbus Roman No9 L"/>
          <w:sz w:val="32"/>
          <w:szCs w:val="32"/>
        </w:rPr>
        <w:t>天津开启全面建设社会主义现代化大都市新征程，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津城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城发展布局正在加速形成，投资体系向生态环保、重大基础设施、战略性新兴产业、新基建方向发生了结构化调整的趋势。其中生态环保领域更加倾向于跨区域的生态环境协同治理，推动构建完整生态空间布局。更加聚焦新一代城市基</w:t>
      </w:r>
      <w:r>
        <w:rPr>
          <w:rFonts w:ascii="Nimbus Roman No9 L" w:eastAsia="仿宋_GB2312" w:hAnsi="Nimbus Roman No9 L" w:cs="Nimbus Roman No9 L"/>
          <w:sz w:val="32"/>
          <w:szCs w:val="32"/>
        </w:rPr>
        <w:lastRenderedPageBreak/>
        <w:t>础设施建设，</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特高压、城际高速和轨道交通、新能源充电桩、大数据中心、人工智能、工业互联网为主的新基建七大领域，不断为产业与城市实现数字化、智能化升级提供服务。产业投资由产业规模化发展向高质量发展及产业转型升级调整，更加鼓励推动战略性新兴产业投资领域。</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从新区看，</w:t>
      </w:r>
      <w:r>
        <w:rPr>
          <w:rFonts w:ascii="Nimbus Roman No9 L" w:eastAsia="仿宋_GB2312" w:hAnsi="Nimbus Roman No9 L" w:cs="Nimbus Roman No9 L"/>
          <w:sz w:val="32"/>
          <w:szCs w:val="32"/>
        </w:rPr>
        <w:t>新区肩负国家与天津市赋予实现高质量发展的重要使命，作为京津冀和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三北</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地区扩大对外开放的通道，是面向全球特别是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一带一路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沿线国家和地区组织要素资源的北方门户。新区正逐步成为中国北方的区域资金、产业、技术、企业、人才等要素融入国际经济体系，参与国际竞争与合作的要冲和通道。滨海新区已经具备经济引领功能，形成了高度开放的经济体系，正在力争成为中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全球资源配置的窗口</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p>
    <w:p w:rsidR="008C1560" w:rsidRDefault="00BA3517">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综合判断，</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时期，新区扩大投资面临的宏观形势总体有利，需要以更开阔的视野和思路策划谋划重大项目，努力实现建设生态、智慧、港产城融合的宜居宜业美丽滨海新城的发展目标。</w:t>
      </w:r>
    </w:p>
    <w:p w:rsidR="008C1560" w:rsidRDefault="00BA3517">
      <w:pPr>
        <w:spacing w:line="580" w:lineRule="exact"/>
        <w:ind w:firstLineChars="200" w:firstLine="640"/>
        <w:outlineLvl w:val="0"/>
        <w:rPr>
          <w:rFonts w:ascii="Nimbus Roman No9 L" w:eastAsia="黑体" w:hAnsi="Nimbus Roman No9 L" w:cs="Nimbus Roman No9 L" w:hint="eastAsia"/>
          <w:sz w:val="32"/>
          <w:szCs w:val="32"/>
        </w:rPr>
      </w:pPr>
      <w:bookmarkStart w:id="26" w:name="_Toc28003877"/>
      <w:bookmarkStart w:id="27" w:name="_Toc28003949"/>
      <w:bookmarkStart w:id="28" w:name="_Toc40281710"/>
      <w:bookmarkStart w:id="29" w:name="_Toc72775248"/>
      <w:bookmarkStart w:id="30" w:name="_Toc40287038"/>
      <w:bookmarkStart w:id="31" w:name="_Toc11687"/>
      <w:bookmarkEnd w:id="21"/>
      <w:bookmarkEnd w:id="22"/>
      <w:bookmarkEnd w:id="23"/>
      <w:bookmarkEnd w:id="24"/>
      <w:bookmarkEnd w:id="25"/>
      <w:r>
        <w:rPr>
          <w:rFonts w:ascii="Nimbus Roman No9 L" w:eastAsia="黑体" w:hAnsi="Nimbus Roman No9 L" w:cs="Nimbus Roman No9 L"/>
          <w:sz w:val="32"/>
          <w:szCs w:val="32"/>
        </w:rPr>
        <w:t>三、</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十四五</w:t>
      </w:r>
      <w:r>
        <w:rPr>
          <w:rFonts w:ascii="Nimbus Roman No9 L" w:eastAsia="黑体" w:hAnsi="Nimbus Roman No9 L" w:cs="Nimbus Roman No9 L"/>
          <w:sz w:val="32"/>
          <w:szCs w:val="32"/>
        </w:rPr>
        <w:t>”</w:t>
      </w:r>
      <w:r>
        <w:rPr>
          <w:rFonts w:ascii="Nimbus Roman No9 L" w:eastAsia="黑体" w:hAnsi="Nimbus Roman No9 L" w:cs="Nimbus Roman No9 L"/>
          <w:sz w:val="32"/>
          <w:szCs w:val="32"/>
        </w:rPr>
        <w:t>时期总体思路</w:t>
      </w:r>
      <w:bookmarkEnd w:id="26"/>
      <w:bookmarkEnd w:id="27"/>
      <w:bookmarkEnd w:id="28"/>
      <w:r>
        <w:rPr>
          <w:rFonts w:ascii="Nimbus Roman No9 L" w:eastAsia="黑体" w:hAnsi="Nimbus Roman No9 L" w:cs="Nimbus Roman No9 L"/>
          <w:sz w:val="32"/>
          <w:szCs w:val="32"/>
        </w:rPr>
        <w:t>及发展目标</w:t>
      </w:r>
      <w:bookmarkEnd w:id="29"/>
      <w:bookmarkEnd w:id="30"/>
      <w:bookmarkEnd w:id="31"/>
    </w:p>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bookmarkStart w:id="32" w:name="_Toc28003878"/>
      <w:bookmarkStart w:id="33" w:name="_Toc40281711"/>
      <w:bookmarkStart w:id="34" w:name="_Toc13372"/>
      <w:bookmarkStart w:id="35" w:name="_Toc28003950"/>
      <w:bookmarkStart w:id="36" w:name="_Toc491"/>
      <w:bookmarkStart w:id="37" w:name="_Toc40287039"/>
      <w:bookmarkStart w:id="38" w:name="_Toc72775249"/>
      <w:bookmarkStart w:id="39" w:name="_Hlk27985421"/>
      <w:r>
        <w:rPr>
          <w:rFonts w:ascii="Nimbus Roman No9 L" w:eastAsia="楷体" w:hAnsi="Nimbus Roman No9 L" w:cs="Nimbus Roman No9 L"/>
          <w:sz w:val="32"/>
          <w:szCs w:val="32"/>
        </w:rPr>
        <w:t>（一）总体思路</w:t>
      </w:r>
      <w:bookmarkEnd w:id="32"/>
      <w:bookmarkEnd w:id="33"/>
      <w:bookmarkEnd w:id="34"/>
      <w:bookmarkEnd w:id="35"/>
      <w:bookmarkEnd w:id="36"/>
      <w:bookmarkEnd w:id="37"/>
      <w:bookmarkEnd w:id="38"/>
    </w:p>
    <w:p w:rsidR="008C1560" w:rsidRDefault="00BA3517">
      <w:pPr>
        <w:spacing w:line="580" w:lineRule="exact"/>
        <w:ind w:firstLineChars="200" w:firstLine="640"/>
        <w:outlineLvl w:val="1"/>
        <w:rPr>
          <w:rFonts w:ascii="Nimbus Roman No9 L" w:eastAsia="仿宋_GB2312" w:hAnsi="Nimbus Roman No9 L" w:cs="Nimbus Roman No9 L" w:hint="eastAsia"/>
          <w:sz w:val="32"/>
          <w:szCs w:val="32"/>
        </w:rPr>
      </w:pPr>
      <w:bookmarkStart w:id="40" w:name="_Toc6674"/>
      <w:bookmarkStart w:id="41" w:name="_Toc32096"/>
      <w:bookmarkStart w:id="42" w:name="_Hlk36579600"/>
      <w:bookmarkStart w:id="43" w:name="_Toc40281712"/>
      <w:bookmarkStart w:id="44" w:name="_Toc40287040"/>
      <w:bookmarkStart w:id="45" w:name="_Toc72775250"/>
      <w:bookmarkStart w:id="46" w:name="_Toc28003951"/>
      <w:bookmarkStart w:id="47" w:name="_Toc28003879"/>
      <w:bookmarkEnd w:id="39"/>
      <w:r>
        <w:rPr>
          <w:rFonts w:ascii="Nimbus Roman No9 L" w:eastAsia="仿宋_GB2312" w:hAnsi="Nimbus Roman No9 L" w:cs="Nimbus Roman No9 L"/>
          <w:sz w:val="32"/>
          <w:szCs w:val="32"/>
        </w:rPr>
        <w:t>以习近平新时代中国特色社会主义思想为指导，全面贯彻党的十九大和十九届二中、三中、四中、五中全会精神，深入落实习近平总书记对天津工作提出的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三个着力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重要要求和一系列</w:t>
      </w:r>
      <w:r>
        <w:rPr>
          <w:rFonts w:ascii="Nimbus Roman No9 L" w:eastAsia="仿宋_GB2312" w:hAnsi="Nimbus Roman No9 L" w:cs="Nimbus Roman No9 L"/>
          <w:sz w:val="32"/>
          <w:szCs w:val="32"/>
        </w:rPr>
        <w:lastRenderedPageBreak/>
        <w:t>重要指示批示精神，坚持新发展理念，坚持高质量发展，深入落实</w:t>
      </w:r>
      <w:r>
        <w:rPr>
          <w:rFonts w:ascii="Nimbus Roman No9 L" w:eastAsia="仿宋_GB2312" w:hAnsi="Nimbus Roman No9 L" w:cs="Nimbus Roman No9 L" w:hint="eastAsia"/>
          <w:sz w:val="32"/>
          <w:szCs w:val="32"/>
        </w:rPr>
        <w:t>市委、</w:t>
      </w:r>
      <w:r>
        <w:rPr>
          <w:rFonts w:ascii="Nimbus Roman No9 L" w:eastAsia="仿宋_GB2312" w:hAnsi="Nimbus Roman No9 L" w:cs="Nimbus Roman No9 L"/>
          <w:sz w:val="32"/>
          <w:szCs w:val="32"/>
        </w:rPr>
        <w:t>市政府重大战略部署</w:t>
      </w:r>
      <w:r>
        <w:rPr>
          <w:rFonts w:ascii="Nimbus Roman No9 L" w:eastAsia="仿宋_GB2312" w:hAnsi="Nimbus Roman No9 L" w:cs="Nimbus Roman No9 L" w:hint="eastAsia"/>
          <w:sz w:val="32"/>
          <w:szCs w:val="32"/>
        </w:rPr>
        <w:t>，</w:t>
      </w:r>
      <w:r>
        <w:rPr>
          <w:rFonts w:ascii="Nimbus Roman No9 L" w:eastAsia="仿宋_GB2312" w:hAnsi="Nimbus Roman No9 L" w:cs="Nimbus Roman No9 L"/>
          <w:sz w:val="32"/>
          <w:szCs w:val="32"/>
        </w:rPr>
        <w:t>围绕建设生态、智慧、港产城融合的宜居宜业美丽滨海新城的发展目标，坚持国家重大方针及宏观政策导向、新区发展战略及定位导向、新区发展问题导向，围绕加速中心城市形态、加速导入人口、持续扩大实体经济的三大目标，确定向市场化投资领域、向生产性投资领域、向结构优化投资领域、向挖掘新区潜力四大领域倾斜的投资建设思路，</w:t>
      </w:r>
      <w:bookmarkStart w:id="48" w:name="_Hlk37676820"/>
      <w:r>
        <w:rPr>
          <w:rFonts w:ascii="Nimbus Roman No9 L" w:eastAsia="仿宋_GB2312" w:hAnsi="Nimbus Roman No9 L" w:cs="Nimbus Roman No9 L"/>
          <w:sz w:val="32"/>
          <w:szCs w:val="32"/>
        </w:rPr>
        <w:t>聚焦交通设施、生态、社会民生、产业发展等具体板块投资策划重点项目，努力实现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一基地三区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核心区功能。</w:t>
      </w:r>
      <w:bookmarkEnd w:id="40"/>
      <w:bookmarkEnd w:id="41"/>
    </w:p>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bookmarkStart w:id="49" w:name="_Toc11002"/>
      <w:bookmarkStart w:id="50" w:name="_Toc11258"/>
      <w:bookmarkEnd w:id="42"/>
      <w:bookmarkEnd w:id="48"/>
      <w:r>
        <w:rPr>
          <w:rFonts w:ascii="Nimbus Roman No9 L" w:eastAsia="楷体" w:hAnsi="Nimbus Roman No9 L" w:cs="Nimbus Roman No9 L"/>
          <w:sz w:val="32"/>
          <w:szCs w:val="32"/>
        </w:rPr>
        <w:t>（二）基本原则</w:t>
      </w:r>
      <w:bookmarkEnd w:id="43"/>
      <w:bookmarkEnd w:id="44"/>
      <w:bookmarkEnd w:id="45"/>
      <w:bookmarkEnd w:id="49"/>
      <w:bookmarkEnd w:id="50"/>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51" w:name="_Toc40287041"/>
      <w:bookmarkStart w:id="52" w:name="_Toc40281713"/>
      <w:bookmarkStart w:id="53" w:name="_Toc72775251"/>
      <w:bookmarkEnd w:id="46"/>
      <w:bookmarkEnd w:id="47"/>
      <w:r>
        <w:rPr>
          <w:rFonts w:ascii="Nimbus Roman No9 L" w:eastAsia="仿宋_GB2312" w:hAnsi="Nimbus Roman No9 L" w:cs="Nimbus Roman No9 L"/>
          <w:b/>
          <w:bCs/>
          <w:sz w:val="32"/>
          <w:szCs w:val="32"/>
        </w:rPr>
        <w:t>坚持问题导向与目标导向相结合。</w:t>
      </w:r>
      <w:r>
        <w:rPr>
          <w:rFonts w:ascii="Nimbus Roman No9 L" w:eastAsia="仿宋_GB2312" w:hAnsi="Nimbus Roman No9 L" w:cs="Nimbus Roman No9 L"/>
          <w:sz w:val="32"/>
          <w:szCs w:val="32"/>
        </w:rPr>
        <w:t>根据滨海新区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时期的建设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繁荣宜居智慧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的现代化滨海城市的战略定位，按照聚焦发展、高质量发展、新的城市发展要求，针对重点区域和重点领域，聚焦需求和短板，从完善城市功能布局、提升城市活力、促进产业发展等角度规划一批重大项目。</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坚持城市功能与社会发展相结合。</w:t>
      </w:r>
      <w:r>
        <w:rPr>
          <w:rFonts w:ascii="Nimbus Roman No9 L" w:eastAsia="仿宋_GB2312" w:hAnsi="Nimbus Roman No9 L" w:cs="Nimbus Roman No9 L"/>
          <w:sz w:val="32"/>
          <w:szCs w:val="32"/>
        </w:rPr>
        <w:t>适度超前规划，充分考虑新区近期和远期配套需求。立足新区新时代的城市功能定位，既满足近期城市发展需求的同时，充分考虑远期人口发展、民生改善、产业提升的配套功能，完善在城际铁路、城市轨道交通、公共交通、智慧服务、社会公共服务配套、产城融合等方面的功能布局，满足新区今后</w:t>
      </w:r>
      <w:r>
        <w:rPr>
          <w:rFonts w:ascii="Nimbus Roman No9 L" w:eastAsia="仿宋_GB2312" w:hAnsi="Nimbus Roman No9 L" w:cs="Nimbus Roman No9 L"/>
          <w:sz w:val="32"/>
          <w:szCs w:val="32"/>
        </w:rPr>
        <w:t>5-10</w:t>
      </w:r>
      <w:r>
        <w:rPr>
          <w:rFonts w:ascii="Nimbus Roman No9 L" w:eastAsia="仿宋_GB2312" w:hAnsi="Nimbus Roman No9 L" w:cs="Nimbus Roman No9 L"/>
          <w:sz w:val="32"/>
          <w:szCs w:val="32"/>
        </w:rPr>
        <w:t>年的社会发展要求。</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坚持新旧动能转换与产业高质量发展相结合。</w:t>
      </w:r>
      <w:r>
        <w:rPr>
          <w:rFonts w:ascii="Nimbus Roman No9 L" w:eastAsia="仿宋_GB2312" w:hAnsi="Nimbus Roman No9 L" w:cs="Nimbus Roman No9 L"/>
          <w:sz w:val="32"/>
          <w:szCs w:val="32"/>
        </w:rPr>
        <w:t>紧紧把握京津冀协同发展、</w:t>
      </w:r>
      <w:ins w:id="54" w:author="Windows 用户" w:date="2022-03-18T15:46:00Z">
        <w:r w:rsidR="009D3EED">
          <w:rPr>
            <w:rFonts w:ascii="Nimbus Roman No9 L" w:eastAsia="仿宋_GB2312" w:hAnsi="Nimbus Roman No9 L" w:cs="Nimbus Roman No9 L"/>
            <w:sz w:val="32"/>
            <w:szCs w:val="32"/>
          </w:rPr>
          <w:t>“</w:t>
        </w:r>
      </w:ins>
      <w:r>
        <w:rPr>
          <w:rFonts w:ascii="Nimbus Roman No9 L" w:eastAsia="仿宋_GB2312" w:hAnsi="Nimbus Roman No9 L" w:cs="Nimbus Roman No9 L"/>
          <w:sz w:val="32"/>
          <w:szCs w:val="32"/>
        </w:rPr>
        <w:t>一带一路</w:t>
      </w:r>
      <w:ins w:id="55" w:author="Windows 用户" w:date="2022-03-18T15:46:00Z">
        <w:r w:rsidR="009D3EED" w:rsidRPr="009D3EED">
          <w:rPr>
            <w:rFonts w:ascii="Nimbus Roman No9 L" w:eastAsia="仿宋_GB2312" w:hAnsi="Nimbus Roman No9 L" w:cs="Nimbus Roman No9 L"/>
            <w:sz w:val="32"/>
            <w:szCs w:val="32"/>
          </w:rPr>
          <w:t>”</w:t>
        </w:r>
      </w:ins>
      <w:r>
        <w:rPr>
          <w:rFonts w:ascii="Nimbus Roman No9 L" w:eastAsia="仿宋_GB2312" w:hAnsi="Nimbus Roman No9 L" w:cs="Nimbus Roman No9 L"/>
          <w:sz w:val="32"/>
          <w:szCs w:val="32"/>
        </w:rPr>
        <w:t>、产业高质量发展、战略性新兴产业发展的重大契机，充分结合新区自身产业发展基础，加快布局战略性新兴产业及智能经济，推动传统产业转型升级，积极推进文旅产业融合发展。积极承接非首都功能疏解，加快新旧动能转换力度，处理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承接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创新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的关系，对承接产业进行转化再造，加快对旧产业的智能化转型升级。</w:t>
      </w:r>
    </w:p>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bookmarkStart w:id="56" w:name="_Toc26333"/>
      <w:bookmarkStart w:id="57" w:name="_Toc26641"/>
      <w:r>
        <w:rPr>
          <w:rFonts w:ascii="Nimbus Roman No9 L" w:eastAsia="楷体" w:hAnsi="Nimbus Roman No9 L" w:cs="Nimbus Roman No9 L"/>
          <w:sz w:val="32"/>
          <w:szCs w:val="32"/>
        </w:rPr>
        <w:t>（三）发展目标</w:t>
      </w:r>
      <w:bookmarkEnd w:id="51"/>
      <w:bookmarkEnd w:id="52"/>
      <w:bookmarkEnd w:id="53"/>
      <w:bookmarkEnd w:id="56"/>
      <w:bookmarkEnd w:id="57"/>
    </w:p>
    <w:p w:rsidR="008C1560" w:rsidRDefault="00BA3517">
      <w:pPr>
        <w:spacing w:line="580" w:lineRule="exact"/>
        <w:ind w:firstLineChars="200" w:firstLine="640"/>
        <w:rPr>
          <w:rFonts w:ascii="Nimbus Roman No9 L" w:eastAsia="仿宋_GB2312" w:hAnsi="Nimbus Roman No9 L" w:cs="Nimbus Roman No9 L" w:hint="eastAsia"/>
          <w:sz w:val="32"/>
          <w:szCs w:val="32"/>
        </w:rPr>
      </w:pPr>
      <w:bookmarkStart w:id="58" w:name="_Hlk36580810"/>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期间，主要围绕补短板、高质量发展、完善城市功能等方面研究谋划策划一批重大工程和项目，拟实施重大工程和项目</w:t>
      </w:r>
      <w:r>
        <w:rPr>
          <w:rFonts w:ascii="Nimbus Roman No9 L" w:eastAsia="仿宋_GB2312" w:hAnsi="Nimbus Roman No9 L" w:cs="Nimbus Roman No9 L"/>
          <w:sz w:val="32"/>
          <w:szCs w:val="32"/>
        </w:rPr>
        <w:t>1500</w:t>
      </w:r>
      <w:r>
        <w:rPr>
          <w:rFonts w:ascii="Nimbus Roman No9 L" w:eastAsia="仿宋_GB2312" w:hAnsi="Nimbus Roman No9 L" w:cs="Nimbus Roman No9 L"/>
          <w:sz w:val="32"/>
          <w:szCs w:val="32"/>
        </w:rPr>
        <w:t>个，总投资约</w:t>
      </w: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万亿元，十四五期间完成投资</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万亿。着力提升基础设施水平，加快建设成为北方国际航运核心区，推动产业高质量发展取得积极进展，提升生态环境品质，补齐社会民生投资短板，加快建设成为生态、智慧、港产城融合的宜居宜业美丽滨海新城。</w:t>
      </w:r>
    </w:p>
    <w:p w:rsidR="008C1560" w:rsidRDefault="00BA3517">
      <w:pPr>
        <w:spacing w:line="580" w:lineRule="exact"/>
        <w:ind w:firstLineChars="200" w:firstLine="640"/>
        <w:outlineLvl w:val="0"/>
        <w:rPr>
          <w:rFonts w:ascii="Nimbus Roman No9 L" w:eastAsia="黑体" w:hAnsi="Nimbus Roman No9 L" w:cs="Nimbus Roman No9 L" w:hint="eastAsia"/>
          <w:sz w:val="32"/>
          <w:szCs w:val="32"/>
        </w:rPr>
      </w:pPr>
      <w:bookmarkStart w:id="59" w:name="_Toc72775252"/>
      <w:bookmarkStart w:id="60" w:name="_Toc24229"/>
      <w:bookmarkStart w:id="61" w:name="_Toc40281714"/>
      <w:bookmarkStart w:id="62" w:name="_Toc40287042"/>
      <w:bookmarkEnd w:id="58"/>
      <w:r>
        <w:rPr>
          <w:rFonts w:ascii="Nimbus Roman No9 L" w:eastAsia="黑体" w:hAnsi="Nimbus Roman No9 L" w:cs="Nimbus Roman No9 L"/>
          <w:sz w:val="32"/>
          <w:szCs w:val="32"/>
        </w:rPr>
        <w:t>四、构建便捷交通网络，完善城市服务功能</w:t>
      </w:r>
      <w:bookmarkEnd w:id="59"/>
      <w:bookmarkEnd w:id="60"/>
    </w:p>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bookmarkStart w:id="63" w:name="_Toc7888"/>
      <w:bookmarkStart w:id="64" w:name="_Toc24765"/>
      <w:bookmarkStart w:id="65" w:name="_Toc72775253"/>
      <w:bookmarkStart w:id="66" w:name="_Toc40287043"/>
      <w:bookmarkStart w:id="67" w:name="_Hlk36625357"/>
      <w:bookmarkStart w:id="68" w:name="_Toc40281715"/>
      <w:bookmarkEnd w:id="61"/>
      <w:bookmarkEnd w:id="62"/>
      <w:r>
        <w:rPr>
          <w:rFonts w:ascii="Nimbus Roman No9 L" w:eastAsia="楷体" w:hAnsi="Nimbus Roman No9 L" w:cs="Nimbus Roman No9 L"/>
          <w:sz w:val="32"/>
          <w:szCs w:val="32"/>
        </w:rPr>
        <w:t>（一）推进京津冀协同发展，完善现代化交通网络</w:t>
      </w:r>
      <w:bookmarkEnd w:id="63"/>
      <w:bookmarkEnd w:id="64"/>
    </w:p>
    <w:p w:rsidR="008C1560" w:rsidRDefault="00BA3517">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打造京津冀配套完善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产业区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。推动滨海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中关村科技园、中欧先进制造产业园、未来科技城京津合作示范区、北方航空物流基地、南港化工新材料基地等重点载体平台创新发展，推动一批承接非首都功能的标志性项目落地，打造非首都功能疏解的重</w:t>
      </w:r>
      <w:r>
        <w:rPr>
          <w:rFonts w:ascii="Nimbus Roman No9 L" w:eastAsia="仿宋_GB2312" w:hAnsi="Nimbus Roman No9 L" w:cs="Nimbus Roman No9 L"/>
          <w:sz w:val="32"/>
          <w:szCs w:val="32"/>
        </w:rPr>
        <w:lastRenderedPageBreak/>
        <w:t>要承载地。精准对接北京非首都功能疏解清单，推动央企和龙头</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企业区域性、功能性总部及新兴业态项目向新区集聚。充分发挥新区产业优势，强化产学研对接合作，打造研发成果应用场景，</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积极构建北京龙头企业产业化基地和重点科研成果产业化转移基地。完善产业协同发展机制和支持政策，对承接项目审批手续、人才评价及科技企业认定等实行统一互认，建立京津两地互利共</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赢政策，确保疏解项目承接稳、发展好，实现企业和人才引得进、留得住。继续加强与沧州、唐山等地合作，强化联合招商机制，</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推动区域产业链互补关联，加快滨沧、滨唐产业园区建设。</w:t>
      </w:r>
    </w:p>
    <w:p w:rsidR="008C1560" w:rsidRDefault="00BA3517">
      <w:pPr>
        <w:numPr>
          <w:ilvl w:val="0"/>
          <w:numId w:val="1"/>
        </w:numPr>
        <w:spacing w:line="580" w:lineRule="exact"/>
        <w:ind w:firstLineChars="200" w:firstLine="640"/>
        <w:rPr>
          <w:rFonts w:ascii="Nimbus Roman No9 L" w:eastAsia="楷体" w:hAnsi="Nimbus Roman No9 L" w:cs="Nimbus Roman No9 L" w:hint="eastAsia"/>
          <w:sz w:val="32"/>
          <w:szCs w:val="32"/>
        </w:rPr>
      </w:pPr>
      <w:bookmarkStart w:id="69" w:name="_Hlk40707694"/>
      <w:bookmarkStart w:id="70" w:name="_Toc34127980"/>
      <w:bookmarkStart w:id="71" w:name="_Toc40281599"/>
      <w:bookmarkStart w:id="72" w:name="_Toc40281720"/>
      <w:bookmarkStart w:id="73" w:name="_Hlk36625590"/>
      <w:bookmarkEnd w:id="65"/>
      <w:bookmarkEnd w:id="66"/>
      <w:bookmarkEnd w:id="67"/>
      <w:bookmarkEnd w:id="68"/>
      <w:r>
        <w:rPr>
          <w:rFonts w:ascii="Nimbus Roman No9 L" w:eastAsia="楷体" w:hAnsi="Nimbus Roman No9 L" w:cs="Nimbus Roman No9 L"/>
          <w:sz w:val="32"/>
          <w:szCs w:val="32"/>
        </w:rPr>
        <w:t>以两港提升为引擎，打造北方国际航运核心区</w:t>
      </w:r>
      <w:bookmarkStart w:id="74" w:name="_Hlk40772868"/>
      <w:bookmarkEnd w:id="69"/>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海港转型，建设世界一流智慧、绿色港口。</w:t>
      </w:r>
      <w:r>
        <w:rPr>
          <w:rFonts w:ascii="Nimbus Roman No9 L" w:eastAsia="仿宋_GB2312" w:hAnsi="Nimbus Roman No9 L" w:cs="Nimbus Roman No9 L"/>
          <w:sz w:val="32"/>
          <w:szCs w:val="32"/>
        </w:rPr>
        <w:t>有序推动建设北疆港区</w:t>
      </w:r>
      <w:r>
        <w:rPr>
          <w:rFonts w:ascii="Nimbus Roman No9 L" w:eastAsia="仿宋_GB2312" w:hAnsi="Nimbus Roman No9 L" w:cs="Nimbus Roman No9 L"/>
          <w:sz w:val="32"/>
          <w:szCs w:val="32"/>
        </w:rPr>
        <w:t>C</w:t>
      </w:r>
      <w:r>
        <w:rPr>
          <w:rFonts w:ascii="Nimbus Roman No9 L" w:eastAsia="仿宋_GB2312" w:hAnsi="Nimbus Roman No9 L" w:cs="Nimbus Roman No9 L"/>
          <w:sz w:val="32"/>
          <w:szCs w:val="32"/>
        </w:rPr>
        <w:t>段、东疆港区等智能化集装箱码头，打造全球集装箱码头新标杆。配套实施</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万吨级主航道通航功能提升、高沙岭港区</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万吨级航道一期建设、大港港区航道功能提升等一批航道、港池及锚地扩容浚深工程，加快实施重要港口设施建设和升级改造，进一步优化港口资源配置，提升天津港的支撑能力，形成布局合理、功能完善、集约高效的现代港口体系，助力建设世界一流港口。加快推进装卸、运输、仓储等环节技术升级，实施太平洋国际集装箱码头等自动化改造，规模应用无人驾驶电动集卡，港口智能化水平国际领先。</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末，力争基本建成智能化、专业化、规模化水平居世界前列的海港枢纽。</w:t>
      </w:r>
      <w:bookmarkEnd w:id="74"/>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空港提级，建设我国国际物流中心与区域航空枢纽。</w:t>
      </w:r>
      <w:r>
        <w:rPr>
          <w:rFonts w:ascii="Nimbus Roman No9 L" w:eastAsia="仿宋_GB2312" w:hAnsi="Nimbus Roman No9 L" w:cs="Nimbus Roman No9 L"/>
          <w:sz w:val="32"/>
          <w:szCs w:val="32"/>
        </w:rPr>
        <w:t>升级机场基础设施，构建辐射京津冀的综合枢纽。推进天津滨海国际机场扩容，新建</w:t>
      </w:r>
      <w:r>
        <w:rPr>
          <w:rFonts w:ascii="Nimbus Roman No9 L" w:eastAsia="仿宋_GB2312" w:hAnsi="Nimbus Roman No9 L" w:cs="Nimbus Roman No9 L"/>
          <w:sz w:val="32"/>
          <w:szCs w:val="32"/>
        </w:rPr>
        <w:t>T3</w:t>
      </w:r>
      <w:r>
        <w:rPr>
          <w:rFonts w:ascii="Nimbus Roman No9 L" w:eastAsia="仿宋_GB2312" w:hAnsi="Nimbus Roman No9 L" w:cs="Nimbus Roman No9 L"/>
          <w:sz w:val="32"/>
          <w:szCs w:val="32"/>
        </w:rPr>
        <w:t>航站楼及卫星厅，延长东一跑道，适时建设东二跑道，实现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三航站楼、三跑道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运行，打造区域航空枢纽，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末旅客年吞吐量达到</w:t>
      </w:r>
      <w:r>
        <w:rPr>
          <w:rFonts w:ascii="Nimbus Roman No9 L" w:eastAsia="仿宋_GB2312" w:hAnsi="Nimbus Roman No9 L" w:cs="Nimbus Roman No9 L"/>
          <w:sz w:val="32"/>
          <w:szCs w:val="32"/>
        </w:rPr>
        <w:t>4000</w:t>
      </w:r>
      <w:r>
        <w:rPr>
          <w:rFonts w:ascii="Nimbus Roman No9 L" w:eastAsia="仿宋_GB2312" w:hAnsi="Nimbus Roman No9 L" w:cs="Nimbus Roman No9 L"/>
          <w:sz w:val="32"/>
          <w:szCs w:val="32"/>
        </w:rPr>
        <w:t>万人次。改善机场集散交通条件，推动京滨城际铁路、</w:t>
      </w:r>
      <w:r>
        <w:rPr>
          <w:rFonts w:ascii="Nimbus Roman No9 L" w:eastAsia="仿宋_GB2312" w:hAnsi="Nimbus Roman No9 L" w:cs="Nimbus Roman No9 L"/>
          <w:sz w:val="32"/>
          <w:szCs w:val="32"/>
        </w:rPr>
        <w:t>Z2</w:t>
      </w:r>
      <w:r>
        <w:rPr>
          <w:rFonts w:ascii="Nimbus Roman No9 L" w:eastAsia="仿宋_GB2312" w:hAnsi="Nimbus Roman No9 L" w:cs="Nimbus Roman No9 L"/>
          <w:sz w:val="32"/>
          <w:szCs w:val="32"/>
        </w:rPr>
        <w:t>线等轨道交通的建设，强化机场与双城间的联系，打造空铁联运的国家样板综合交通枢纽。积极融入区域，突出自身优势，强化航空货运功能，加快建设航空物流区，建成大通关基地，适时扩建东货运区，规划建设南货运区，加快津北路改造建设，适时启动建设航双路，改善机场货运条件，助力打造打造国际航空物流中心。</w:t>
      </w:r>
    </w:p>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r>
        <w:rPr>
          <w:rFonts w:ascii="Nimbus Roman No9 L" w:eastAsia="楷体" w:hAnsi="Nimbus Roman No9 L" w:cs="Nimbus Roman No9 L"/>
          <w:sz w:val="32"/>
          <w:szCs w:val="32"/>
        </w:rPr>
        <w:t>（三）完善多层级骨干交通网络，强化新区交通枢纽城市地位</w:t>
      </w:r>
      <w:bookmarkEnd w:id="70"/>
      <w:bookmarkEnd w:id="71"/>
      <w:bookmarkEnd w:id="72"/>
    </w:p>
    <w:bookmarkEnd w:id="73"/>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加快完善高速及快速路网。</w:t>
      </w:r>
      <w:bookmarkStart w:id="75" w:name="_Hlk36630019"/>
      <w:bookmarkStart w:id="76" w:name="_Hlk40289075"/>
      <w:r>
        <w:rPr>
          <w:rFonts w:ascii="Nimbus Roman No9 L" w:eastAsia="仿宋_GB2312" w:hAnsi="Nimbus Roman No9 L" w:cs="Nimbus Roman No9 L"/>
          <w:sz w:val="32"/>
          <w:szCs w:val="32"/>
        </w:rPr>
        <w:t>完善级配合理的城市路网系统，提升交通精细化组织水平，全面提升道路交通综合承载能力。不断加密滨海主城区内骨干路网，规划形成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五横五纵</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的快速路网系统，实现新区内部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南北联通、东西畅通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加强与核心城区的联系，实现核心城区快速通勤，提高进出城和远距离快速通行效率。加快推进津石高速、塘承高速滨海新区段建设工程，完善高速公路出口布局。完善区内南北干线公路，加快滨海新区南北方向干线公路建设，启动建设规划国道</w:t>
      </w:r>
      <w:r>
        <w:rPr>
          <w:rFonts w:ascii="Nimbus Roman No9 L" w:eastAsia="仿宋_GB2312" w:hAnsi="Nimbus Roman No9 L" w:cs="Nimbus Roman No9 L"/>
          <w:sz w:val="32"/>
          <w:szCs w:val="32"/>
        </w:rPr>
        <w:t>G205</w:t>
      </w:r>
      <w:r>
        <w:rPr>
          <w:rFonts w:ascii="Nimbus Roman No9 L" w:eastAsia="仿宋_GB2312" w:hAnsi="Nimbus Roman No9 L" w:cs="Nimbus Roman No9 L"/>
          <w:sz w:val="32"/>
          <w:szCs w:val="32"/>
        </w:rPr>
        <w:t>（港城大道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中南五街</w:t>
      </w:r>
      <w:r>
        <w:rPr>
          <w:rFonts w:ascii="Nimbus Roman No9 L" w:eastAsia="仿宋_GB2312" w:hAnsi="Nimbus Roman No9 L" w:cs="Nimbus Roman No9 L"/>
          <w:sz w:val="32"/>
          <w:szCs w:val="32"/>
        </w:rPr>
        <w:lastRenderedPageBreak/>
        <w:t>段），开展国道</w:t>
      </w:r>
      <w:r>
        <w:rPr>
          <w:rFonts w:ascii="Nimbus Roman No9 L" w:eastAsia="仿宋_GB2312" w:hAnsi="Nimbus Roman No9 L" w:cs="Nimbus Roman No9 L"/>
          <w:sz w:val="32"/>
          <w:szCs w:val="32"/>
        </w:rPr>
        <w:t>G228</w:t>
      </w:r>
      <w:r>
        <w:rPr>
          <w:rFonts w:ascii="Nimbus Roman No9 L" w:eastAsia="仿宋_GB2312" w:hAnsi="Nimbus Roman No9 L" w:cs="Nimbus Roman No9 L"/>
          <w:sz w:val="32"/>
          <w:szCs w:val="32"/>
        </w:rPr>
        <w:t>线位规划前期研究，推动形成新区南北贯通干道，缓解海滨大道通行压力，有效组织市域货运交通。优化南北两翼公路网络，积极推动汉南路改建工程，实现北翼货运交通重组，积极推进板港公路改建道路，与海景大道、大港西环线、大港南环线形成大港主城区外围货运保护环。建成各开发区内部</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分钟通勤圈</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，中心城区与各开发区</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分钟通勤圈</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60</w:t>
      </w:r>
      <w:r>
        <w:rPr>
          <w:rFonts w:ascii="Nimbus Roman No9 L" w:eastAsia="仿宋_GB2312" w:hAnsi="Nimbus Roman No9 L" w:cs="Nimbus Roman No9 L"/>
          <w:sz w:val="32"/>
          <w:szCs w:val="32"/>
        </w:rPr>
        <w:t>分钟到达周边城市，</w:t>
      </w:r>
      <w:r>
        <w:rPr>
          <w:rFonts w:ascii="Nimbus Roman No9 L" w:eastAsia="仿宋_GB2312" w:hAnsi="Nimbus Roman No9 L" w:cs="Nimbus Roman No9 L"/>
          <w:sz w:val="32"/>
          <w:szCs w:val="32"/>
        </w:rPr>
        <w:t>90</w:t>
      </w:r>
      <w:r>
        <w:rPr>
          <w:rFonts w:ascii="Nimbus Roman No9 L" w:eastAsia="仿宋_GB2312" w:hAnsi="Nimbus Roman No9 L" w:cs="Nimbus Roman No9 L"/>
          <w:sz w:val="32"/>
          <w:szCs w:val="32"/>
        </w:rPr>
        <w:t>分钟到达环渤海主要城市，形成对外交通、双城交通、区内交通相互贯通，各种交通方式有效转换的现代化交通网络，打造高效、快捷、智能、生态、人性化的综合交通系统。</w:t>
      </w:r>
    </w:p>
    <w:bookmarkEnd w:id="75"/>
    <w:bookmarkEnd w:id="76"/>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加快建立公共交通快速通勤系统。</w:t>
      </w:r>
      <w:bookmarkStart w:id="77" w:name="_Hlk36629957"/>
      <w:r>
        <w:rPr>
          <w:rFonts w:ascii="Nimbus Roman No9 L" w:eastAsia="仿宋_GB2312" w:hAnsi="Nimbus Roman No9 L" w:cs="Nimbus Roman No9 L"/>
          <w:sz w:val="32"/>
          <w:szCs w:val="32"/>
        </w:rPr>
        <w:t>加强轨道骨架建设，稳步提升各层级公交服务水平，规划末期，基本形成由双港（海港、空港）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高铁（城际）</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市域轨道快线</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城区轨道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中低运量接驳</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常规公交构成的多层级、多方式、广覆盖、零换乘的一体化公共交通出行体系。加快推进城区轨道交通建设，加快建设滨海新区滨铁一号线（欣嘉园</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天津大道）、滨铁二号线（汉蔡路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中部新城）；加快启动滨铁三号线（北塘</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机场）建设。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末，形成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两横两纵</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的新区轨道交通骨架网；同时研究启动滨海核心区</w:t>
      </w:r>
      <w:r>
        <w:rPr>
          <w:rFonts w:ascii="Nimbus Roman No9 L" w:eastAsia="仿宋_GB2312" w:hAnsi="Nimbus Roman No9 L" w:cs="Nimbus Roman No9 L"/>
          <w:sz w:val="32"/>
          <w:szCs w:val="32"/>
        </w:rPr>
        <w:t>B2</w:t>
      </w:r>
      <w:r>
        <w:rPr>
          <w:rFonts w:ascii="Nimbus Roman No9 L" w:eastAsia="仿宋_GB2312" w:hAnsi="Nimbus Roman No9 L" w:cs="Nimbus Roman No9 L"/>
          <w:sz w:val="32"/>
          <w:szCs w:val="32"/>
        </w:rPr>
        <w:t>线环线相关工作，串接现状及在建骨架交通网。基于基础设施的建设，同步开展津滨轻轨九号线早晚高峰编组发车时间、部分列车采取大站快车方式组织的可实施性，提高高峰时段</w:t>
      </w:r>
      <w:r>
        <w:rPr>
          <w:rFonts w:ascii="Nimbus Roman No9 L" w:eastAsia="仿宋_GB2312" w:hAnsi="Nimbus Roman No9 L" w:cs="Nimbus Roman No9 L"/>
          <w:sz w:val="32"/>
          <w:szCs w:val="32"/>
        </w:rPr>
        <w:lastRenderedPageBreak/>
        <w:t>中心城区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滨海核心区双城之间的通勤效率。加强组团末端接驳线路建设，采用现代有轨电车、云巴等交通工具，开行中低运量轨道交通线路服务，既满足组团内部客运出行需求，同时为大运量轨道交通收集客流。</w:t>
      </w:r>
    </w:p>
    <w:bookmarkEnd w:id="77"/>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积极构建京津冀通勤圈。</w:t>
      </w:r>
      <w:bookmarkStart w:id="78" w:name="_Hlk40772582"/>
      <w:bookmarkStart w:id="79" w:name="_Hlk36629920"/>
      <w:r>
        <w:rPr>
          <w:rFonts w:ascii="Nimbus Roman No9 L" w:eastAsia="仿宋_GB2312" w:hAnsi="Nimbus Roman No9 L" w:cs="Nimbus Roman No9 L"/>
          <w:sz w:val="32"/>
          <w:szCs w:val="32"/>
        </w:rPr>
        <w:t>布局完善城际铁路及高速铁路，研究增加京滨城际停靠车次，提升滨海高铁站为区域性交通枢纽地位，推动开通通往华东、华南等区域列车，完善车站附近交通配套设施。积极推进滨雄城际规划建设工作，促进新区融入国家骨干铁路网体系。</w:t>
      </w:r>
      <w:bookmarkStart w:id="80" w:name="_Hlk40288954"/>
      <w:r>
        <w:rPr>
          <w:rFonts w:ascii="Nimbus Roman No9 L" w:eastAsia="仿宋_GB2312" w:hAnsi="Nimbus Roman No9 L" w:cs="Nimbus Roman No9 L"/>
          <w:sz w:val="32"/>
          <w:szCs w:val="32"/>
        </w:rPr>
        <w:t>积极布局环渤海市郊铁路交通网络，规划开通新区通往唐山、秦皇岛、黄骅、沧州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德州、保定等周边城市的市郊铁路，规划布局环渤海区域</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小时城市通勤圈，</w:t>
      </w:r>
      <w:bookmarkEnd w:id="80"/>
      <w:r>
        <w:rPr>
          <w:rFonts w:ascii="Nimbus Roman No9 L" w:eastAsia="仿宋_GB2312" w:hAnsi="Nimbus Roman No9 L" w:cs="Nimbus Roman No9 L"/>
          <w:sz w:val="32"/>
          <w:szCs w:val="32"/>
        </w:rPr>
        <w:t>促进公交化发展，加强与周边及环渤海中小城市的经济互动与人口流动与吸引。</w:t>
      </w:r>
      <w:bookmarkEnd w:id="78"/>
      <w:r>
        <w:rPr>
          <w:rFonts w:ascii="Nimbus Roman No9 L" w:eastAsia="仿宋_GB2312" w:hAnsi="Nimbus Roman No9 L" w:cs="Nimbus Roman No9 L"/>
          <w:sz w:val="32"/>
          <w:szCs w:val="32"/>
        </w:rPr>
        <w:t>积极探索利用既有铁路设施，通过站点改造和完善配套等措施，完善市郊铁路线和重点枢纽布局。</w:t>
      </w:r>
      <w:bookmarkStart w:id="81" w:name="_Hlk36630053"/>
      <w:bookmarkEnd w:id="79"/>
      <w:r>
        <w:rPr>
          <w:rFonts w:ascii="Nimbus Roman No9 L" w:eastAsia="仿宋_GB2312" w:hAnsi="Nimbus Roman No9 L" w:cs="Nimbus Roman No9 L"/>
          <w:sz w:val="32"/>
          <w:szCs w:val="32"/>
        </w:rPr>
        <w:t>规划滨海新区直达雄安新区的区间快速路，实现与雄安新区的快速联系。</w:t>
      </w:r>
    </w:p>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bookmarkStart w:id="82" w:name="_Hlk36630477"/>
      <w:bookmarkStart w:id="83" w:name="_Toc34127981"/>
      <w:bookmarkStart w:id="84" w:name="_Toc40281721"/>
      <w:bookmarkStart w:id="85" w:name="_Toc40281600"/>
      <w:bookmarkEnd w:id="81"/>
      <w:r>
        <w:rPr>
          <w:rFonts w:ascii="Nimbus Roman No9 L" w:eastAsia="楷体" w:hAnsi="Nimbus Roman No9 L" w:cs="Nimbus Roman No9 L"/>
          <w:sz w:val="32"/>
          <w:szCs w:val="32"/>
        </w:rPr>
        <w:t>（四）构建综合交通枢纽体系，</w:t>
      </w:r>
      <w:bookmarkEnd w:id="82"/>
      <w:bookmarkEnd w:id="83"/>
      <w:r>
        <w:rPr>
          <w:rFonts w:ascii="Nimbus Roman No9 L" w:eastAsia="楷体" w:hAnsi="Nimbus Roman No9 L" w:cs="Nimbus Roman No9 L"/>
          <w:sz w:val="32"/>
          <w:szCs w:val="32"/>
        </w:rPr>
        <w:t>助力城市高质量发展</w:t>
      </w:r>
      <w:bookmarkEnd w:id="84"/>
      <w:bookmarkEnd w:id="85"/>
    </w:p>
    <w:p w:rsidR="008C1560" w:rsidRDefault="00BA3517">
      <w:pPr>
        <w:spacing w:line="580" w:lineRule="exact"/>
        <w:ind w:firstLineChars="200" w:firstLine="640"/>
        <w:rPr>
          <w:rFonts w:ascii="Nimbus Roman No9 L" w:eastAsia="仿宋_GB2312" w:hAnsi="Nimbus Roman No9 L" w:cs="Nimbus Roman No9 L" w:hint="eastAsia"/>
          <w:sz w:val="32"/>
          <w:szCs w:val="32"/>
        </w:rPr>
      </w:pPr>
      <w:bookmarkStart w:id="86" w:name="_Hlk40289124"/>
      <w:r>
        <w:rPr>
          <w:rFonts w:ascii="Nimbus Roman No9 L" w:eastAsia="仿宋_GB2312" w:hAnsi="Nimbus Roman No9 L" w:cs="Nimbus Roman No9 L"/>
          <w:sz w:val="32"/>
          <w:szCs w:val="32"/>
        </w:rPr>
        <w:t>积极推进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海陆空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三港综合枢纽布局，打造新区对外交往和宣传展示的门户。</w:t>
      </w:r>
      <w:bookmarkStart w:id="87" w:name="_Hlk36630520"/>
      <w:r>
        <w:rPr>
          <w:rFonts w:ascii="Nimbus Roman No9 L" w:eastAsia="仿宋_GB2312" w:hAnsi="Nimbus Roman No9 L" w:cs="Nimbus Roman No9 L"/>
          <w:sz w:val="32"/>
          <w:szCs w:val="32"/>
        </w:rPr>
        <w:t>完善各级枢纽与城市主要开发区的衔接，努力形成空铁联运、站城融合的现代化综合交通体系。</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88" w:name="_Hlk40772519"/>
      <w:bookmarkStart w:id="89" w:name="_Hlk40291379"/>
      <w:bookmarkEnd w:id="86"/>
      <w:r>
        <w:rPr>
          <w:rFonts w:ascii="Nimbus Roman No9 L" w:eastAsia="仿宋_GB2312" w:hAnsi="Nimbus Roman No9 L" w:cs="Nimbus Roman No9 L"/>
          <w:b/>
          <w:bCs/>
          <w:sz w:val="32"/>
          <w:szCs w:val="32"/>
        </w:rPr>
        <w:t>共建京津冀世界级机场群</w:t>
      </w:r>
      <w:bookmarkEnd w:id="88"/>
      <w:r>
        <w:rPr>
          <w:rFonts w:ascii="Nimbus Roman No9 L" w:eastAsia="仿宋_GB2312" w:hAnsi="Nimbus Roman No9 L" w:cs="Nimbus Roman No9 L"/>
          <w:b/>
          <w:bCs/>
          <w:sz w:val="32"/>
          <w:szCs w:val="32"/>
        </w:rPr>
        <w:t>。</w:t>
      </w:r>
      <w:r>
        <w:rPr>
          <w:rFonts w:ascii="Nimbus Roman No9 L" w:eastAsia="仿宋_GB2312" w:hAnsi="Nimbus Roman No9 L" w:cs="Nimbus Roman No9 L"/>
          <w:sz w:val="32"/>
          <w:szCs w:val="32"/>
        </w:rPr>
        <w:t>加快建设滨海机场</w:t>
      </w:r>
      <w:r>
        <w:rPr>
          <w:rFonts w:ascii="Nimbus Roman No9 L" w:eastAsia="仿宋_GB2312" w:hAnsi="Nimbus Roman No9 L" w:cs="Nimbus Roman No9 L"/>
          <w:sz w:val="32"/>
          <w:szCs w:val="32"/>
        </w:rPr>
        <w:t>T3</w:t>
      </w:r>
      <w:r>
        <w:rPr>
          <w:rFonts w:ascii="Nimbus Roman No9 L" w:eastAsia="仿宋_GB2312" w:hAnsi="Nimbus Roman No9 L" w:cs="Nimbus Roman No9 L"/>
          <w:sz w:val="32"/>
          <w:szCs w:val="32"/>
        </w:rPr>
        <w:t>航站楼综合交通换乘中心，</w:t>
      </w:r>
      <w:bookmarkEnd w:id="87"/>
      <w:r>
        <w:rPr>
          <w:rFonts w:ascii="Nimbus Roman No9 L" w:eastAsia="仿宋_GB2312" w:hAnsi="Nimbus Roman No9 L" w:cs="Nimbus Roman No9 L"/>
          <w:sz w:val="32"/>
          <w:szCs w:val="32"/>
        </w:rPr>
        <w:t>满足航空客运与轨道交通</w:t>
      </w: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号线、</w:t>
      </w:r>
      <w:r>
        <w:rPr>
          <w:rFonts w:ascii="Nimbus Roman No9 L" w:eastAsia="仿宋_GB2312" w:hAnsi="Nimbus Roman No9 L" w:cs="Nimbus Roman No9 L"/>
          <w:sz w:val="32"/>
          <w:szCs w:val="32"/>
        </w:rPr>
        <w:t>Z2</w:t>
      </w:r>
      <w:r>
        <w:rPr>
          <w:rFonts w:ascii="Nimbus Roman No9 L" w:eastAsia="仿宋_GB2312" w:hAnsi="Nimbus Roman No9 L" w:cs="Nimbus Roman No9 L"/>
          <w:sz w:val="32"/>
          <w:szCs w:val="32"/>
        </w:rPr>
        <w:t>线、京</w:t>
      </w:r>
      <w:r>
        <w:rPr>
          <w:rFonts w:ascii="Nimbus Roman No9 L" w:eastAsia="仿宋_GB2312" w:hAnsi="Nimbus Roman No9 L" w:cs="Nimbus Roman No9 L"/>
          <w:sz w:val="32"/>
          <w:szCs w:val="32"/>
        </w:rPr>
        <w:lastRenderedPageBreak/>
        <w:t>滨城际铁路便利化换乘，实现滨海新区与国际、国内主要城市间的快速连接，强化新区国际交往功能。与首都机场、北京新机场实现合理分工、错位发展，积极发展国内航线和公务航班，大力发展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经津飞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构建三大机场之间便捷的轨道交通网络，结合京滨城际、环北京城际、滨雄城际铁路建设，打造轨道上的京津冀机场群，实现空铁联运，区域机场设施共享。优化机场周边物流功能布局，建设航空物流园，提高滨海机场货运服务水平。补足航运服务短板，积极发展航运金融、航运保险、航运交易、海事仲裁等高端航运服务。积极承接非首都航运功能转移，主动承接北京航运服务总部机构，优化航运服务区功能布局。</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90" w:name="_Hlk40289233"/>
      <w:bookmarkEnd w:id="89"/>
      <w:r>
        <w:rPr>
          <w:rFonts w:ascii="Nimbus Roman No9 L" w:eastAsia="仿宋_GB2312" w:hAnsi="Nimbus Roman No9 L" w:cs="Nimbus Roman No9 L"/>
          <w:b/>
          <w:bCs/>
          <w:sz w:val="32"/>
          <w:szCs w:val="32"/>
        </w:rPr>
        <w:t>构建环渤海地区的铁路客运主枢纽</w:t>
      </w:r>
      <w:bookmarkStart w:id="91" w:name="_Hlk36630701"/>
      <w:r>
        <w:rPr>
          <w:rFonts w:ascii="Nimbus Roman No9 L" w:eastAsia="仿宋_GB2312" w:hAnsi="Nimbus Roman No9 L" w:cs="Nimbus Roman No9 L"/>
          <w:b/>
          <w:bCs/>
          <w:sz w:val="32"/>
          <w:szCs w:val="32"/>
        </w:rPr>
        <w:t>。</w:t>
      </w:r>
      <w:r>
        <w:rPr>
          <w:rFonts w:ascii="Nimbus Roman No9 L" w:eastAsia="仿宋_GB2312" w:hAnsi="Nimbus Roman No9 L" w:cs="Nimbus Roman No9 L"/>
          <w:sz w:val="32"/>
          <w:szCs w:val="32"/>
        </w:rPr>
        <w:t>启动滨海南站铁路枢纽工程，加快推进滨海西站综合开发项目，完善铁路枢纽站点周边商业配套等功能布局。结合京津城际、京滨城际、滨雄城际以及市郊铁路的建设，规划提升汉沽站、大港站、南港站等站点，建成津秦高铁动车所建设，提升滨海站枢纽功能，形成以滨海站、滨海西站、滨海南站、滨海北站、塘沽站为主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二主多辅</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的铁路客运布局。</w:t>
      </w:r>
      <w:bookmarkEnd w:id="90"/>
      <w:r>
        <w:rPr>
          <w:rFonts w:ascii="Nimbus Roman No9 L" w:eastAsia="仿宋_GB2312" w:hAnsi="Nimbus Roman No9 L" w:cs="Nimbus Roman No9 L"/>
          <w:sz w:val="32"/>
          <w:szCs w:val="32"/>
        </w:rPr>
        <w:t>优化铁路枢纽功能，</w:t>
      </w:r>
      <w:bookmarkStart w:id="92" w:name="_Hlk40772180"/>
      <w:r>
        <w:rPr>
          <w:rFonts w:ascii="Nimbus Roman No9 L" w:eastAsia="仿宋_GB2312" w:hAnsi="Nimbus Roman No9 L" w:cs="Nimbus Roman No9 L"/>
          <w:sz w:val="32"/>
          <w:szCs w:val="32"/>
        </w:rPr>
        <w:t>完善地铁枢纽站点周边的商业配套等功能布局，提高铁路站点周边区域土地开发强度，带动盘活南部土地升值洼地。</w:t>
      </w:r>
      <w:bookmarkEnd w:id="92"/>
      <w:r>
        <w:rPr>
          <w:rFonts w:ascii="Nimbus Roman No9 L" w:eastAsia="仿宋_GB2312" w:hAnsi="Nimbus Roman No9 L" w:cs="Nimbus Roman No9 L"/>
          <w:sz w:val="32"/>
          <w:szCs w:val="32"/>
        </w:rPr>
        <w:t>建设滨海站与津秦城际联络线，实现与滨海西站联通，有序增加滨海站、滨海西站等列车发车频次，满足滨海中心城与南北两翼，以及滨海新区与环渤海主要城市之间的</w:t>
      </w:r>
      <w:r>
        <w:rPr>
          <w:rFonts w:ascii="Nimbus Roman No9 L" w:eastAsia="仿宋_GB2312" w:hAnsi="Nimbus Roman No9 L" w:cs="Nimbus Roman No9 L"/>
          <w:sz w:val="32"/>
          <w:szCs w:val="32"/>
        </w:rPr>
        <w:lastRenderedPageBreak/>
        <w:t>经济互动和人口流动。</w:t>
      </w:r>
    </w:p>
    <w:bookmarkEnd w:id="91"/>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积极推进</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站城融合</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发展。</w:t>
      </w:r>
      <w:bookmarkStart w:id="93" w:name="_Hlk36630744"/>
      <w:r>
        <w:rPr>
          <w:rFonts w:ascii="Nimbus Roman No9 L" w:eastAsia="仿宋_GB2312" w:hAnsi="Nimbus Roman No9 L" w:cs="Nimbus Roman No9 L"/>
          <w:sz w:val="32"/>
          <w:szCs w:val="32"/>
        </w:rPr>
        <w:t>加快推进文化街站、欣园片区、新北路等一批地铁沿线交通</w:t>
      </w:r>
      <w:r>
        <w:rPr>
          <w:rFonts w:ascii="Nimbus Roman No9 L" w:eastAsia="仿宋_GB2312" w:hAnsi="Nimbus Roman No9 L" w:cs="Nimbus Roman No9 L"/>
          <w:sz w:val="32"/>
          <w:szCs w:val="32"/>
        </w:rPr>
        <w:t>TOD</w:t>
      </w:r>
      <w:r>
        <w:rPr>
          <w:rFonts w:ascii="Nimbus Roman No9 L" w:eastAsia="仿宋_GB2312" w:hAnsi="Nimbus Roman No9 L" w:cs="Nimbus Roman No9 L"/>
          <w:sz w:val="32"/>
          <w:szCs w:val="32"/>
        </w:rPr>
        <w:t>综合开发项目，提升城市配套品质，高品质布局生活休闲空间、文化体验空间、商业服务空间等生活配套设施，结合轨道交通综合开发积极推进塘沽、大港、汉沽等地的城市更新工作。积极推进轨道交通和公交换乘站点优化，</w:t>
      </w:r>
      <w:bookmarkStart w:id="94" w:name="_Hlk40289260"/>
      <w:r>
        <w:rPr>
          <w:rFonts w:ascii="Nimbus Roman No9 L" w:eastAsia="仿宋_GB2312" w:hAnsi="Nimbus Roman No9 L" w:cs="Nimbus Roman No9 L"/>
          <w:sz w:val="32"/>
          <w:szCs w:val="32"/>
        </w:rPr>
        <w:t>推进核心区上海道、泰达站集散换乘枢纽，优化高铁、地铁、公交、停车场、自行车、步行换乘中心的交通枢纽组织动线。</w:t>
      </w:r>
      <w:bookmarkStart w:id="95" w:name="_Hlk40715765"/>
      <w:r>
        <w:rPr>
          <w:rFonts w:ascii="Nimbus Roman No9 L" w:eastAsia="仿宋_GB2312" w:hAnsi="Nimbus Roman No9 L" w:cs="Nimbus Roman No9 L"/>
          <w:sz w:val="32"/>
          <w:szCs w:val="32"/>
        </w:rPr>
        <w:t>积极建设</w:t>
      </w:r>
      <w:r>
        <w:rPr>
          <w:rFonts w:ascii="Nimbus Roman No9 L" w:eastAsia="仿宋_GB2312" w:hAnsi="Nimbus Roman No9 L" w:cs="Nimbus Roman No9 L"/>
          <w:sz w:val="32"/>
          <w:szCs w:val="32"/>
        </w:rPr>
        <w:t>P+R</w:t>
      </w:r>
      <w:r>
        <w:rPr>
          <w:rFonts w:ascii="Nimbus Roman No9 L" w:eastAsia="仿宋_GB2312" w:hAnsi="Nimbus Roman No9 L" w:cs="Nimbus Roman No9 L"/>
          <w:sz w:val="32"/>
          <w:szCs w:val="32"/>
        </w:rPr>
        <w:t>停车场、充电桩等设施，构建</w:t>
      </w:r>
      <w:r>
        <w:rPr>
          <w:rFonts w:ascii="Nimbus Roman No9 L" w:eastAsia="仿宋_GB2312" w:hAnsi="Nimbus Roman No9 L" w:cs="Nimbus Roman No9 L"/>
          <w:sz w:val="32"/>
          <w:szCs w:val="32"/>
        </w:rPr>
        <w:t>15</w:t>
      </w:r>
      <w:r>
        <w:rPr>
          <w:rFonts w:ascii="Nimbus Roman No9 L" w:eastAsia="仿宋_GB2312" w:hAnsi="Nimbus Roman No9 L" w:cs="Nimbus Roman No9 L"/>
          <w:sz w:val="32"/>
          <w:szCs w:val="32"/>
        </w:rPr>
        <w:t>分钟生活圈。</w:t>
      </w:r>
      <w:bookmarkEnd w:id="94"/>
      <w:r>
        <w:rPr>
          <w:rFonts w:ascii="Nimbus Roman No9 L" w:eastAsia="仿宋_GB2312" w:hAnsi="Nimbus Roman No9 L" w:cs="Nimbus Roman No9 L"/>
          <w:sz w:val="32"/>
          <w:szCs w:val="32"/>
        </w:rPr>
        <w:t>以公共交通为导向，提升城市品质，完善城市服务功能，依托轨道交通</w:t>
      </w:r>
      <w:r>
        <w:rPr>
          <w:rFonts w:ascii="Nimbus Roman No9 L" w:eastAsia="仿宋_GB2312" w:hAnsi="Nimbus Roman No9 L" w:cs="Nimbus Roman No9 L"/>
          <w:sz w:val="32"/>
          <w:szCs w:val="32"/>
        </w:rPr>
        <w:t>TOD</w:t>
      </w:r>
      <w:r>
        <w:rPr>
          <w:rFonts w:ascii="Nimbus Roman No9 L" w:eastAsia="仿宋_GB2312" w:hAnsi="Nimbus Roman No9 L" w:cs="Nimbus Roman No9 L"/>
          <w:sz w:val="32"/>
          <w:szCs w:val="32"/>
        </w:rPr>
        <w:t>开发，围绕公共交通站点完善住宅、配套、就业、商业等复合功能，提高土地利用效率，提倡适度功能混合，</w:t>
      </w:r>
      <w:bookmarkStart w:id="96" w:name="_Hlk40289269"/>
      <w:r>
        <w:rPr>
          <w:rFonts w:ascii="Nimbus Roman No9 L" w:eastAsia="仿宋_GB2312" w:hAnsi="Nimbus Roman No9 L" w:cs="Nimbus Roman No9 L"/>
          <w:sz w:val="32"/>
          <w:szCs w:val="32"/>
        </w:rPr>
        <w:t>逐步提高</w:t>
      </w:r>
      <w:r>
        <w:rPr>
          <w:rFonts w:ascii="Nimbus Roman No9 L" w:eastAsia="仿宋_GB2312" w:hAnsi="Nimbus Roman No9 L" w:cs="Nimbus Roman No9 L"/>
          <w:sz w:val="32"/>
          <w:szCs w:val="32"/>
        </w:rPr>
        <w:t>300m</w:t>
      </w:r>
      <w:r>
        <w:rPr>
          <w:rFonts w:ascii="Nimbus Roman No9 L" w:eastAsia="仿宋_GB2312" w:hAnsi="Nimbus Roman No9 L" w:cs="Nimbus Roman No9 L"/>
          <w:sz w:val="32"/>
          <w:szCs w:val="32"/>
        </w:rPr>
        <w:t>范围内公交站点覆盖率。</w:t>
      </w:r>
    </w:p>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bookmarkStart w:id="97" w:name="_Hlk40772813"/>
      <w:bookmarkStart w:id="98" w:name="_Toc40281722"/>
      <w:bookmarkStart w:id="99" w:name="_Toc40281601"/>
      <w:bookmarkStart w:id="100" w:name="_Hlk36630788"/>
      <w:bookmarkStart w:id="101" w:name="_Toc34127982"/>
      <w:bookmarkEnd w:id="93"/>
      <w:bookmarkEnd w:id="95"/>
      <w:bookmarkEnd w:id="96"/>
      <w:r>
        <w:rPr>
          <w:rFonts w:ascii="Nimbus Roman No9 L" w:eastAsia="楷体" w:hAnsi="Nimbus Roman No9 L" w:cs="Nimbus Roman No9 L"/>
          <w:sz w:val="32"/>
          <w:szCs w:val="32"/>
        </w:rPr>
        <w:t>（五）优化新区内部交通</w:t>
      </w:r>
      <w:bookmarkEnd w:id="97"/>
      <w:r>
        <w:rPr>
          <w:rFonts w:ascii="Nimbus Roman No9 L" w:eastAsia="楷体" w:hAnsi="Nimbus Roman No9 L" w:cs="Nimbus Roman No9 L"/>
          <w:sz w:val="32"/>
          <w:szCs w:val="32"/>
        </w:rPr>
        <w:t>，补足城市功能短板</w:t>
      </w:r>
      <w:bookmarkEnd w:id="98"/>
      <w:bookmarkEnd w:id="99"/>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102" w:name="_Hlk40289316"/>
      <w:bookmarkStart w:id="103" w:name="_Hlk36630944"/>
      <w:bookmarkEnd w:id="100"/>
      <w:bookmarkEnd w:id="101"/>
      <w:r>
        <w:rPr>
          <w:rFonts w:ascii="Nimbus Roman No9 L" w:eastAsia="仿宋_GB2312" w:hAnsi="Nimbus Roman No9 L" w:cs="Nimbus Roman No9 L"/>
          <w:b/>
          <w:bCs/>
          <w:sz w:val="32"/>
          <w:szCs w:val="32"/>
        </w:rPr>
        <w:t>完善城市交通微循环</w:t>
      </w:r>
      <w:bookmarkEnd w:id="102"/>
      <w:r>
        <w:rPr>
          <w:rFonts w:ascii="Nimbus Roman No9 L" w:eastAsia="仿宋_GB2312" w:hAnsi="Nimbus Roman No9 L" w:cs="Nimbus Roman No9 L"/>
          <w:b/>
          <w:bCs/>
          <w:sz w:val="32"/>
          <w:szCs w:val="32"/>
        </w:rPr>
        <w:t>。</w:t>
      </w:r>
      <w:r>
        <w:rPr>
          <w:rFonts w:ascii="Nimbus Roman No9 L" w:eastAsia="仿宋_GB2312" w:hAnsi="Nimbus Roman No9 L" w:cs="Nimbus Roman No9 L"/>
          <w:sz w:val="32"/>
          <w:szCs w:val="32"/>
        </w:rPr>
        <w:t>强化骨干路网衔接，南北交通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起来，</w:t>
      </w:r>
      <w:bookmarkStart w:id="104" w:name="_Hlk40289337"/>
      <w:r>
        <w:rPr>
          <w:rFonts w:ascii="Nimbus Roman No9 L" w:eastAsia="仿宋_GB2312" w:hAnsi="Nimbus Roman No9 L" w:cs="Nimbus Roman No9 L"/>
          <w:sz w:val="32"/>
          <w:szCs w:val="32"/>
        </w:rPr>
        <w:t>实施海河两岸联通工程，复工安阳桥、于新桥工程，积极推进港塘路、车站北路、滨河南路、西中环跨海河桥项目，规划建设荣庆道</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号、荣庆路</w:t>
      </w: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号、海新路、国兴路大桥项目，有序推进家园街至新城镇跨河通道建设，缩短核心区平均跨河间距和通行时间。</w:t>
      </w:r>
      <w:bookmarkEnd w:id="104"/>
      <w:r>
        <w:rPr>
          <w:rFonts w:ascii="Nimbus Roman No9 L" w:eastAsia="仿宋_GB2312" w:hAnsi="Nimbus Roman No9 L" w:cs="Nimbus Roman No9 L"/>
          <w:sz w:val="32"/>
          <w:szCs w:val="32"/>
        </w:rPr>
        <w:t>实施永定新河两岸联通工程，新建东疆港至滨海旅游区跨河大桥，实现两岸配套设施共享和产业协同发展。</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105" w:name="_Hlk36631028"/>
      <w:bookmarkEnd w:id="103"/>
      <w:r>
        <w:rPr>
          <w:rFonts w:ascii="Nimbus Roman No9 L" w:eastAsia="仿宋_GB2312" w:hAnsi="Nimbus Roman No9 L" w:cs="Nimbus Roman No9 L"/>
          <w:b/>
          <w:bCs/>
          <w:sz w:val="32"/>
          <w:szCs w:val="32"/>
        </w:rPr>
        <w:lastRenderedPageBreak/>
        <w:t>构建和完善慢行交通系统。</w:t>
      </w:r>
      <w:bookmarkStart w:id="106" w:name="_Toc34127983"/>
      <w:bookmarkEnd w:id="105"/>
      <w:r>
        <w:rPr>
          <w:rFonts w:ascii="Nimbus Roman No9 L" w:eastAsia="仿宋_GB2312" w:hAnsi="Nimbus Roman No9 L" w:cs="Nimbus Roman No9 L"/>
          <w:sz w:val="32"/>
          <w:szCs w:val="32"/>
        </w:rPr>
        <w:t>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骑行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步行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绿色出行环境，规划建设全天候慢行系统、滨水滨河步道系统、公园步道系统、自行车快速路系统等高品质慢行系统。沿滨水、滨河、滨海空间，建设一批以休闲、游憩、健身为主的慢行步道，提升海河两岸慢行系统建设品质，规划绿色城市全天候慢行步道，串联滨水休闲餐饮服务、观景平台等设施，提升慢行系统的城市体验功能，提升海河两岸观光体验效果，将慢行步道与滨河公园中慢行系统进行串联，完善核心区城市慢行系统网络。完善生态廊道及河道两侧的慢行系统，沿线布局旅游驿站、集散设施等服务设施，结合步道建设，争取举办马拉松、自行车比赛、竞走等健身活动。因地制宜，发挥森林公园、城市公园、生态公园及周边绿色空间优势，并进一步打通与中心城区连接，构建连续安全、覆盖广泛的</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骑行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步行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网络体系。</w:t>
      </w:r>
    </w:p>
    <w:bookmarkEnd w:id="106"/>
    <w:p w:rsidR="008C1560" w:rsidRDefault="00BA3517">
      <w:pPr>
        <w:spacing w:line="580" w:lineRule="exact"/>
        <w:ind w:firstLineChars="200" w:firstLine="640"/>
        <w:outlineLvl w:val="1"/>
        <w:rPr>
          <w:rFonts w:ascii="Nimbus Roman No9 L" w:eastAsia="楷体" w:hAnsi="Nimbus Roman No9 L" w:cs="Nimbus Roman No9 L" w:hint="eastAsia"/>
          <w:sz w:val="32"/>
          <w:szCs w:val="32"/>
        </w:rPr>
      </w:pPr>
      <w:r>
        <w:rPr>
          <w:rFonts w:ascii="Nimbus Roman No9 L" w:eastAsia="楷体" w:hAnsi="Nimbus Roman No9 L" w:cs="Nimbus Roman No9 L"/>
          <w:sz w:val="32"/>
          <w:szCs w:val="32"/>
        </w:rPr>
        <w:t>（六）建设安全高效能源保障体系</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提升能源保障能力。</w:t>
      </w:r>
      <w:r>
        <w:rPr>
          <w:rFonts w:ascii="Nimbus Roman No9 L" w:eastAsia="仿宋_GB2312" w:hAnsi="Nimbus Roman No9 L" w:cs="Nimbus Roman No9 L"/>
          <w:sz w:val="32"/>
          <w:szCs w:val="32"/>
        </w:rPr>
        <w:t>完善能源基础设施，形成以油气、电力为重点的多能互补、安全高效能源保障体系，打造能源革命先锋城区。继续深化与龙头企业的战略合作，加大油气资源勘探开发力度，推动本地油田增储上产。充分利用沿海</w:t>
      </w:r>
      <w:r>
        <w:rPr>
          <w:rFonts w:ascii="Nimbus Roman No9 L" w:eastAsia="仿宋_GB2312" w:hAnsi="Nimbus Roman No9 L" w:cs="Nimbus Roman No9 L"/>
          <w:sz w:val="32"/>
          <w:szCs w:val="32"/>
        </w:rPr>
        <w:t xml:space="preserve"> LNG </w:t>
      </w:r>
      <w:r>
        <w:rPr>
          <w:rFonts w:ascii="Nimbus Roman No9 L" w:eastAsia="仿宋_GB2312" w:hAnsi="Nimbus Roman No9 L" w:cs="Nimbus Roman No9 L"/>
          <w:sz w:val="32"/>
          <w:szCs w:val="32"/>
        </w:rPr>
        <w:t>资源，加快南港工业区液化天然气二期扩建和应急储备、天津港南疆港区液化天然气二期、</w:t>
      </w:r>
      <w:r>
        <w:rPr>
          <w:rFonts w:ascii="Nimbus Roman No9 L" w:eastAsia="仿宋_GB2312" w:hAnsi="Nimbus Roman No9 L" w:cs="Nimbus Roman No9 L"/>
          <w:sz w:val="32"/>
          <w:szCs w:val="32"/>
        </w:rPr>
        <w:t xml:space="preserve">LNG </w:t>
      </w:r>
      <w:r>
        <w:rPr>
          <w:rFonts w:ascii="Nimbus Roman No9 L" w:eastAsia="仿宋_GB2312" w:hAnsi="Nimbus Roman No9 L" w:cs="Nimbus Roman No9 L"/>
          <w:sz w:val="32"/>
          <w:szCs w:val="32"/>
        </w:rPr>
        <w:t>外输管线等重点项目建设，打造北方地区重要的</w:t>
      </w:r>
      <w:r>
        <w:rPr>
          <w:rFonts w:ascii="Nimbus Roman No9 L" w:eastAsia="仿宋_GB2312" w:hAnsi="Nimbus Roman No9 L" w:cs="Nimbus Roman No9 L"/>
          <w:sz w:val="32"/>
          <w:szCs w:val="32"/>
        </w:rPr>
        <w:t xml:space="preserve"> LNG </w:t>
      </w:r>
      <w:r>
        <w:rPr>
          <w:rFonts w:ascii="Nimbus Roman No9 L" w:eastAsia="仿宋_GB2312" w:hAnsi="Nimbus Roman No9 L" w:cs="Nimbus Roman No9 L"/>
          <w:sz w:val="32"/>
          <w:szCs w:val="32"/>
        </w:rPr>
        <w:t>资源接收区。稳定本地电力供应，提高外购电比例，</w:t>
      </w:r>
      <w:r>
        <w:rPr>
          <w:rFonts w:ascii="Nimbus Roman No9 L" w:eastAsia="仿宋_GB2312" w:hAnsi="Nimbus Roman No9 L" w:cs="Nimbus Roman No9 L"/>
          <w:sz w:val="32"/>
          <w:szCs w:val="32"/>
        </w:rPr>
        <w:lastRenderedPageBreak/>
        <w:t>加强特高压电网建设，优化电网网架结构。</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持续优化能源结构。</w:t>
      </w:r>
      <w:r>
        <w:rPr>
          <w:rFonts w:ascii="Nimbus Roman No9 L" w:eastAsia="仿宋_GB2312" w:hAnsi="Nimbus Roman No9 L" w:cs="Nimbus Roman No9 L"/>
          <w:sz w:val="32"/>
          <w:szCs w:val="32"/>
        </w:rPr>
        <w:t>推动能源消费向清洁低碳转型，严格控制煤炭消费总量，推动煤炭消费尽早达峰。坚持化石能源清洁利用和清洁能源开发并重，推动煤炭集约清洁高效利用，提高非化石能源比重。建立多元清洁的能源供应体系，有序推进风能、太阳能、生物质能等可再生能源开发利用规模，提升可再生能源消纳能力。稳步推进氢能、</w:t>
      </w:r>
      <w:r>
        <w:rPr>
          <w:rFonts w:ascii="Nimbus Roman No9 L" w:eastAsia="仿宋_GB2312" w:hAnsi="Nimbus Roman No9 L" w:cs="Nimbus Roman No9 L"/>
          <w:sz w:val="32"/>
          <w:szCs w:val="32"/>
        </w:rPr>
        <w:t xml:space="preserve">LNG </w:t>
      </w:r>
      <w:r>
        <w:rPr>
          <w:rFonts w:ascii="Nimbus Roman No9 L" w:eastAsia="仿宋_GB2312" w:hAnsi="Nimbus Roman No9 L" w:cs="Nimbus Roman No9 L"/>
          <w:sz w:val="32"/>
          <w:szCs w:val="32"/>
        </w:rPr>
        <w:t>冷能开发利用，拓展示范应用场景，建设一批综合示范项目。加大生活、工业、交通等领域电能替代力度，扩大电能占终端能源消费比重。做好碳达峰、碳中和工作，制定并实施力争碳排放提前达峰行动方案，开展重点行业碳排放达峰行动。</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建设能源互联网综合示范区。</w:t>
      </w:r>
      <w:r>
        <w:rPr>
          <w:rFonts w:ascii="Nimbus Roman No9 L" w:eastAsia="仿宋_GB2312" w:hAnsi="Nimbus Roman No9 L" w:cs="Nimbus Roman No9 L"/>
          <w:sz w:val="32"/>
          <w:szCs w:val="32"/>
        </w:rPr>
        <w:t>推动能源与大数据、物联网、云计算、区块链、</w:t>
      </w:r>
      <w:r>
        <w:rPr>
          <w:rFonts w:ascii="Nimbus Roman No9 L" w:eastAsia="仿宋_GB2312" w:hAnsi="Nimbus Roman No9 L" w:cs="Nimbus Roman No9 L"/>
          <w:sz w:val="32"/>
          <w:szCs w:val="32"/>
        </w:rPr>
        <w:t xml:space="preserve">5G </w:t>
      </w:r>
      <w:r>
        <w:rPr>
          <w:rFonts w:ascii="Nimbus Roman No9 L" w:eastAsia="仿宋_GB2312" w:hAnsi="Nimbus Roman No9 L" w:cs="Nimbus Roman No9 L"/>
          <w:sz w:val="32"/>
          <w:szCs w:val="32"/>
        </w:rPr>
        <w:t>等新技术融合，统筹推进网源荷储协调发展，积极推广综合智慧能源和分布式能源发展，推行节能低碳电力调度，建设多能互补的分布式综合能源系统。推进储能关键技术研发，加快储能在可再生能源、分布式发电领域示范应用。加快中新天津生态城智慧能源小镇建设，推广零能耗建筑、主动配电网、虚拟电厂及新型智能电表等建设经验，率先建成能源互联网综合示范区。</w:t>
      </w:r>
    </w:p>
    <w:p w:rsidR="008C1560" w:rsidRDefault="00BA3517">
      <w:pPr>
        <w:spacing w:line="580" w:lineRule="exact"/>
        <w:ind w:firstLineChars="200" w:firstLine="640"/>
        <w:outlineLvl w:val="0"/>
        <w:rPr>
          <w:rFonts w:ascii="Nimbus Roman No9 L" w:eastAsia="黑体" w:hAnsi="Nimbus Roman No9 L" w:cs="Nimbus Roman No9 L" w:hint="eastAsia"/>
          <w:sz w:val="32"/>
          <w:szCs w:val="32"/>
        </w:rPr>
      </w:pPr>
      <w:bookmarkStart w:id="107" w:name="_Toc40281725"/>
      <w:bookmarkStart w:id="108" w:name="_Toc72775254"/>
      <w:bookmarkStart w:id="109" w:name="_Toc40287044"/>
      <w:bookmarkStart w:id="110" w:name="_Toc11905"/>
      <w:r>
        <w:rPr>
          <w:rFonts w:ascii="Nimbus Roman No9 L" w:eastAsia="黑体" w:hAnsi="Nimbus Roman No9 L" w:cs="Nimbus Roman No9 L"/>
          <w:sz w:val="32"/>
          <w:szCs w:val="32"/>
        </w:rPr>
        <w:t>五、推进产业高质量发展，实现经济规模和质量双升级</w:t>
      </w:r>
      <w:bookmarkEnd w:id="107"/>
      <w:bookmarkEnd w:id="108"/>
      <w:bookmarkEnd w:id="109"/>
      <w:bookmarkEnd w:id="110"/>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111" w:name="_Toc40287046"/>
      <w:bookmarkStart w:id="112" w:name="_Toc31688"/>
      <w:bookmarkStart w:id="113" w:name="_Toc21632"/>
      <w:bookmarkStart w:id="114" w:name="_Toc72775255"/>
      <w:bookmarkStart w:id="115" w:name="_Toc40281726"/>
      <w:bookmarkStart w:id="116" w:name="_Toc40287045"/>
      <w:r>
        <w:rPr>
          <w:rFonts w:ascii="Nimbus Roman No9 L" w:eastAsia="楷体" w:hAnsi="Nimbus Roman No9 L" w:cs="Nimbus Roman No9 L"/>
          <w:sz w:val="32"/>
          <w:szCs w:val="32"/>
        </w:rPr>
        <w:t>（一）建设高端装备制造国家级示范区</w:t>
      </w:r>
      <w:bookmarkEnd w:id="111"/>
      <w:bookmarkEnd w:id="112"/>
      <w:bookmarkEnd w:id="113"/>
      <w:bookmarkEnd w:id="114"/>
    </w:p>
    <w:p w:rsidR="008C1560" w:rsidRDefault="00BA3517">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lastRenderedPageBreak/>
        <w:t>重点发展机器人、智能装备、航空航天装备、海洋装备制造、轨道交通装备等，培育一批行业标杆企业，形成以高端成套装备为重点、关键核心零部件为基础、新兴装备产业为先导的高端装备制造产业体系。</w:t>
      </w:r>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机器人。</w:t>
      </w:r>
      <w:r>
        <w:rPr>
          <w:rFonts w:ascii="Nimbus Roman No9 L" w:eastAsia="仿宋_GB2312" w:hAnsi="Nimbus Roman No9 L" w:cs="Nimbus Roman No9 L"/>
          <w:sz w:val="32"/>
          <w:szCs w:val="32"/>
        </w:rPr>
        <w:t>依托经开区、保税区、高新区智能装备制造产业优势，积极引进埃斯顿、博实股份、拓斯达、华中数控等企业，推进人机协作机器人、双臂机器人、全自主编程智能工业机器人等新一代机器人产品研发，培育完整的工业机器人制造产业链。积极培育重点领域机器人应用系统集成商和综合解决方案服务商，拓展工业级和消费级应用机器人的市场空间。实施京东深拓机器人项目，积极引进赛为智能、隆鑫通用等企业，发展物流机器人、无人机等工业级服务机器人。拓展与科沃斯等家政机器人和娱乐机器人企业合作，打造消费级服务机器人制造基地。面向重点行业，发展水下机器人、农业机器人、金融服务机器人、医疗康复机器人、救援救灾机器人生产制造项目。</w:t>
      </w:r>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智能装备。</w:t>
      </w:r>
      <w:bookmarkStart w:id="117" w:name="_Hlk40344269"/>
      <w:r>
        <w:rPr>
          <w:rFonts w:ascii="Nimbus Roman No9 L" w:eastAsia="仿宋_GB2312" w:hAnsi="Nimbus Roman No9 L" w:cs="Nimbus Roman No9 L"/>
          <w:sz w:val="32"/>
          <w:szCs w:val="32"/>
        </w:rPr>
        <w:t>围绕智能可穿戴设备、智能家居、智能无人机等领域，布局一批生产制造项目，建设成为智能装备集成高地。</w:t>
      </w:r>
      <w:bookmarkEnd w:id="117"/>
      <w:r>
        <w:rPr>
          <w:rFonts w:ascii="Nimbus Roman No9 L" w:eastAsia="仿宋_GB2312" w:hAnsi="Nimbus Roman No9 L" w:cs="Nimbus Roman No9 L"/>
          <w:sz w:val="32"/>
          <w:szCs w:val="32"/>
        </w:rPr>
        <w:t>加快布局以智能手表、智能手环、智能耳机、智能眼镜、智能服装等智能可穿戴设备生产制造项目。积极推进人工智能技术与传统家电相结合，重点发展智能家电、智能照明、</w:t>
      </w:r>
      <w:r>
        <w:rPr>
          <w:rFonts w:ascii="Nimbus Roman No9 L" w:eastAsia="仿宋_GB2312" w:hAnsi="Nimbus Roman No9 L" w:cs="Nimbus Roman No9 L"/>
          <w:sz w:val="32"/>
          <w:szCs w:val="32"/>
        </w:rPr>
        <w:t>4K</w:t>
      </w:r>
      <w:r>
        <w:rPr>
          <w:rFonts w:ascii="Nimbus Roman No9 L" w:eastAsia="仿宋_GB2312" w:hAnsi="Nimbus Roman No9 L" w:cs="Nimbus Roman No9 L"/>
          <w:sz w:val="32"/>
          <w:szCs w:val="32"/>
        </w:rPr>
        <w:t>电视、智能家具等产品，创建智能监控摄像头、服务器等智能安防品牌，探索</w:t>
      </w:r>
      <w:r>
        <w:rPr>
          <w:rFonts w:ascii="Nimbus Roman No9 L" w:eastAsia="仿宋_GB2312" w:hAnsi="Nimbus Roman No9 L" w:cs="Nimbus Roman No9 L"/>
          <w:sz w:val="32"/>
          <w:szCs w:val="32"/>
        </w:rPr>
        <w:lastRenderedPageBreak/>
        <w:t>构建智能家居生态体系。支持天津港保税区临港飞行服务中心建设，面向无人机产业提供飞行空域使用、计划报备申请、资质检测认定等专业服务，依托航天五院、飞眼无人机、一飞智控、云圣智能等重点企业，提升无人机产业研制、生产、制造服务等全产业链条。</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航空航天装备制造。</w:t>
      </w:r>
      <w:r>
        <w:rPr>
          <w:rFonts w:ascii="Nimbus Roman No9 L" w:eastAsia="仿宋_GB2312" w:hAnsi="Nimbus Roman No9 L" w:cs="Nimbus Roman No9 L"/>
          <w:sz w:val="32"/>
          <w:szCs w:val="32"/>
        </w:rPr>
        <w:t>以国家航空航天重大工程任务为抓手，强化飞机制造、大型航天器、卫星及卫星应用等优势领域，重点发展大飞机、直升机、无人机、新一代运载火箭、卫星、空间站等，构建从材料研制、产品设计、总装试验、零部件制造、技术应用转化、维修服务的航空航天产业链，打造航空航天产业集群。推进航空应急救援产品研发、人员培训和运营基地建设等，拓展通航产业链。</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军民融合</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产业。</w:t>
      </w:r>
      <w:r>
        <w:rPr>
          <w:rFonts w:ascii="Nimbus Roman No9 L" w:eastAsia="仿宋_GB2312" w:hAnsi="Nimbus Roman No9 L" w:cs="Nimbus Roman No9 L"/>
          <w:sz w:val="32"/>
          <w:szCs w:val="32"/>
        </w:rPr>
        <w:t>依托新一代运载火箭产业化基地、航天</w:t>
      </w:r>
      <w:r>
        <w:rPr>
          <w:rFonts w:ascii="Nimbus Roman No9 L" w:eastAsia="仿宋_GB2312" w:hAnsi="Nimbus Roman No9 L" w:cs="Nimbus Roman No9 L"/>
          <w:sz w:val="32"/>
          <w:szCs w:val="32"/>
        </w:rPr>
        <w:t>518</w:t>
      </w:r>
      <w:r>
        <w:rPr>
          <w:rFonts w:ascii="Nimbus Roman No9 L" w:eastAsia="仿宋_GB2312" w:hAnsi="Nimbus Roman No9 L" w:cs="Nimbus Roman No9 L"/>
          <w:sz w:val="32"/>
          <w:szCs w:val="32"/>
        </w:rPr>
        <w:t>所、超大型航天器等国家重大航天工程和龙头企业，推动军民科技成果双向转化，加快软件定义互连芯片等自主可控领域核心产品研发，打造军民融合协同创新高地。推动网信军民深度融合发展，大力支持网信军民深度融合发展项目。加快引进军民融合重大项目，提升军民融合产业水平，</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构建全要素、多领域、高效益的军民融合发展格局。</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海洋装备制造。</w:t>
      </w:r>
      <w:r>
        <w:rPr>
          <w:rFonts w:ascii="Nimbus Roman No9 L" w:eastAsia="仿宋_GB2312" w:hAnsi="Nimbus Roman No9 L" w:cs="Nimbus Roman No9 L"/>
          <w:sz w:val="32"/>
          <w:szCs w:val="32"/>
        </w:rPr>
        <w:t>依托保税区海工研发制造基地，突破海洋开发、近海工程等装备领域关键和前沿技术。依托中海油、博迈科、</w:t>
      </w:r>
      <w:r>
        <w:rPr>
          <w:rFonts w:ascii="Nimbus Roman No9 L" w:eastAsia="仿宋_GB2312" w:hAnsi="Nimbus Roman No9 L" w:cs="Nimbus Roman No9 L"/>
          <w:sz w:val="32"/>
          <w:szCs w:val="32"/>
        </w:rPr>
        <w:lastRenderedPageBreak/>
        <w:t>诺斯石油等龙头企业，实施天津海洋工程装备制造基地建设工程、博迈科临港</w:t>
      </w:r>
      <w:r>
        <w:rPr>
          <w:rFonts w:ascii="Nimbus Roman No9 L" w:eastAsia="仿宋_GB2312" w:hAnsi="Nimbus Roman No9 L" w:cs="Nimbus Roman No9 L"/>
          <w:sz w:val="32"/>
          <w:szCs w:val="32"/>
        </w:rPr>
        <w:t>FPSO</w:t>
      </w:r>
      <w:r>
        <w:rPr>
          <w:rFonts w:ascii="Nimbus Roman No9 L" w:eastAsia="仿宋_GB2312" w:hAnsi="Nimbus Roman No9 L" w:cs="Nimbus Roman No9 L"/>
          <w:sz w:val="32"/>
          <w:szCs w:val="32"/>
        </w:rPr>
        <w:t>海洋重工建造基地等工程。引进甘肃蓝科、润邦股份等海洋装备制造商，推进临港经济区海洋高端装备制造产业聚集发展。加强船舶设计、建造、维修等领域的研发制造，推进实施天津临港造修船基地技术中心工程，积极引进</w:t>
      </w:r>
      <w:r>
        <w:rPr>
          <w:rFonts w:ascii="Nimbus Roman No9 L" w:eastAsia="仿宋_GB2312" w:hAnsi="Nimbus Roman No9 L" w:cs="Nimbus Roman No9 L"/>
          <w:sz w:val="32"/>
          <w:szCs w:val="32"/>
        </w:rPr>
        <w:t>Deltamarin</w:t>
      </w:r>
      <w:r>
        <w:rPr>
          <w:rFonts w:ascii="Nimbus Roman No9 L" w:eastAsia="仿宋_GB2312" w:hAnsi="Nimbus Roman No9 L" w:cs="Nimbus Roman No9 L"/>
          <w:sz w:val="32"/>
          <w:szCs w:val="32"/>
        </w:rPr>
        <w:t>、亚光科技、江龙船艇等行业领先企业，打造船舶装备制造、维修基地，增加科考船、调查船、勘探船、救援船、医院船、潜水船、气象船、海监船等高技术船舶的可生产种类和数量，形成生产环节有效衔接的船舶装备产业链。建设海洋工程装备及高技术船舶远程运维服务平台，推动智能传感、智能航运系统、移动互联网、远程控制等信息技术在海洋工程装备及高技术船舶上的集成应用。</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轨道装备制造。</w:t>
      </w:r>
      <w:r>
        <w:rPr>
          <w:rFonts w:ascii="Nimbus Roman No9 L" w:eastAsia="仿宋_GB2312" w:hAnsi="Nimbus Roman No9 L" w:cs="Nimbus Roman No9 L"/>
          <w:sz w:val="32"/>
          <w:szCs w:val="32"/>
        </w:rPr>
        <w:t>面向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一带一路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沿线发展中国家巨大的基础设施投资需求，重点围绕高速智能绿色铁路装备、先进城市轨道交通装备等领域，积极引进北京基础设施投资平台公司，推动中高速磁悬浮新型轨道交通整车总装制造基地项目、天津轨道装备制造基地项目、轨道交通自动化信号监测及控制设备研发生产项目，打造以地铁装备制造、智能公交、磁悬浮列车总装为主要内容的轨道交通装备产业链条。推动国家级城际轨道交通创新技术中心建设，整合四方车辆、天津电力机车等重点企业资源，搭建集车辆、车辆段、线网一体化的健康监测、智能诊断、设备运维、</w:t>
      </w:r>
      <w:r>
        <w:rPr>
          <w:rFonts w:ascii="Nimbus Roman No9 L" w:eastAsia="仿宋_GB2312" w:hAnsi="Nimbus Roman No9 L" w:cs="Nimbus Roman No9 L"/>
          <w:sz w:val="32"/>
          <w:szCs w:val="32"/>
        </w:rPr>
        <w:lastRenderedPageBreak/>
        <w:t>车辆检修、决策支持与应急处置智能协同管理平台，加强关键部件检修技术合作，构建并完善检修技术体系，形成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检修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服务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的全生命周期运营模式。</w:t>
      </w:r>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118" w:name="_Toc9990"/>
      <w:bookmarkStart w:id="119" w:name="_Toc72775256"/>
      <w:bookmarkStart w:id="120" w:name="_Toc21071"/>
      <w:bookmarkEnd w:id="115"/>
      <w:r>
        <w:rPr>
          <w:rFonts w:ascii="Nimbus Roman No9 L" w:eastAsia="楷体" w:hAnsi="Nimbus Roman No9 L" w:cs="Nimbus Roman No9 L"/>
          <w:sz w:val="32"/>
          <w:szCs w:val="32"/>
        </w:rPr>
        <w:t>（二）打造世界级新一代信息技术产业基地</w:t>
      </w:r>
      <w:bookmarkEnd w:id="116"/>
      <w:bookmarkEnd w:id="118"/>
      <w:bookmarkEnd w:id="119"/>
      <w:bookmarkEnd w:id="120"/>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智能芯片。</w:t>
      </w:r>
      <w:r>
        <w:rPr>
          <w:rFonts w:ascii="Nimbus Roman No9 L" w:eastAsia="仿宋_GB2312" w:hAnsi="Nimbus Roman No9 L" w:cs="Nimbus Roman No9 L"/>
          <w:sz w:val="32"/>
          <w:szCs w:val="32"/>
        </w:rPr>
        <w:t>依托经开区作为国家级电子信息产业基地的良好基础，进一步巩固通用计算和通信芯片产业优势，建设成为国家集成电路设计产业引领示范区。</w:t>
      </w:r>
      <w:bookmarkStart w:id="121" w:name="_Hlk40289843"/>
      <w:r>
        <w:rPr>
          <w:rFonts w:ascii="Nimbus Roman No9 L" w:eastAsia="仿宋_GB2312" w:hAnsi="Nimbus Roman No9 L" w:cs="Nimbus Roman No9 L"/>
          <w:sz w:val="32"/>
          <w:szCs w:val="32"/>
        </w:rPr>
        <w:t>积极引进人工智能核心芯片及面向消费电子、汽车电子、工业互联网、医疗电子等领域的</w:t>
      </w:r>
      <w:r>
        <w:rPr>
          <w:rFonts w:ascii="Nimbus Roman No9 L" w:eastAsia="仿宋_GB2312" w:hAnsi="Nimbus Roman No9 L" w:cs="Nimbus Roman No9 L"/>
          <w:sz w:val="32"/>
          <w:szCs w:val="32"/>
        </w:rPr>
        <w:t>MCU</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MEMS</w:t>
      </w:r>
      <w:r>
        <w:rPr>
          <w:rFonts w:ascii="Nimbus Roman No9 L" w:eastAsia="仿宋_GB2312" w:hAnsi="Nimbus Roman No9 L" w:cs="Nimbus Roman No9 L"/>
          <w:sz w:val="32"/>
          <w:szCs w:val="32"/>
        </w:rPr>
        <w:t>、传感器等专用芯片及器件企业。</w:t>
      </w:r>
      <w:bookmarkStart w:id="122" w:name="_Hlk40289867"/>
      <w:bookmarkEnd w:id="121"/>
    </w:p>
    <w:bookmarkEnd w:id="122"/>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软件和信息服务业。</w:t>
      </w:r>
      <w:r>
        <w:rPr>
          <w:rFonts w:ascii="Nimbus Roman No9 L" w:eastAsia="仿宋_GB2312" w:hAnsi="Nimbus Roman No9 L" w:cs="Nimbus Roman No9 L"/>
          <w:sz w:val="32"/>
          <w:szCs w:val="32"/>
        </w:rPr>
        <w:t>把握京津冀协同发展机遇，发挥区位和基础优势，依托高新区软件园作为国家级软件园和国家火炬计划产业基地的产业聚集优势，做大、做强、做优软件与信息服务业。大力推进软件创新升级，为智能科技应用提供软件解决方案，推动先进计算技术研发、成果转化、知识产权运营以及双创孵化项目。</w:t>
      </w:r>
      <w:bookmarkStart w:id="123" w:name="_Hlk40289924"/>
      <w:r>
        <w:rPr>
          <w:rFonts w:ascii="Nimbus Roman No9 L" w:eastAsia="仿宋_GB2312" w:hAnsi="Nimbus Roman No9 L" w:cs="Nimbus Roman No9 L"/>
          <w:sz w:val="32"/>
          <w:szCs w:val="32"/>
        </w:rPr>
        <w:t>发挥信创产业（人才）联盟作用，完善国家级适配平台，建设国家基础软件创新中心，构建包括</w:t>
      </w:r>
      <w:r>
        <w:rPr>
          <w:rFonts w:ascii="Nimbus Roman No9 L" w:eastAsia="仿宋_GB2312" w:hAnsi="Nimbus Roman No9 L" w:cs="Nimbus Roman No9 L"/>
          <w:sz w:val="32"/>
          <w:szCs w:val="32"/>
        </w:rPr>
        <w:t xml:space="preserve"> CPU </w:t>
      </w:r>
      <w:r>
        <w:rPr>
          <w:rFonts w:ascii="Nimbus Roman No9 L" w:eastAsia="仿宋_GB2312" w:hAnsi="Nimbus Roman No9 L" w:cs="Nimbus Roman No9 L"/>
          <w:sz w:val="32"/>
          <w:szCs w:val="32"/>
        </w:rPr>
        <w:t>芯片、服务器、操作系统、数据库、网络安全、终端设备等信创产业核心链条在内的</w:t>
      </w:r>
      <w:r>
        <w:rPr>
          <w:rFonts w:ascii="Nimbus Roman No9 L" w:eastAsia="仿宋_GB2312" w:hAnsi="Nimbus Roman No9 L" w:cs="Nimbus Roman No9 L"/>
          <w:sz w:val="32"/>
          <w:szCs w:val="32"/>
        </w:rPr>
        <w:t xml:space="preserve"> PKS </w:t>
      </w:r>
      <w:r>
        <w:rPr>
          <w:rFonts w:ascii="Nimbus Roman No9 L" w:eastAsia="仿宋_GB2312" w:hAnsi="Nimbus Roman No9 L" w:cs="Nimbus Roman No9 L"/>
          <w:sz w:val="32"/>
          <w:szCs w:val="32"/>
        </w:rPr>
        <w:t>和鲲鹏生态体系，构建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企业集聚</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平台赋能</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应用驱动</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群体突破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的协同创新、联合攻关模式，建立信创产业标准，打造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信创谷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p>
    <w:bookmarkEnd w:id="123"/>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kern w:val="0"/>
          <w:sz w:val="32"/>
          <w:szCs w:val="32"/>
        </w:rPr>
      </w:pPr>
      <w:r>
        <w:rPr>
          <w:rFonts w:ascii="Nimbus Roman No9 L" w:eastAsia="仿宋_GB2312" w:hAnsi="Nimbus Roman No9 L" w:cs="Nimbus Roman No9 L"/>
          <w:b/>
          <w:bCs/>
          <w:sz w:val="32"/>
          <w:szCs w:val="32"/>
        </w:rPr>
        <w:t>5G</w:t>
      </w:r>
      <w:r>
        <w:rPr>
          <w:rFonts w:ascii="Nimbus Roman No9 L" w:eastAsia="仿宋_GB2312" w:hAnsi="Nimbus Roman No9 L" w:cs="Nimbus Roman No9 L"/>
          <w:b/>
          <w:bCs/>
          <w:sz w:val="32"/>
          <w:szCs w:val="32"/>
        </w:rPr>
        <w:t>。</w:t>
      </w:r>
      <w:r>
        <w:rPr>
          <w:rFonts w:ascii="Nimbus Roman No9 L" w:eastAsia="仿宋_GB2312" w:hAnsi="Nimbus Roman No9 L" w:cs="Nimbus Roman No9 L"/>
          <w:sz w:val="32"/>
          <w:szCs w:val="32"/>
        </w:rPr>
        <w:t>借助新区电子元器件、智能终端、软件产业的优势基</w:t>
      </w:r>
      <w:r>
        <w:rPr>
          <w:rFonts w:ascii="Nimbus Roman No9 L" w:eastAsia="仿宋_GB2312" w:hAnsi="Nimbus Roman No9 L" w:cs="Nimbus Roman No9 L"/>
          <w:sz w:val="32"/>
          <w:szCs w:val="32"/>
        </w:rPr>
        <w:lastRenderedPageBreak/>
        <w:t>础，快速布局</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核心零部件，做大、补强</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产业链，重点发展射频器件及测试设备、</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通信模块、光通信器件和模块、</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通信设备，</w:t>
      </w:r>
      <w:r>
        <w:rPr>
          <w:rFonts w:ascii="Nimbus Roman No9 L" w:eastAsia="仿宋_GB2312" w:hAnsi="Nimbus Roman No9 L" w:cs="Nimbus Roman No9 L"/>
          <w:kern w:val="0"/>
          <w:sz w:val="32"/>
          <w:szCs w:val="32"/>
        </w:rPr>
        <w:t>积极引进中际旭创、烽火通信、光迅科技、通宇通讯、中天科技等专注于</w:t>
      </w:r>
      <w:r>
        <w:rPr>
          <w:rFonts w:ascii="Nimbus Roman No9 L" w:eastAsia="仿宋_GB2312" w:hAnsi="Nimbus Roman No9 L" w:cs="Nimbus Roman No9 L"/>
          <w:kern w:val="0"/>
          <w:sz w:val="32"/>
          <w:szCs w:val="32"/>
        </w:rPr>
        <w:t>5G</w:t>
      </w:r>
      <w:r>
        <w:rPr>
          <w:rFonts w:ascii="Nimbus Roman No9 L" w:eastAsia="仿宋_GB2312" w:hAnsi="Nimbus Roman No9 L" w:cs="Nimbus Roman No9 L"/>
          <w:kern w:val="0"/>
          <w:sz w:val="32"/>
          <w:szCs w:val="32"/>
        </w:rPr>
        <w:t>的设备制造企业，</w:t>
      </w:r>
      <w:r>
        <w:rPr>
          <w:rFonts w:ascii="Nimbus Roman No9 L" w:eastAsia="仿宋_GB2312" w:hAnsi="Nimbus Roman No9 L" w:cs="Nimbus Roman No9 L"/>
          <w:sz w:val="32"/>
          <w:szCs w:val="32"/>
        </w:rPr>
        <w:t>推动</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产业链上游通信器件发展。积极推进面向</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的新一代移动终端设备生产制造，</w:t>
      </w:r>
      <w:bookmarkStart w:id="124" w:name="_Hlk40289959"/>
      <w:r>
        <w:rPr>
          <w:rFonts w:ascii="Nimbus Roman No9 L" w:eastAsia="仿宋_GB2312" w:hAnsi="Nimbus Roman No9 L" w:cs="Nimbus Roman No9 L"/>
          <w:sz w:val="32"/>
          <w:szCs w:val="32"/>
        </w:rPr>
        <w:t>依托天津港、中新生态城、经开区先行打造</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应用示范区，聚焦</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在工业互联、港口服务、智能制造、交通运输、医疗、金融服务、教育、文体娱乐、旅游、政务与公用事业等垂直领域的应用。</w:t>
      </w:r>
      <w:bookmarkEnd w:id="124"/>
      <w:r>
        <w:rPr>
          <w:rFonts w:ascii="Nimbus Roman No9 L" w:eastAsia="仿宋_GB2312" w:hAnsi="Nimbus Roman No9 L" w:cs="Nimbus Roman No9 L"/>
          <w:sz w:val="32"/>
          <w:szCs w:val="32"/>
        </w:rPr>
        <w:t>加快</w:t>
      </w:r>
      <w:r>
        <w:rPr>
          <w:rFonts w:ascii="Nimbus Roman No9 L" w:eastAsia="仿宋_GB2312" w:hAnsi="Nimbus Roman No9 L" w:cs="Nimbus Roman No9 L"/>
          <w:kern w:val="0"/>
          <w:sz w:val="32"/>
          <w:szCs w:val="32"/>
        </w:rPr>
        <w:t>建设</w:t>
      </w:r>
      <w:r>
        <w:rPr>
          <w:rFonts w:ascii="Nimbus Roman No9 L" w:eastAsia="仿宋_GB2312" w:hAnsi="Nimbus Roman No9 L" w:cs="Nimbus Roman No9 L"/>
          <w:kern w:val="0"/>
          <w:sz w:val="32"/>
          <w:szCs w:val="32"/>
        </w:rPr>
        <w:t>5G</w:t>
      </w:r>
      <w:r>
        <w:rPr>
          <w:rFonts w:ascii="Nimbus Roman No9 L" w:eastAsia="仿宋_GB2312" w:hAnsi="Nimbus Roman No9 L" w:cs="Nimbus Roman No9 L"/>
          <w:kern w:val="0"/>
          <w:sz w:val="32"/>
          <w:szCs w:val="32"/>
        </w:rPr>
        <w:t>通信产业创新中心，联合唯捷创芯、诺思等创新性龙头企业，以及信息技术创新中心、北大新一代信息技术研究院（天津滨海）、南开大学国家示范性软件学院等产学研平台，针对</w:t>
      </w:r>
      <w:r>
        <w:rPr>
          <w:rFonts w:ascii="Nimbus Roman No9 L" w:eastAsia="仿宋_GB2312" w:hAnsi="Nimbus Roman No9 L" w:cs="Nimbus Roman No9 L"/>
          <w:kern w:val="0"/>
          <w:sz w:val="32"/>
          <w:szCs w:val="32"/>
        </w:rPr>
        <w:t>5G</w:t>
      </w:r>
      <w:r>
        <w:rPr>
          <w:rFonts w:ascii="Nimbus Roman No9 L" w:eastAsia="仿宋_GB2312" w:hAnsi="Nimbus Roman No9 L" w:cs="Nimbus Roman No9 L"/>
          <w:kern w:val="0"/>
          <w:sz w:val="32"/>
          <w:szCs w:val="32"/>
        </w:rPr>
        <w:t>关键技术进行联合攻关。加快</w:t>
      </w:r>
      <w:r>
        <w:rPr>
          <w:rFonts w:ascii="Nimbus Roman No9 L" w:eastAsia="仿宋_GB2312" w:hAnsi="Nimbus Roman No9 L" w:cs="Nimbus Roman No9 L"/>
          <w:kern w:val="0"/>
          <w:sz w:val="32"/>
          <w:szCs w:val="32"/>
        </w:rPr>
        <w:t>5G</w:t>
      </w:r>
      <w:r>
        <w:rPr>
          <w:rFonts w:ascii="Nimbus Roman No9 L" w:eastAsia="仿宋_GB2312" w:hAnsi="Nimbus Roman No9 L" w:cs="Nimbus Roman No9 L"/>
          <w:kern w:val="0"/>
          <w:sz w:val="32"/>
          <w:szCs w:val="32"/>
        </w:rPr>
        <w:t>检测认证平台建设，面向</w:t>
      </w:r>
      <w:r>
        <w:rPr>
          <w:rFonts w:ascii="Nimbus Roman No9 L" w:eastAsia="仿宋_GB2312" w:hAnsi="Nimbus Roman No9 L" w:cs="Nimbus Roman No9 L"/>
          <w:kern w:val="0"/>
          <w:sz w:val="32"/>
          <w:szCs w:val="32"/>
        </w:rPr>
        <w:t>5G</w:t>
      </w:r>
      <w:r>
        <w:rPr>
          <w:rFonts w:ascii="Nimbus Roman No9 L" w:eastAsia="仿宋_GB2312" w:hAnsi="Nimbus Roman No9 L" w:cs="Nimbus Roman No9 L"/>
          <w:kern w:val="0"/>
          <w:sz w:val="32"/>
          <w:szCs w:val="32"/>
        </w:rPr>
        <w:t>系统、终端、服务、安全等各环节提升测试、检验、认证等服务能力，降低企业研发及应用成本。</w:t>
      </w:r>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人工智能。</w:t>
      </w:r>
      <w:r>
        <w:rPr>
          <w:rFonts w:ascii="Nimbus Roman No9 L" w:eastAsia="仿宋_GB2312" w:hAnsi="Nimbus Roman No9 L" w:cs="Nimbus Roman No9 L"/>
          <w:sz w:val="32"/>
          <w:szCs w:val="32"/>
        </w:rPr>
        <w:t>支持经开区、高新区以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人工智能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为抓手，深入推进人工智能与实体经济融合，加强重点领域应用和辐射引导，搭建一批人工智能成果转化示范基地。积极推进恩智浦人工智能应用示范基地、天津（滨海）人工智能创新中心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群体智能操作系统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项目研发、全国新一代人工智能应用示范基地等一批产业化项目。积极推进人工智能终端应用产品生产制造项目，</w:t>
      </w:r>
      <w:bookmarkStart w:id="125" w:name="_Hlk40289996"/>
      <w:r>
        <w:rPr>
          <w:rFonts w:ascii="Nimbus Roman No9 L" w:eastAsia="仿宋_GB2312" w:hAnsi="Nimbus Roman No9 L" w:cs="Nimbus Roman No9 L"/>
          <w:sz w:val="32"/>
          <w:szCs w:val="32"/>
        </w:rPr>
        <w:t>重点围绕智能制造、智能医疗与健康、智能农业、智能交通与港口、</w:t>
      </w:r>
      <w:r>
        <w:rPr>
          <w:rFonts w:ascii="Nimbus Roman No9 L" w:eastAsia="仿宋_GB2312" w:hAnsi="Nimbus Roman No9 L" w:cs="Nimbus Roman No9 L"/>
          <w:sz w:val="32"/>
          <w:szCs w:val="32"/>
        </w:rPr>
        <w:lastRenderedPageBreak/>
        <w:t>智慧城市与环保、智能商贸物流、智能文化创意产业、智能金融、智能科技领域等，拓展人工智能融合应用场景，开展技术应用示范推广工程。</w:t>
      </w:r>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人工智能创新平台。</w:t>
      </w:r>
      <w:r>
        <w:rPr>
          <w:rFonts w:ascii="Nimbus Roman No9 L" w:eastAsia="仿宋_GB2312" w:hAnsi="Nimbus Roman No9 L" w:cs="Nimbus Roman No9 L"/>
          <w:sz w:val="32"/>
          <w:szCs w:val="32"/>
        </w:rPr>
        <w:t>加快推进人工智能创新平台建设，突破新一代人工智能关键技术，形成持续创新能力。建设滨海新区人工智能信息技术中心，</w:t>
      </w:r>
      <w:bookmarkEnd w:id="125"/>
      <w:r>
        <w:rPr>
          <w:rFonts w:ascii="Nimbus Roman No9 L" w:eastAsia="仿宋_GB2312" w:hAnsi="Nimbus Roman No9 L" w:cs="Nimbus Roman No9 L"/>
          <w:sz w:val="32"/>
          <w:szCs w:val="32"/>
        </w:rPr>
        <w:t>引进商汤科技、思必驰、依图科技、云从科技、云知声等企业，开展类脑神经计算系统、类脑信息处理等类脑智能领域的前沿理论和技术研究。</w:t>
      </w:r>
      <w:bookmarkStart w:id="126" w:name="_Hlk40290012"/>
      <w:r>
        <w:rPr>
          <w:rFonts w:ascii="Nimbus Roman No9 L" w:eastAsia="仿宋_GB2312" w:hAnsi="Nimbus Roman No9 L" w:cs="Nimbus Roman No9 L"/>
          <w:sz w:val="32"/>
          <w:szCs w:val="32"/>
        </w:rPr>
        <w:t>加快建设人工智能实验室，进行智慧城市、智能手机、泛文化娱乐、智能汽车、智慧医疗、智慧商业与金融、教育、广告等领域的技术研发。规划建设人工智能语音交互技术创新平台，加快基于人工智能的计算机视听觉、生物特征识别、复杂环境识别、新型人机交互、自然语言理解、机器翻译、智能决策控制、网络安全、人工智能芯片模组等应用技术研发和产业化。加快建设人工智能协同创新研究院，集聚海内外创新资源，开展重大课题研究、共性技术研发、科技成果转化、要素集聚对接等工作，打造国家级人工智能创新中心，辐射带动人工智能人才与企业集聚，形成从支撑技术、基础芯片到应用终端的产业链条。</w:t>
      </w:r>
      <w:bookmarkEnd w:id="126"/>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shd w:val="clear" w:color="auto" w:fill="FFFFFF" w:themeFill="background1"/>
        </w:rPr>
      </w:pPr>
      <w:r>
        <w:rPr>
          <w:rFonts w:ascii="Nimbus Roman No9 L" w:eastAsia="仿宋_GB2312" w:hAnsi="Nimbus Roman No9 L" w:cs="Nimbus Roman No9 L"/>
          <w:b/>
          <w:bCs/>
          <w:sz w:val="32"/>
          <w:szCs w:val="32"/>
        </w:rPr>
        <w:t>智能网联汽车。</w:t>
      </w:r>
      <w:r>
        <w:rPr>
          <w:rFonts w:ascii="Nimbus Roman No9 L" w:eastAsia="仿宋_GB2312" w:hAnsi="Nimbus Roman No9 L" w:cs="Nimbus Roman No9 L"/>
          <w:sz w:val="32"/>
          <w:szCs w:val="32"/>
          <w:shd w:val="clear" w:color="auto" w:fill="FFFFFF" w:themeFill="background1"/>
        </w:rPr>
        <w:t>着力培育智能网联汽车产业链、创新链，面向智能网联汽车产业化共性关键技术，</w:t>
      </w:r>
      <w:r>
        <w:rPr>
          <w:rFonts w:ascii="Nimbus Roman No9 L" w:eastAsia="仿宋_GB2312" w:hAnsi="Nimbus Roman No9 L" w:cs="Nimbus Roman No9 L"/>
          <w:sz w:val="32"/>
          <w:szCs w:val="32"/>
        </w:rPr>
        <w:t>依托新区传统汽车产业基础，引导传统汽车零部件企业向</w:t>
      </w:r>
      <w:r>
        <w:rPr>
          <w:rFonts w:ascii="Nimbus Roman No9 L" w:eastAsia="仿宋_GB2312" w:hAnsi="Nimbus Roman No9 L" w:cs="Nimbus Roman No9 L"/>
          <w:sz w:val="32"/>
          <w:szCs w:val="32"/>
          <w:shd w:val="clear" w:color="auto" w:fill="FFFFFF" w:themeFill="background1"/>
        </w:rPr>
        <w:t>包括车载计算平台、域控制器、</w:t>
      </w:r>
      <w:r>
        <w:rPr>
          <w:rFonts w:ascii="Nimbus Roman No9 L" w:eastAsia="仿宋_GB2312" w:hAnsi="Nimbus Roman No9 L" w:cs="Nimbus Roman No9 L"/>
          <w:sz w:val="32"/>
          <w:szCs w:val="32"/>
          <w:shd w:val="clear" w:color="auto" w:fill="FFFFFF" w:themeFill="background1"/>
        </w:rPr>
        <w:lastRenderedPageBreak/>
        <w:t>环境感知传感器、执行器及融合系统等智能网联汽车核心零部件制造产业</w:t>
      </w:r>
      <w:r>
        <w:rPr>
          <w:rFonts w:ascii="Nimbus Roman No9 L" w:eastAsia="仿宋_GB2312" w:hAnsi="Nimbus Roman No9 L" w:cs="Nimbus Roman No9 L"/>
          <w:sz w:val="32"/>
          <w:szCs w:val="32"/>
        </w:rPr>
        <w:t>转型升级。积极引进地平线、赛灵思等国内外智能驾驶处理器研发生产企业和镭神智能、智波科技、水晶光电等智能网联汽车核心零部件企业，</w:t>
      </w:r>
      <w:r>
        <w:rPr>
          <w:rFonts w:ascii="Nimbus Roman No9 L" w:eastAsia="仿宋_GB2312" w:hAnsi="Nimbus Roman No9 L" w:cs="Nimbus Roman No9 L"/>
          <w:sz w:val="32"/>
          <w:szCs w:val="32"/>
          <w:shd w:val="clear" w:color="auto" w:fill="FFFFFF" w:themeFill="background1"/>
        </w:rPr>
        <w:t>建立完善的智能网联汽车自主研发体系、生产配套体系。</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先进计算。</w:t>
      </w:r>
      <w:r>
        <w:rPr>
          <w:rFonts w:ascii="Nimbus Roman No9 L" w:eastAsia="仿宋_GB2312" w:hAnsi="Nimbus Roman No9 L" w:cs="Nimbus Roman No9 L"/>
          <w:sz w:val="32"/>
          <w:szCs w:val="32"/>
        </w:rPr>
        <w:t>构建超级计算与云计算、人工智能、大数据深度融合的高性能计算服务平台，探索融合智能计算、量子计算、类脑计算等软硬件架构、工艺、应用等多个领域，打造先进计算产业基地。聚焦智慧城市运营，云研发、运营及销售，产业互联网等业务，为服务产业发展的数字大脑打造核心引擎。积极构建云计算产业生态，建设一批公有云服务平台和产业云服务平台，推动滨海新区重点企业、工业设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上云上平台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区块链。</w:t>
      </w:r>
      <w:r>
        <w:rPr>
          <w:rFonts w:ascii="Nimbus Roman No9 L" w:eastAsia="仿宋_GB2312" w:hAnsi="Nimbus Roman No9 L" w:cs="Nimbus Roman No9 L"/>
          <w:sz w:val="32"/>
          <w:szCs w:val="32"/>
        </w:rPr>
        <w:t>强化区块链基础研究和关键核心技术攻关，构建区块链底层开源技术平台，在产业发展、城市管理、民生服务、公共安全等领域建设落地一批应用场景。构建区块链服务实体经济发展良好生态，推进区块链和生物医药等战略性新兴产业深度融合。</w:t>
      </w:r>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127" w:name="_Toc40287047"/>
      <w:bookmarkStart w:id="128" w:name="_Toc5041"/>
      <w:bookmarkStart w:id="129" w:name="_Toc28778"/>
      <w:bookmarkStart w:id="130" w:name="_Toc72775257"/>
      <w:r>
        <w:rPr>
          <w:rFonts w:ascii="Nimbus Roman No9 L" w:eastAsia="楷体" w:hAnsi="Nimbus Roman No9 L" w:cs="Nimbus Roman No9 L"/>
          <w:sz w:val="32"/>
          <w:szCs w:val="32"/>
        </w:rPr>
        <w:t>（三）打造国际生物医药产业集聚高地</w:t>
      </w:r>
      <w:bookmarkEnd w:id="127"/>
      <w:bookmarkEnd w:id="128"/>
      <w:bookmarkEnd w:id="129"/>
      <w:bookmarkEnd w:id="130"/>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生物技术。</w:t>
      </w:r>
      <w:r>
        <w:rPr>
          <w:rFonts w:ascii="Nimbus Roman No9 L" w:eastAsia="仿宋_GB2312" w:hAnsi="Nimbus Roman No9 L" w:cs="Nimbus Roman No9 L"/>
          <w:sz w:val="32"/>
          <w:szCs w:val="32"/>
        </w:rPr>
        <w:t>依托中科院天津工业生物技术研究所、天津药物研究院、国家干细胞工程技术研究中心等创新平台，推进生物制造谷、京津冀特色</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细胞谷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、国际生物医药联合研究院二期、国</w:t>
      </w:r>
      <w:r>
        <w:rPr>
          <w:rFonts w:ascii="Nimbus Roman No9 L" w:eastAsia="仿宋_GB2312" w:hAnsi="Nimbus Roman No9 L" w:cs="Nimbus Roman No9 L"/>
          <w:sz w:val="32"/>
          <w:szCs w:val="32"/>
        </w:rPr>
        <w:lastRenderedPageBreak/>
        <w:t>家合成生物技术创新中心、现代中药产业创新中心等建设，打造立足于干细胞存储、基因检测的化妆品美容保健品、细胞制剂全产业链。引进智飞生物、华兰生物、沃森生物等国内疫苗研发和生产龙头企业，重点推进以研发艾滋病疫苗为代表的先进疫苗产业。引进君实生物、百济神州、恒瑞医药等行业标杆企业，发展抗肿瘤等创新单克隆抗体药物技术。建成功能布局合理、细分领域特色突出、创新要素高度聚集、具有国际竞争力的生物医药产业发展先导区。</w:t>
      </w:r>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bookmarkStart w:id="131" w:name="_Hlk40290525"/>
      <w:r>
        <w:rPr>
          <w:rFonts w:ascii="Nimbus Roman No9 L" w:eastAsia="仿宋_GB2312" w:hAnsi="Nimbus Roman No9 L" w:cs="Nimbus Roman No9 L"/>
          <w:b/>
          <w:bCs/>
          <w:sz w:val="32"/>
          <w:szCs w:val="32"/>
        </w:rPr>
        <w:t>高端医疗器械。</w:t>
      </w:r>
      <w:r>
        <w:rPr>
          <w:rFonts w:ascii="Nimbus Roman No9 L" w:eastAsia="仿宋_GB2312" w:hAnsi="Nimbus Roman No9 L" w:cs="Nimbus Roman No9 L"/>
          <w:sz w:val="32"/>
          <w:szCs w:val="32"/>
        </w:rPr>
        <w:t>重点引进具核心技术研发实力的企业，加快推动基于血液分析、生化分析、免疫分析和分子诊断的临床诊断设备发展。依托新区雄厚的制造业基础和新材料产业的研发能力，支持心脏介入器械、脑血管介入器械、外周血管介入器械、电生理介入器械等心脏高值耗材，以及创伤类、脊柱类、关节类、足踝类等骨科高值耗材产业发展。依托新区电子信息和化工等支柱产业，培育影像诊断设备产业，积极引进迈瑞医疗、开立医疗等龙头国产企业，重点发展</w:t>
      </w:r>
      <w:r>
        <w:rPr>
          <w:rFonts w:ascii="Nimbus Roman No9 L" w:eastAsia="仿宋_GB2312" w:hAnsi="Nimbus Roman No9 L" w:cs="Nimbus Roman No9 L"/>
          <w:sz w:val="32"/>
          <w:szCs w:val="32"/>
        </w:rPr>
        <w:t>DR</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CT</w:t>
      </w:r>
      <w:r>
        <w:rPr>
          <w:rFonts w:ascii="Nimbus Roman No9 L" w:eastAsia="仿宋_GB2312" w:hAnsi="Nimbus Roman No9 L" w:cs="Nimbus Roman No9 L"/>
          <w:sz w:val="32"/>
          <w:szCs w:val="32"/>
        </w:rPr>
        <w:t>、及</w:t>
      </w:r>
      <w:r>
        <w:rPr>
          <w:rFonts w:ascii="Nimbus Roman No9 L" w:eastAsia="仿宋_GB2312" w:hAnsi="Nimbus Roman No9 L" w:cs="Nimbus Roman No9 L"/>
          <w:sz w:val="32"/>
          <w:szCs w:val="32"/>
        </w:rPr>
        <w:t>MRI</w:t>
      </w:r>
      <w:r>
        <w:rPr>
          <w:rFonts w:ascii="Nimbus Roman No9 L" w:eastAsia="仿宋_GB2312" w:hAnsi="Nimbus Roman No9 L" w:cs="Nimbus Roman No9 L"/>
          <w:sz w:val="32"/>
          <w:szCs w:val="32"/>
        </w:rPr>
        <w:t>领域。</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bookmarkStart w:id="132" w:name="_Hlk40290539"/>
      <w:bookmarkEnd w:id="131"/>
      <w:r>
        <w:rPr>
          <w:rFonts w:ascii="Nimbus Roman No9 L" w:eastAsia="仿宋_GB2312" w:hAnsi="Nimbus Roman No9 L" w:cs="Nimbus Roman No9 L"/>
          <w:b/>
          <w:bCs/>
          <w:sz w:val="32"/>
          <w:szCs w:val="32"/>
        </w:rPr>
        <w:t>大健康产业。</w:t>
      </w:r>
      <w:r>
        <w:rPr>
          <w:rFonts w:ascii="Nimbus Roman No9 L" w:eastAsia="仿宋_GB2312" w:hAnsi="Nimbus Roman No9 L" w:cs="Nimbus Roman No9 L"/>
          <w:sz w:val="32"/>
          <w:szCs w:val="32"/>
        </w:rPr>
        <w:t>将中医理疗等先进理念与健康养老相结合，加快布局大健康产业，推进尚赫健康产业园、津村盛实高品质中药产业基地项目等大健康产业园区项目，打造以健康护理、健康咨询、养老服务、健康食品、医药研发服务为主要内容的全链条健康产业布局。</w:t>
      </w:r>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133" w:name="_Toc72775258"/>
      <w:bookmarkStart w:id="134" w:name="_Toc18801"/>
      <w:bookmarkStart w:id="135" w:name="_Toc40287048"/>
      <w:bookmarkStart w:id="136" w:name="_Toc23214"/>
      <w:bookmarkEnd w:id="132"/>
      <w:r>
        <w:rPr>
          <w:rFonts w:ascii="Nimbus Roman No9 L" w:eastAsia="楷体" w:hAnsi="Nimbus Roman No9 L" w:cs="Nimbus Roman No9 L"/>
          <w:sz w:val="32"/>
          <w:szCs w:val="32"/>
        </w:rPr>
        <w:lastRenderedPageBreak/>
        <w:t>（四）创建具有国际影响力的新能源产业基地</w:t>
      </w:r>
      <w:bookmarkEnd w:id="133"/>
      <w:bookmarkEnd w:id="134"/>
      <w:bookmarkEnd w:id="135"/>
      <w:bookmarkEnd w:id="136"/>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动力电池。</w:t>
      </w:r>
      <w:r>
        <w:rPr>
          <w:rFonts w:ascii="Nimbus Roman No9 L" w:eastAsia="仿宋_GB2312" w:hAnsi="Nimbus Roman No9 L" w:cs="Nimbus Roman No9 L"/>
          <w:sz w:val="32"/>
          <w:szCs w:val="32"/>
        </w:rPr>
        <w:t>依托三星、力神等重点企业，研发动力电池的正极材料、负极材料、电解液、隔膜的生产和电池生产及组装。扩大锂离子电池产业优势，丰富电池关键材料、电芯及电池系统完整产业链，打造上游原材料、中间电池产品及检测、下游电池应用及回收全产业链的动力电池产业集群，建设全国动力电池生产制造基地。</w:t>
      </w:r>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氢能源。</w:t>
      </w:r>
      <w:r>
        <w:rPr>
          <w:rFonts w:ascii="Nimbus Roman No9 L" w:eastAsia="仿宋_GB2312" w:hAnsi="Nimbus Roman No9 L" w:cs="Nimbus Roman No9 L"/>
          <w:sz w:val="32"/>
          <w:szCs w:val="32"/>
        </w:rPr>
        <w:t>依托新区汽车、新材料等优势产业基础，重点支持包括氢燃料电池电堆、制氢储氢和氢燃料运输加注等氢燃料电池关键技术的研究开发，</w:t>
      </w:r>
      <w:bookmarkStart w:id="137" w:name="_Hlk40291111"/>
      <w:r>
        <w:rPr>
          <w:rFonts w:ascii="Nimbus Roman No9 L" w:eastAsia="仿宋_GB2312" w:hAnsi="Nimbus Roman No9 L" w:cs="Nimbus Roman No9 L"/>
          <w:sz w:val="32"/>
          <w:szCs w:val="32"/>
        </w:rPr>
        <w:t>推进实施大港氢能利用项目（一期）项目，引进飞驰绿能、新源动力、华源氢能、攀业氢能源等氢燃料电池科研生产龙头企业，促进氢液化装备、氢气隔膜式压缩机、液氢泵、高压储（输）氢设备、液氢储运设备、车载供氢系统、燃料电池和动力系统、加氢机及核心阀门等氢燃料电池及核心零部件产业化。</w:t>
      </w:r>
      <w:bookmarkEnd w:id="137"/>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新能源。</w:t>
      </w:r>
      <w:r>
        <w:rPr>
          <w:rFonts w:ascii="Nimbus Roman No9 L" w:eastAsia="仿宋_GB2312" w:hAnsi="Nimbus Roman No9 L" w:cs="Nimbus Roman No9 L"/>
          <w:sz w:val="32"/>
          <w:szCs w:val="32"/>
        </w:rPr>
        <w:t>加大清洁能源发展力度，有序推进风电和光伏发电项目建设，优化风能、太阳能开发布局，加大可再生能源消纳力度。发挥风电龙头企业聚集优势，以整机为龙头、零部件配套及相关服务为支撑，推进风电设备制造、变频控制器、分布式智能微网发电系统等风电产业集群发展。</w:t>
      </w:r>
      <w:bookmarkStart w:id="138" w:name="_Toc40287049"/>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139" w:name="_Toc27796"/>
      <w:bookmarkStart w:id="140" w:name="_Toc8222"/>
      <w:bookmarkStart w:id="141" w:name="_Toc72775259"/>
      <w:r>
        <w:rPr>
          <w:rFonts w:ascii="Nimbus Roman No9 L" w:eastAsia="楷体" w:hAnsi="Nimbus Roman No9 L" w:cs="Nimbus Roman No9 L"/>
          <w:sz w:val="32"/>
          <w:szCs w:val="32"/>
        </w:rPr>
        <w:t>（五）建设新材料产业创新先导区</w:t>
      </w:r>
      <w:bookmarkEnd w:id="138"/>
      <w:bookmarkEnd w:id="139"/>
      <w:bookmarkEnd w:id="140"/>
      <w:bookmarkEnd w:id="141"/>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前沿新材料。</w:t>
      </w:r>
      <w:r>
        <w:rPr>
          <w:rFonts w:ascii="Nimbus Roman No9 L" w:eastAsia="仿宋_GB2312" w:hAnsi="Nimbus Roman No9 L" w:cs="Nimbus Roman No9 L"/>
          <w:sz w:val="32"/>
          <w:szCs w:val="32"/>
        </w:rPr>
        <w:t>拓展在航空航天、生物医药、国防、精密加工等领域的产品应用范围，</w:t>
      </w:r>
      <w:bookmarkStart w:id="142" w:name="_Hlk40292865"/>
      <w:r>
        <w:rPr>
          <w:rFonts w:ascii="Nimbus Roman No9 L" w:eastAsia="仿宋_GB2312" w:hAnsi="Nimbus Roman No9 L" w:cs="Nimbus Roman No9 L"/>
          <w:sz w:val="32"/>
          <w:szCs w:val="32"/>
        </w:rPr>
        <w:t>重点推进石墨烯材料产业化应用领域关键技术，积极引进方大炭素等高科技创新企业，形成一批具有自主知识产权的石墨烯功能材料及产业核心技术，</w:t>
      </w:r>
      <w:bookmarkEnd w:id="142"/>
      <w:r>
        <w:rPr>
          <w:rFonts w:ascii="Nimbus Roman No9 L" w:eastAsia="仿宋_GB2312" w:hAnsi="Nimbus Roman No9 L" w:cs="Nimbus Roman No9 L"/>
          <w:sz w:val="32"/>
          <w:szCs w:val="32"/>
        </w:rPr>
        <w:t>探索石墨烯在电子信息、航空航天等领域的应用。</w:t>
      </w:r>
      <w:bookmarkStart w:id="143" w:name="_Hlk40292884"/>
      <w:r>
        <w:rPr>
          <w:rFonts w:ascii="Nimbus Roman No9 L" w:eastAsia="仿宋_GB2312" w:hAnsi="Nimbus Roman No9 L" w:cs="Nimbus Roman No9 L"/>
          <w:sz w:val="32"/>
          <w:szCs w:val="32"/>
        </w:rPr>
        <w:t>依托新区电子信息产业基础，引进永鼎股份等超导材料龙头企业，探索超导材料在电力输送、医疗器械等领域的产业化应用。</w:t>
      </w:r>
    </w:p>
    <w:bookmarkEnd w:id="143"/>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关键战略材料。</w:t>
      </w:r>
      <w:r>
        <w:rPr>
          <w:rFonts w:ascii="Nimbus Roman No9 L" w:eastAsia="仿宋_GB2312" w:hAnsi="Nimbus Roman No9 L" w:cs="Nimbus Roman No9 L"/>
          <w:sz w:val="32"/>
          <w:szCs w:val="32"/>
        </w:rPr>
        <w:t>围绕新区主导产业发展基础，依托国家纳米技术与工程研究院等科研机构，推动产业创新升级。依托新区产业基础，</w:t>
      </w:r>
      <w:bookmarkStart w:id="144" w:name="_Hlk40292921"/>
      <w:r>
        <w:rPr>
          <w:rFonts w:ascii="Nimbus Roman No9 L" w:eastAsia="仿宋_GB2312" w:hAnsi="Nimbus Roman No9 L" w:cs="Nimbus Roman No9 L"/>
          <w:sz w:val="32"/>
          <w:szCs w:val="32"/>
        </w:rPr>
        <w:t>加快拓展新型技术材料在航天航空、社会生活等各领域的应用，</w:t>
      </w:r>
      <w:bookmarkEnd w:id="144"/>
      <w:r>
        <w:rPr>
          <w:rFonts w:ascii="Nimbus Roman No9 L" w:eastAsia="仿宋_GB2312" w:hAnsi="Nimbus Roman No9 L" w:cs="Nimbus Roman No9 L"/>
          <w:sz w:val="32"/>
          <w:szCs w:val="32"/>
        </w:rPr>
        <w:t>进一步延伸产业链条、壮大集群规模。重点引进有研新材、中航高科、龙生股份等上市企业落地，鼓励新材料企业与上游研发机构及下游应用企业，针对行业关键技术联合攻关，延伸产业链条、壮大集群规模、提升产品附加值。</w:t>
      </w:r>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145" w:name="_Toc10622"/>
      <w:bookmarkStart w:id="146" w:name="_Toc12992"/>
      <w:bookmarkStart w:id="147" w:name="_Toc40287050"/>
      <w:bookmarkStart w:id="148" w:name="_Toc72775260"/>
      <w:r>
        <w:rPr>
          <w:rFonts w:ascii="Nimbus Roman No9 L" w:eastAsia="楷体" w:hAnsi="Nimbus Roman No9 L" w:cs="Nimbus Roman No9 L"/>
          <w:sz w:val="32"/>
          <w:szCs w:val="32"/>
        </w:rPr>
        <w:t>（六）打造全国新能源汽车产业研发生产基地</w:t>
      </w:r>
      <w:bookmarkEnd w:id="145"/>
      <w:bookmarkEnd w:id="146"/>
      <w:bookmarkEnd w:id="147"/>
      <w:bookmarkEnd w:id="148"/>
    </w:p>
    <w:p w:rsidR="008C1560" w:rsidRDefault="00BA3517" w:rsidP="009D3EED">
      <w:pPr>
        <w:tabs>
          <w:tab w:val="left" w:pos="1312"/>
        </w:tabs>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新能源整车。</w:t>
      </w:r>
      <w:r>
        <w:rPr>
          <w:rFonts w:ascii="Nimbus Roman No9 L" w:eastAsia="仿宋_GB2312" w:hAnsi="Nimbus Roman No9 L" w:cs="Nimbus Roman No9 L"/>
          <w:sz w:val="32"/>
          <w:szCs w:val="32"/>
        </w:rPr>
        <w:t>依托一汽大众华北基地的汽车产业聚集优势，培</w:t>
      </w:r>
      <w:bookmarkStart w:id="149" w:name="_Hlk40290978"/>
      <w:r>
        <w:rPr>
          <w:rFonts w:ascii="Nimbus Roman No9 L" w:eastAsia="仿宋_GB2312" w:hAnsi="Nimbus Roman No9 L" w:cs="Nimbus Roman No9 L"/>
          <w:sz w:val="32"/>
          <w:szCs w:val="32"/>
        </w:rPr>
        <w:t>育新能源汽车产业集群，注重产业链高端发展，着力提升自主创新能力和自主品牌影响力，</w:t>
      </w:r>
      <w:bookmarkEnd w:id="149"/>
      <w:r>
        <w:rPr>
          <w:rFonts w:ascii="Nimbus Roman No9 L" w:eastAsia="仿宋_GB2312" w:hAnsi="Nimbus Roman No9 L" w:cs="Nimbus Roman No9 L"/>
          <w:sz w:val="32"/>
          <w:szCs w:val="32"/>
        </w:rPr>
        <w:t>密切跟踪国内外优势汽车企业投资动向和新能源汽车布局需求，拓展引进亚星客车、中通客车等新能源客车企业，以及拜腾汽车、小鹏汽车、威马汽车等新势力造车企业，加快形成具有自主知识产权技术、标准的新区新能源汽</w:t>
      </w:r>
      <w:r>
        <w:rPr>
          <w:rFonts w:ascii="Nimbus Roman No9 L" w:eastAsia="仿宋_GB2312" w:hAnsi="Nimbus Roman No9 L" w:cs="Nimbus Roman No9 L"/>
          <w:sz w:val="32"/>
          <w:szCs w:val="32"/>
        </w:rPr>
        <w:lastRenderedPageBreak/>
        <w:t>车名片。支持建设一批新能源汽车关键零部件创新平台，推动整车企业、科研院所、关键零部件企业加强合作，组建产业技术创新联盟。</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新能源关键零部件。</w:t>
      </w:r>
      <w:r>
        <w:rPr>
          <w:rFonts w:ascii="Nimbus Roman No9 L" w:eastAsia="仿宋_GB2312" w:hAnsi="Nimbus Roman No9 L" w:cs="Nimbus Roman No9 L"/>
          <w:sz w:val="32"/>
          <w:szCs w:val="32"/>
        </w:rPr>
        <w:t>依托整车项目加快关键零部件企业发展步伐，</w:t>
      </w:r>
      <w:bookmarkStart w:id="150" w:name="_Hlk40291059"/>
      <w:r>
        <w:rPr>
          <w:rFonts w:ascii="Nimbus Roman No9 L" w:eastAsia="仿宋_GB2312" w:hAnsi="Nimbus Roman No9 L" w:cs="Nimbus Roman No9 L"/>
          <w:sz w:val="32"/>
          <w:szCs w:val="32"/>
        </w:rPr>
        <w:t>重点突破新能源汽车电机、电控系统等关键零部件技术瓶颈，</w:t>
      </w:r>
      <w:bookmarkEnd w:id="150"/>
      <w:r>
        <w:rPr>
          <w:rFonts w:ascii="Nimbus Roman No9 L" w:eastAsia="仿宋_GB2312" w:hAnsi="Nimbus Roman No9 L" w:cs="Nimbus Roman No9 L"/>
          <w:sz w:val="32"/>
          <w:szCs w:val="32"/>
        </w:rPr>
        <w:t>围绕天津新能源汽车零部件配套基地项目，重点引进新能源汽车关键零部件企业，实施推进天津电装电子有限公司第二工厂项目、德力新能源汽车零部件项目、龙蟠润滑新材料新能源车用冷却液生产基地建设项目、中国恒天新能源汽车研发及产业化基地项目等，引进富奥股份、圣龙股份、国恩股份等以新能源汽车为战略方向的上市企业，完善新能源汽车产业链条，构建新能源汽车关键零部件技术、产业化优势。</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新能源汽车创新平台。</w:t>
      </w:r>
      <w:r>
        <w:rPr>
          <w:rFonts w:ascii="Nimbus Roman No9 L" w:eastAsia="仿宋_GB2312" w:hAnsi="Nimbus Roman No9 L" w:cs="Nimbus Roman No9 L"/>
          <w:sz w:val="32"/>
          <w:szCs w:val="32"/>
        </w:rPr>
        <w:t>引导龙头企业与科研院所及国内外高校合作，积极开展产学研合作和人才培养，重点推进面向新能源汽车行业的先进技术研究和应用研究，积极推进大陆集团混合动力电动车系统亚太区研发生产总部项目，建设国内一流的电动汽车整车和零部件实验室、研发和产业化基地，形成产学研用合作平台。围绕电动汽车领域开展合作研发、共享平台等工作，打造新能源汽车动力电池企业内网网络化改造行业推广服务平台，构建面向行业推广应用的工业互联网网络推广应用平台，为新能源中小企业提供技术咨询和培训服务。</w:t>
      </w:r>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151" w:name="_Toc40287051"/>
      <w:bookmarkStart w:id="152" w:name="_Toc72775261"/>
      <w:bookmarkStart w:id="153" w:name="_Toc11486"/>
      <w:bookmarkStart w:id="154" w:name="_Toc31628"/>
      <w:r>
        <w:rPr>
          <w:rFonts w:ascii="Nimbus Roman No9 L" w:eastAsia="楷体" w:hAnsi="Nimbus Roman No9 L" w:cs="Nimbus Roman No9 L"/>
          <w:sz w:val="32"/>
          <w:szCs w:val="32"/>
        </w:rPr>
        <w:lastRenderedPageBreak/>
        <w:t>（七）加快推进节能环保产业发展</w:t>
      </w:r>
      <w:bookmarkEnd w:id="151"/>
      <w:bookmarkEnd w:id="152"/>
      <w:bookmarkEnd w:id="153"/>
      <w:bookmarkEnd w:id="154"/>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加快发展海水综合循环经济。</w:t>
      </w:r>
      <w:r>
        <w:rPr>
          <w:rFonts w:ascii="Nimbus Roman No9 L" w:eastAsia="仿宋_GB2312" w:hAnsi="Nimbus Roman No9 L" w:cs="Nimbus Roman No9 L"/>
          <w:sz w:val="32"/>
          <w:szCs w:val="32"/>
        </w:rPr>
        <w:t>依托海水淡化与综合利用研究所、海水淡化与综合利用示范基地、海水淡化产业（人才）联盟等平台，加快建设海水淡化试验场、国家海水资源利用技术创新中心等示范工程，加快突破膜技术、浓盐水综合利用等领域卡脖子关键技术，</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构建集研发设计、成套装备制造、关键材料部件、药剂生产等于一体的海水淡化产业链，拓展海水淡化应用场景，打造国家级海水淡化装备研发生产基地。</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积极建设绿色产业示范基地。</w:t>
      </w:r>
      <w:r>
        <w:rPr>
          <w:rFonts w:ascii="Nimbus Roman No9 L" w:eastAsia="仿宋_GB2312" w:hAnsi="Nimbus Roman No9 L" w:cs="Nimbus Roman No9 L"/>
          <w:sz w:val="32"/>
          <w:szCs w:val="32"/>
        </w:rPr>
        <w:t>着力推动绿色产业集聚，加强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产学研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深度融合，推进天津市滨海新区环境创新研究院建设，支持科研机构与龙头企业整合创新资源建立绿色技术创新联合体，强化绿色核心技术攻关，加大对企业绿色技术创新的支持力度。</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做大做强节能环保产业。</w:t>
      </w:r>
      <w:bookmarkStart w:id="155" w:name="_Hlk40293055"/>
      <w:r>
        <w:rPr>
          <w:rFonts w:ascii="Nimbus Roman No9 L" w:eastAsia="仿宋_GB2312" w:hAnsi="Nimbus Roman No9 L" w:cs="Nimbus Roman No9 L"/>
          <w:sz w:val="32"/>
          <w:szCs w:val="32"/>
        </w:rPr>
        <w:t>以泰达环保、霍尼韦尔、膜天膜、威立雅水务等龙头企业为依托，大力发展节能产业、环保产业、资源综合利用等产业，</w:t>
      </w:r>
      <w:bookmarkEnd w:id="155"/>
      <w:r>
        <w:rPr>
          <w:rFonts w:ascii="Nimbus Roman No9 L" w:eastAsia="仿宋_GB2312" w:hAnsi="Nimbus Roman No9 L" w:cs="Nimbus Roman No9 L"/>
          <w:sz w:val="32"/>
          <w:szCs w:val="32"/>
        </w:rPr>
        <w:t>开展节能、环境保护、资源循环利用综合服务，重点推动中国环境科学研究院节能环保技术成果转化基地建设项目、中健投废旧钢铁绿色回收与再制造项目、葛洲坝兴业天津再生资源回收综合利用等再生资源利用项目落地，打造节能环保综合利用资源示范标杆。积极争取中科院绿色制造创新研究院落地，推进高能智核环保科技有限公司重点实验室建设，研制</w:t>
      </w:r>
      <w:r>
        <w:rPr>
          <w:rFonts w:ascii="Nimbus Roman No9 L" w:eastAsia="仿宋_GB2312" w:hAnsi="Nimbus Roman No9 L" w:cs="Nimbus Roman No9 L"/>
          <w:sz w:val="32"/>
          <w:szCs w:val="32"/>
        </w:rPr>
        <w:lastRenderedPageBreak/>
        <w:t>汽车环保装置。</w:t>
      </w:r>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156" w:name="_Toc40287053"/>
      <w:bookmarkStart w:id="157" w:name="_Toc72775263"/>
      <w:bookmarkStart w:id="158" w:name="_Toc32406"/>
      <w:bookmarkStart w:id="159" w:name="_Toc4350"/>
      <w:bookmarkStart w:id="160" w:name="_Hlk40292563"/>
      <w:r>
        <w:rPr>
          <w:rFonts w:ascii="Nimbus Roman No9 L" w:eastAsia="楷体" w:hAnsi="Nimbus Roman No9 L" w:cs="Nimbus Roman No9 L"/>
          <w:sz w:val="32"/>
          <w:szCs w:val="32"/>
        </w:rPr>
        <w:t>（八）积极推动传统产业转型升级</w:t>
      </w:r>
      <w:bookmarkEnd w:id="156"/>
      <w:bookmarkEnd w:id="157"/>
      <w:bookmarkEnd w:id="158"/>
      <w:bookmarkEnd w:id="159"/>
    </w:p>
    <w:bookmarkEnd w:id="160"/>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石化产业。</w:t>
      </w:r>
      <w:r>
        <w:rPr>
          <w:rFonts w:ascii="Nimbus Roman No9 L" w:eastAsia="仿宋_GB2312" w:hAnsi="Nimbus Roman No9 L" w:cs="Nimbus Roman No9 L"/>
          <w:sz w:val="32"/>
          <w:szCs w:val="32"/>
        </w:rPr>
        <w:t>以化工新材料、功能性化学品和精细化工为发展重点，打造油气开采、基础化工原料、合成材料到高技术含量、高附加值中下游产品、精细化工等石化全产业链。鼓励符合园区准入标准的企业向南港工业区聚集，积极引入国内外一流企业及项目，加快将南港工业区打造成为世界一流化工新材料基地和国家级石化产业聚集区。</w:t>
      </w:r>
    </w:p>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汽车产业。</w:t>
      </w:r>
      <w:bookmarkStart w:id="161" w:name="_Hlk40292668"/>
      <w:r>
        <w:rPr>
          <w:rFonts w:ascii="Nimbus Roman No9 L" w:eastAsia="仿宋_GB2312" w:hAnsi="Nimbus Roman No9 L" w:cs="Nimbus Roman No9 L"/>
          <w:sz w:val="32"/>
          <w:szCs w:val="32"/>
        </w:rPr>
        <w:t>发挥整车及核心零部件龙头企业聚集优势，打造整车、发动机、变速箱、汽车电子、汽车模具等重点领域从加工、</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制造到研发、销售、后服务的完整产业集群。推动汽车产业电动化、智能化、网联化、共享化发展，大力发展节能汽车、新能源汽车和智能网联汽车，形成新能源汽车动力电池、驱动电机及电控等关键产业环节完整的产业链条。</w:t>
      </w:r>
    </w:p>
    <w:bookmarkEnd w:id="161"/>
    <w:p w:rsidR="008C1560" w:rsidRDefault="00BA3517" w:rsidP="009D3EED">
      <w:pPr>
        <w:overflowPunct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物流产业。</w:t>
      </w:r>
      <w:bookmarkStart w:id="162" w:name="_Hlk40292692"/>
      <w:r>
        <w:rPr>
          <w:rFonts w:ascii="Nimbus Roman No9 L" w:eastAsia="仿宋_GB2312" w:hAnsi="Nimbus Roman No9 L" w:cs="Nimbus Roman No9 L"/>
          <w:sz w:val="32"/>
          <w:szCs w:val="32"/>
        </w:rPr>
        <w:t>依托天津自贸试验区的政策优势，建设与国际市场接轨的物流园区和保税物流网络体系。打造一批出口型物流基地和进口型分拨基地，引入国内外知名第三方物流商进驻，积极建设天津航空口岸大通关基地项目吸引产业链条龙头企业进驻，促进航空物流产业集聚发展；构建跨境电子商务物流服务平台和配送网络，推进实施考拉华北物流运营中心项目等，使跨境电商成为滨海新区外贸发展新引擎。</w:t>
      </w:r>
      <w:bookmarkEnd w:id="162"/>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r>
        <w:rPr>
          <w:rFonts w:ascii="Nimbus Roman No9 L" w:eastAsia="楷体" w:hAnsi="Nimbus Roman No9 L" w:cs="Nimbus Roman No9 L"/>
          <w:sz w:val="32"/>
          <w:szCs w:val="32"/>
        </w:rPr>
        <w:lastRenderedPageBreak/>
        <w:t>（九）构筑文旅融合发展新格局</w:t>
      </w:r>
    </w:p>
    <w:p w:rsidR="008C1560" w:rsidRDefault="00BA3517">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优化文旅整合空间格局，发展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一廊一带一区多组团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的旅游空间新格局。</w:t>
      </w:r>
    </w:p>
    <w:p w:rsidR="008C1560" w:rsidRDefault="00BA3517" w:rsidP="009D3EED">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一廊</w:t>
      </w:r>
      <w:r>
        <w:rPr>
          <w:rFonts w:ascii="Nimbus Roman No9 L" w:eastAsia="仿宋_GB2312" w:hAnsi="Nimbus Roman No9 L" w:cs="Nimbus Roman No9 L"/>
          <w:b/>
          <w:sz w:val="32"/>
          <w:szCs w:val="32"/>
        </w:rPr>
        <w:t>”</w:t>
      </w:r>
      <w:r>
        <w:rPr>
          <w:rFonts w:ascii="Nimbus Roman No9 L" w:eastAsia="仿宋_GB2312" w:hAnsi="Nimbus Roman No9 L" w:cs="Nimbus Roman No9 L"/>
          <w:sz w:val="32"/>
          <w:szCs w:val="32"/>
        </w:rPr>
        <w:t>是构建沿海蓝色走廊，加快近海亲海旅游项目产品开发，推动邮轮旅游发展，形成新的旅游消费热点。</w:t>
      </w:r>
    </w:p>
    <w:p w:rsidR="008C1560" w:rsidRDefault="00BA3517" w:rsidP="009D3EED">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一带</w:t>
      </w:r>
      <w:r>
        <w:rPr>
          <w:rFonts w:ascii="Nimbus Roman No9 L" w:eastAsia="仿宋_GB2312" w:hAnsi="Nimbus Roman No9 L" w:cs="Nimbus Roman No9 L"/>
          <w:b/>
          <w:sz w:val="32"/>
          <w:szCs w:val="32"/>
        </w:rPr>
        <w:t>”</w:t>
      </w:r>
      <w:r>
        <w:rPr>
          <w:rFonts w:ascii="Nimbus Roman No9 L" w:eastAsia="仿宋_GB2312" w:hAnsi="Nimbus Roman No9 L" w:cs="Nimbus Roman No9 L"/>
          <w:sz w:val="32"/>
          <w:szCs w:val="32"/>
        </w:rPr>
        <w:t>是加快建设海河都市观光带。串联大沽口炮台、大沽船坞、潮音寺、塘沽火车站旧址、海河外滩公园等历史文化资源，推动海河游船提质升级。</w:t>
      </w:r>
    </w:p>
    <w:p w:rsidR="008C1560" w:rsidRDefault="00BA3517" w:rsidP="009D3EED">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一区</w:t>
      </w:r>
      <w:r>
        <w:rPr>
          <w:rFonts w:ascii="Nimbus Roman No9 L" w:eastAsia="仿宋_GB2312" w:hAnsi="Nimbus Roman No9 L" w:cs="Nimbus Roman No9 L"/>
          <w:b/>
          <w:sz w:val="32"/>
          <w:szCs w:val="32"/>
        </w:rPr>
        <w:t>”</w:t>
      </w:r>
      <w:r>
        <w:rPr>
          <w:rFonts w:ascii="Nimbus Roman No9 L" w:eastAsia="仿宋_GB2312" w:hAnsi="Nimbus Roman No9 L" w:cs="Nimbus Roman No9 L"/>
          <w:sz w:val="32"/>
          <w:szCs w:val="32"/>
        </w:rPr>
        <w:t>是推进国家级全域旅游示范区建设。巩固提升生态城国家全域旅游示范区的品质，发挥示范带动作用，推动经开区等积极创建国家级全域旅游示范区。</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多组团</w:t>
      </w:r>
      <w:r>
        <w:rPr>
          <w:rFonts w:ascii="Nimbus Roman No9 L" w:eastAsia="仿宋_GB2312" w:hAnsi="Nimbus Roman No9 L" w:cs="Nimbus Roman No9 L"/>
          <w:b/>
          <w:sz w:val="32"/>
          <w:szCs w:val="32"/>
        </w:rPr>
        <w:t>”</w:t>
      </w:r>
      <w:r>
        <w:rPr>
          <w:rFonts w:ascii="Nimbus Roman No9 L" w:eastAsia="仿宋_GB2312" w:hAnsi="Nimbus Roman No9 L" w:cs="Nimbus Roman No9 L"/>
          <w:sz w:val="32"/>
          <w:szCs w:val="32"/>
        </w:rPr>
        <w:t>是指深入挖掘滨城历史文化资源，形成以大沽口炮台遗址等为代表的红色革命教育旅游；依托经开区、保税区、高新区等丰富的工业旅游资源，发展工业特色旅游；大力开展各种乡村旅游节庆活动，融入滨海新区特有渔业风情，积极推动北塘古镇、中心渔港、马棚口村、大神堂村等开发建设，组织出海观光游、盐渔风情游、乡村特色游；依托智慧山文化街区、泰达</w:t>
      </w:r>
      <w:r>
        <w:rPr>
          <w:rFonts w:ascii="Nimbus Roman No9 L" w:eastAsia="仿宋_GB2312" w:hAnsi="Nimbus Roman No9 L" w:cs="Nimbus Roman No9 L"/>
          <w:sz w:val="32"/>
          <w:szCs w:val="32"/>
        </w:rPr>
        <w:t>1984</w:t>
      </w:r>
      <w:r>
        <w:rPr>
          <w:rFonts w:ascii="Nimbus Roman No9 L" w:eastAsia="仿宋_GB2312" w:hAnsi="Nimbus Roman No9 L" w:cs="Nimbus Roman No9 L"/>
          <w:sz w:val="32"/>
          <w:szCs w:val="32"/>
        </w:rPr>
        <w:t>等发展城市文化街区游；以双城之间绿色生态屏障区域，推动经开区西区、保税区、高新区、北大港湿地、官港森林公园等区域，通过城市景观提升、绿道的打造及生态康养产品植入，形成绿色生态游。</w:t>
      </w:r>
    </w:p>
    <w:p w:rsidR="008C1560" w:rsidRDefault="00BA3517">
      <w:pPr>
        <w:spacing w:line="580" w:lineRule="exact"/>
        <w:ind w:firstLineChars="200" w:firstLine="640"/>
        <w:outlineLvl w:val="0"/>
        <w:rPr>
          <w:rFonts w:ascii="Nimbus Roman No9 L" w:eastAsia="黑体" w:hAnsi="Nimbus Roman No9 L" w:cs="Nimbus Roman No9 L" w:hint="eastAsia"/>
          <w:sz w:val="32"/>
          <w:szCs w:val="32"/>
        </w:rPr>
      </w:pPr>
      <w:bookmarkStart w:id="163" w:name="_Toc36756599"/>
      <w:bookmarkStart w:id="164" w:name="_Toc40287055"/>
      <w:bookmarkStart w:id="165" w:name="_Toc32550"/>
      <w:bookmarkStart w:id="166" w:name="_Toc72775265"/>
      <w:r>
        <w:rPr>
          <w:rFonts w:ascii="Nimbus Roman No9 L" w:eastAsia="黑体" w:hAnsi="Nimbus Roman No9 L" w:cs="Nimbus Roman No9 L"/>
          <w:sz w:val="32"/>
          <w:szCs w:val="32"/>
        </w:rPr>
        <w:lastRenderedPageBreak/>
        <w:t>六、加快布局新一代基础设施，建设智慧城市</w:t>
      </w:r>
      <w:bookmarkEnd w:id="163"/>
      <w:bookmarkEnd w:id="164"/>
      <w:bookmarkEnd w:id="165"/>
      <w:bookmarkEnd w:id="166"/>
    </w:p>
    <w:p w:rsidR="008C1560" w:rsidRDefault="00BA3517" w:rsidP="009D3EED">
      <w:pPr>
        <w:pStyle w:val="st-x4"/>
        <w:spacing w:line="580" w:lineRule="exact"/>
        <w:ind w:firstLine="640"/>
        <w:rPr>
          <w:rFonts w:ascii="Nimbus Roman No9 L" w:eastAsia="仿宋_GB2312" w:hAnsi="Nimbus Roman No9 L" w:cs="Nimbus Roman No9 L" w:hint="eastAsia"/>
          <w:sz w:val="32"/>
          <w:szCs w:val="32"/>
        </w:rPr>
      </w:pPr>
      <w:bookmarkStart w:id="167" w:name="_Hlk36740034"/>
      <w:r>
        <w:rPr>
          <w:rFonts w:ascii="Nimbus Roman No9 L" w:eastAsia="仿宋_GB2312" w:hAnsi="Nimbus Roman No9 L" w:cs="Nimbus Roman No9 L"/>
          <w:b/>
          <w:bCs/>
          <w:sz w:val="32"/>
          <w:szCs w:val="32"/>
        </w:rPr>
        <w:t>完善新信息基础网络。</w:t>
      </w:r>
      <w:r>
        <w:rPr>
          <w:rFonts w:ascii="Nimbus Roman No9 L" w:eastAsia="仿宋_GB2312" w:hAnsi="Nimbus Roman No9 L" w:cs="Nimbus Roman No9 L"/>
          <w:sz w:val="32"/>
          <w:szCs w:val="32"/>
        </w:rPr>
        <w:t>大力推进</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网络规模化部署，推进</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独立组网建设，逐步实现基础设施智慧化水平</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，推动</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网络在经开区、生态城、高新区、保税区以及重要交通枢纽、港区、学校、工业园区、办公楼宇等室内外场景的深度覆盖。加快</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网络在医疗、教育、工业互联、车联网等方面的场景应用。</w:t>
      </w:r>
    </w:p>
    <w:p w:rsidR="008C1560" w:rsidRDefault="00BA3517" w:rsidP="009D3EED">
      <w:pPr>
        <w:pStyle w:val="st-x4"/>
        <w:spacing w:line="580" w:lineRule="exact"/>
        <w:ind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加快布局全面感知体系。</w:t>
      </w:r>
      <w:r>
        <w:rPr>
          <w:rFonts w:ascii="Nimbus Roman No9 L" w:eastAsia="仿宋_GB2312" w:hAnsi="Nimbus Roman No9 L" w:cs="Nimbus Roman No9 L"/>
          <w:sz w:val="32"/>
          <w:szCs w:val="32"/>
        </w:rPr>
        <w:t>加强城市感知信息覆盖和共享共用，推动万物感知和万物互联，促进基于全面感知的新型智慧城市建设。推进智慧多功能杆、</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智慧杆塔建设，完善物联感知手段。提升公共安全、城市管理、道路交通、生态环境等领域的智能感知水平。推进基于地理信息系统的时空信息平台建设，利用遥感遥测、卫星定位、移动定位、物探、激光、雷达等各类地理信息处理系统，对新区的土地空间数据进行整合、应用，实现一图知新区事，完善地理信息基础设施建设。</w:t>
      </w:r>
    </w:p>
    <w:p w:rsidR="008C1560" w:rsidRDefault="00BA3517" w:rsidP="009D3EED">
      <w:pPr>
        <w:pStyle w:val="st-x4"/>
        <w:spacing w:line="580" w:lineRule="exact"/>
        <w:ind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加快布局智慧交通设施。</w:t>
      </w:r>
      <w:r>
        <w:rPr>
          <w:rFonts w:ascii="Nimbus Roman No9 L" w:eastAsia="仿宋_GB2312" w:hAnsi="Nimbus Roman No9 L" w:cs="Nimbus Roman No9 L"/>
          <w:sz w:val="32"/>
          <w:szCs w:val="32"/>
        </w:rPr>
        <w:t>积极推进轨道交通网络运营控制中心项目，提升轨道交通枢纽智慧化水平，建设智慧交通枢纽系统。积极推进生态城智慧城市综合应用与系统提升建设项目，加快推动经开区、东疆保税区智慧城市基础设施建设项目，加速经开区以及东疆保税区智慧城市建设进程。推进全区未来公交站建设，推动经开区、生态城、东疆区域智慧道路改造建设工程。</w:t>
      </w:r>
    </w:p>
    <w:p w:rsidR="008C1560" w:rsidRDefault="00BA3517" w:rsidP="009D3EED">
      <w:pPr>
        <w:pStyle w:val="st-x4"/>
        <w:spacing w:line="580" w:lineRule="exact"/>
        <w:ind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加快建设一批新融合设施。</w:t>
      </w:r>
      <w:r>
        <w:rPr>
          <w:rFonts w:ascii="Nimbus Roman No9 L" w:eastAsia="仿宋_GB2312" w:hAnsi="Nimbus Roman No9 L" w:cs="Nimbus Roman No9 L"/>
          <w:sz w:val="32"/>
          <w:szCs w:val="32"/>
        </w:rPr>
        <w:t>推进城市大数据工程，构建包括</w:t>
      </w:r>
      <w:r>
        <w:rPr>
          <w:rFonts w:ascii="Nimbus Roman No9 L" w:eastAsia="仿宋_GB2312" w:hAnsi="Nimbus Roman No9 L" w:cs="Nimbus Roman No9 L"/>
          <w:sz w:val="32"/>
          <w:szCs w:val="32"/>
        </w:rPr>
        <w:lastRenderedPageBreak/>
        <w:t>数据汇集、数据融合、数据服务和数据开放等功能的全市集中共享的一体化大数据中心。推进政务数据开放平台项目，为企业及市民提供增值服务。积极建设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交通智能体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泰达交通大数据应用、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安全智能园区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南港工业区大数据应用项目、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泰达城市云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大数据中心项目建设。推动数字经济快速发展，积极建设京津冀协同产业互联项目、工业互联网大数据中心项目，完成京津冀产业链、产业项目、工业企业上云、上平台，拉动千亿高端产业互联互通。</w:t>
      </w:r>
    </w:p>
    <w:p w:rsidR="008C1560" w:rsidRDefault="00BA3517" w:rsidP="009D3EED">
      <w:pPr>
        <w:pStyle w:val="st-x4"/>
        <w:spacing w:line="580" w:lineRule="exact"/>
        <w:ind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积极推进智慧滨海建设。</w:t>
      </w:r>
      <w:r>
        <w:rPr>
          <w:rFonts w:ascii="Nimbus Roman No9 L" w:eastAsia="仿宋_GB2312" w:hAnsi="Nimbus Roman No9 L" w:cs="Nimbus Roman No9 L"/>
          <w:sz w:val="32"/>
          <w:szCs w:val="32"/>
        </w:rPr>
        <w:t>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互联网＋政务服务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体系建设。以数字孪生和全域感知为基础，统筹推进智慧应急、智慧能源、智慧水务等工程，提升城市现代治理水平。加快社会公共服务智能化升级，推进医疗信息平台和数据中心、智慧医院、智慧社康中心等项目建设，提高医疗领域的信息化水平及智能化。积极推进数字校园、智能体育设施、数字虚拟图书馆项目，发挥教育、文化、体育资源的乘数效益。</w:t>
      </w:r>
    </w:p>
    <w:p w:rsidR="008C1560" w:rsidRDefault="00BA3517" w:rsidP="009D3EED">
      <w:pPr>
        <w:pStyle w:val="st-x4"/>
        <w:spacing w:line="580" w:lineRule="exact"/>
        <w:ind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推动智慧口岸服务工程。</w:t>
      </w:r>
      <w:r>
        <w:rPr>
          <w:rFonts w:ascii="Nimbus Roman No9 L" w:eastAsia="仿宋_GB2312" w:hAnsi="Nimbus Roman No9 L" w:cs="Nimbus Roman No9 L"/>
          <w:sz w:val="32"/>
          <w:szCs w:val="32"/>
        </w:rPr>
        <w:t>加大新型智能化红外体温监测设备、核辐射监测车、无人机辅助检测系统、机器人等口岸智能装备的应用，提升口岸人、车、货异常监测与处置能力，提高检测速度与准确率，探索建立口岸快速通关模式，提升智能化便捷化通关水平。针对全球传染病疫情、动植物疫情、核生化有害因子等非传统安全输入性风险，建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全覆盖监测，全流程防控，全</w:t>
      </w:r>
      <w:r>
        <w:rPr>
          <w:rFonts w:ascii="Nimbus Roman No9 L" w:eastAsia="仿宋_GB2312" w:hAnsi="Nimbus Roman No9 L" w:cs="Nimbus Roman No9 L"/>
          <w:sz w:val="32"/>
          <w:szCs w:val="32"/>
        </w:rPr>
        <w:lastRenderedPageBreak/>
        <w:t>智慧管理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的智慧口岸检疫平台。</w:t>
      </w:r>
      <w:bookmarkStart w:id="168" w:name="_Hlk36629548"/>
      <w:bookmarkStart w:id="169" w:name="_Toc40287056"/>
    </w:p>
    <w:p w:rsidR="008C1560" w:rsidRDefault="00BA3517">
      <w:pPr>
        <w:spacing w:line="580" w:lineRule="exact"/>
        <w:ind w:firstLineChars="200" w:firstLine="640"/>
        <w:outlineLvl w:val="0"/>
        <w:rPr>
          <w:rFonts w:ascii="Nimbus Roman No9 L" w:eastAsia="黑体" w:hAnsi="Nimbus Roman No9 L" w:cs="Nimbus Roman No9 L" w:hint="eastAsia"/>
          <w:sz w:val="32"/>
          <w:szCs w:val="32"/>
        </w:rPr>
      </w:pPr>
      <w:bookmarkStart w:id="170" w:name="_Toc24198"/>
      <w:bookmarkStart w:id="171" w:name="_Toc72775266"/>
      <w:r>
        <w:rPr>
          <w:rFonts w:ascii="Nimbus Roman No9 L" w:eastAsia="黑体" w:hAnsi="Nimbus Roman No9 L" w:cs="Nimbus Roman No9 L"/>
          <w:sz w:val="32"/>
          <w:szCs w:val="32"/>
        </w:rPr>
        <w:t>七、构建蓝绿交融的生态格局</w:t>
      </w:r>
      <w:bookmarkEnd w:id="168"/>
      <w:r>
        <w:rPr>
          <w:rFonts w:ascii="Nimbus Roman No9 L" w:eastAsia="黑体" w:hAnsi="Nimbus Roman No9 L" w:cs="Nimbus Roman No9 L"/>
          <w:sz w:val="32"/>
          <w:szCs w:val="32"/>
        </w:rPr>
        <w:t>，提升城市品质</w:t>
      </w:r>
      <w:bookmarkEnd w:id="169"/>
      <w:bookmarkEnd w:id="170"/>
      <w:bookmarkEnd w:id="171"/>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172" w:name="_Hlk36638711"/>
      <w:bookmarkStart w:id="173" w:name="_Hlk31825089"/>
      <w:r>
        <w:rPr>
          <w:rFonts w:ascii="Nimbus Roman No9 L" w:eastAsia="仿宋_GB2312" w:hAnsi="Nimbus Roman No9 L" w:cs="Nimbus Roman No9 L"/>
          <w:b/>
          <w:bCs/>
          <w:sz w:val="32"/>
          <w:szCs w:val="32"/>
        </w:rPr>
        <w:t>加强水系连通及水环境治理，持续提升水环境质量。</w:t>
      </w:r>
      <w:r>
        <w:rPr>
          <w:rFonts w:ascii="Nimbus Roman No9 L" w:eastAsia="仿宋_GB2312" w:hAnsi="Nimbus Roman No9 L" w:cs="Nimbus Roman No9 L"/>
          <w:sz w:val="32"/>
          <w:szCs w:val="32"/>
        </w:rPr>
        <w:t>加强水源保护、水质提升、生态补水、海水淡化。在现状基础上扩建、新建海水淡化厂，未来海水淡化、再生水、雨洪水等水源占比进一步提高。</w:t>
      </w:r>
      <w:bookmarkEnd w:id="172"/>
      <w:r>
        <w:rPr>
          <w:rFonts w:ascii="Nimbus Roman No9 L" w:eastAsia="仿宋_GB2312" w:hAnsi="Nimbus Roman No9 L" w:cs="Nimbus Roman No9 L"/>
          <w:sz w:val="32"/>
          <w:szCs w:val="32"/>
        </w:rPr>
        <w:t>进一步加快区域内</w:t>
      </w:r>
      <w:bookmarkEnd w:id="173"/>
      <w:r>
        <w:rPr>
          <w:rFonts w:ascii="Nimbus Roman No9 L" w:eastAsia="仿宋_GB2312" w:hAnsi="Nimbus Roman No9 L" w:cs="Nimbus Roman No9 L"/>
          <w:sz w:val="32"/>
          <w:szCs w:val="32"/>
        </w:rPr>
        <w:t>水系连通，优化水网循环，改善水生态环境。加快推进旅游区南部水系连通及排海工程、旅游区域海滨高速两侧水系连通工程、中新天津生态城临海新城水系连通工程、临海新城水系连通二期工程等项目。加快提升污水处理效率，提升水质，积极建设京津合作示范区污水处理厂及再生水厂、南港工业区再生水厂、南港工业区污水处理厂扩建三期、四期工程以及经开区第一污水处理厂出水管网改造项目。进一步完善新区排水管网系统。</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174" w:name="_Hlk36747087"/>
      <w:r>
        <w:rPr>
          <w:rFonts w:ascii="Nimbus Roman No9 L" w:eastAsia="仿宋_GB2312" w:hAnsi="Nimbus Roman No9 L" w:cs="Nimbus Roman No9 L"/>
          <w:b/>
          <w:bCs/>
          <w:sz w:val="32"/>
          <w:szCs w:val="32"/>
        </w:rPr>
        <w:t>携手京冀，构建区域开放生态廊道。</w:t>
      </w:r>
      <w:r>
        <w:rPr>
          <w:rFonts w:ascii="Nimbus Roman No9 L" w:eastAsia="仿宋_GB2312" w:hAnsi="Nimbus Roman No9 L" w:cs="Nimbus Roman No9 L"/>
          <w:sz w:val="32"/>
          <w:szCs w:val="32"/>
        </w:rPr>
        <w:t>结合雄安新区、北京副中心建设，推进区域大清河－独流减河、北运河－南运河海河－独流减河等生态廊道建设。围绕水系，打通沿大清河、潮白河连通北京、雄安的两条生态廊道，沿大清河水系，加强北大港水库生态建设与提升，打造滨海新区向雄安新区的开放性生态廊道。推进京杭大运河与新区独流减河、海河连通，沿潮白河、潮白新河、永定新河，与通州区共同打造河流生态廊道，拓展区域旅游合作。</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175" w:name="_Hlk36638915"/>
      <w:bookmarkEnd w:id="174"/>
      <w:r>
        <w:rPr>
          <w:rFonts w:ascii="Nimbus Roman No9 L" w:eastAsia="仿宋_GB2312" w:hAnsi="Nimbus Roman No9 L" w:cs="Nimbus Roman No9 L"/>
          <w:b/>
          <w:bCs/>
          <w:sz w:val="32"/>
          <w:szCs w:val="32"/>
        </w:rPr>
        <w:lastRenderedPageBreak/>
        <w:t>拓展自然生态空间，建设双城生态廊道</w:t>
      </w:r>
      <w:bookmarkEnd w:id="175"/>
      <w:r>
        <w:rPr>
          <w:rFonts w:ascii="Nimbus Roman No9 L" w:eastAsia="仿宋_GB2312" w:hAnsi="Nimbus Roman No9 L" w:cs="Nimbus Roman No9 L"/>
          <w:b/>
          <w:bCs/>
          <w:sz w:val="32"/>
          <w:szCs w:val="32"/>
        </w:rPr>
        <w:t>。</w:t>
      </w:r>
      <w:bookmarkStart w:id="176" w:name="_Hlk36638938"/>
      <w:r>
        <w:rPr>
          <w:rFonts w:ascii="Nimbus Roman No9 L" w:eastAsia="仿宋_GB2312" w:hAnsi="Nimbus Roman No9 L" w:cs="Nimbus Roman No9 L"/>
          <w:sz w:val="32"/>
          <w:szCs w:val="32"/>
        </w:rPr>
        <w:t>开展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河湖水系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林田草地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全要素生态修复工程，严守海陆生态保护红线。建设双城间绿色生态屏障，开展古海岸湿地生态廊道、西外环高速生态廊道、空港宁静高速生态廊道、京津高速生态廊道等项目，提高蓝绿空间比例，加快建设双城间生态廊道</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177" w:name="_Hlk57821365"/>
      <w:bookmarkStart w:id="178" w:name="_Hlk36638972"/>
      <w:bookmarkEnd w:id="176"/>
      <w:r>
        <w:rPr>
          <w:rFonts w:ascii="Nimbus Roman No9 L" w:eastAsia="仿宋_GB2312" w:hAnsi="Nimbus Roman No9 L" w:cs="Nimbus Roman No9 L"/>
          <w:b/>
          <w:bCs/>
          <w:sz w:val="32"/>
          <w:szCs w:val="32"/>
        </w:rPr>
        <w:t>打造综合城市景观带，形成富有魅力的滨河空间。</w:t>
      </w:r>
      <w:bookmarkStart w:id="179" w:name="_Hlk40291289"/>
      <w:bookmarkStart w:id="180" w:name="_Hlk57821172"/>
      <w:bookmarkEnd w:id="177"/>
      <w:r>
        <w:rPr>
          <w:rFonts w:ascii="Nimbus Roman No9 L" w:eastAsia="仿宋_GB2312" w:hAnsi="Nimbus Roman No9 L" w:cs="Nimbus Roman No9 L"/>
          <w:sz w:val="32"/>
          <w:szCs w:val="32"/>
        </w:rPr>
        <w:t>推进海河、永定新河、潮白新河、独流减河两岸生态环境品质提升、河道综合整治，打造综合滨河景观带。推进滨海新区水库综合提升工程，对黄港水库、北塘水库、钱圈水库等水库进行环境提升和沿岸线综合开发，形成城市滨水景观带，打造成为具有特色的滨水城市空间。</w:t>
      </w:r>
      <w:bookmarkEnd w:id="179"/>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181" w:name="_Hlk36639007"/>
      <w:bookmarkEnd w:id="178"/>
      <w:bookmarkEnd w:id="180"/>
      <w:r>
        <w:rPr>
          <w:rFonts w:ascii="Nimbus Roman No9 L" w:eastAsia="仿宋_GB2312" w:hAnsi="Nimbus Roman No9 L" w:cs="Nimbus Roman No9 L"/>
          <w:b/>
          <w:bCs/>
          <w:sz w:val="32"/>
          <w:szCs w:val="32"/>
        </w:rPr>
        <w:t>保护环首都地区重要的碧海蓝湾，优化海岸线功能。</w:t>
      </w:r>
      <w:r>
        <w:rPr>
          <w:rFonts w:ascii="Nimbus Roman No9 L" w:eastAsia="仿宋_GB2312" w:hAnsi="Nimbus Roman No9 L" w:cs="Nimbus Roman No9 L"/>
          <w:sz w:val="32"/>
          <w:szCs w:val="32"/>
        </w:rPr>
        <w:t>保护各类生态岸线，优化人工岸线功能，在保障航运码头功能基础上，对于不适合开发为航运码头的岸线调整为人工生态或生活旅游岸线。开展海域、岸线整治修复，保育重要海域空间。开展自然岸线区段、北大港湿地实施退养还滩、退养还湿；开展北三河、海河、独流减河河口地区环境综合整治；优先在天津港、临港、南港选择典型非生产性岸段开展人工堤岸生态重建。</w:t>
      </w:r>
    </w:p>
    <w:bookmarkEnd w:id="181"/>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强化滩涂、湿地、盐田生态系统的保护和修复。</w:t>
      </w:r>
      <w:bookmarkStart w:id="182" w:name="_Hlk36639073"/>
      <w:r>
        <w:rPr>
          <w:rFonts w:ascii="Nimbus Roman No9 L" w:eastAsia="仿宋_GB2312" w:hAnsi="Nimbus Roman No9 L" w:cs="Nimbus Roman No9 L"/>
          <w:sz w:val="32"/>
          <w:szCs w:val="32"/>
        </w:rPr>
        <w:t>严守生态红线，实施沿海滩涂、海岸、海河河口等污染控制和生态恢复工程。建立完善污染物排海总量控制制度，提高海洋污染重大事故应急</w:t>
      </w:r>
      <w:r>
        <w:rPr>
          <w:rFonts w:ascii="Nimbus Roman No9 L" w:eastAsia="仿宋_GB2312" w:hAnsi="Nimbus Roman No9 L" w:cs="Nimbus Roman No9 L"/>
          <w:sz w:val="32"/>
          <w:szCs w:val="32"/>
        </w:rPr>
        <w:lastRenderedPageBreak/>
        <w:t>处理能力。高标准整治海河下游两岸生态环境，加快实施永定河故道、潮白河等湿地修复保护工程。加大牡蛎礁、古海岸等国家级保护区的保护力度，实施生物多样性保护工程。</w:t>
      </w:r>
    </w:p>
    <w:p w:rsidR="008C1560" w:rsidRDefault="00BA3517" w:rsidP="009D3EED">
      <w:pPr>
        <w:spacing w:line="580" w:lineRule="exact"/>
        <w:ind w:firstLineChars="196" w:firstLine="628"/>
        <w:outlineLvl w:val="0"/>
        <w:rPr>
          <w:rFonts w:ascii="Nimbus Roman No9 L" w:eastAsia="仿宋_GB2312" w:hAnsi="Nimbus Roman No9 L" w:cs="Nimbus Roman No9 L" w:hint="eastAsia"/>
          <w:sz w:val="32"/>
          <w:szCs w:val="32"/>
        </w:rPr>
      </w:pPr>
      <w:bookmarkStart w:id="183" w:name="_Hlk36639118"/>
      <w:bookmarkEnd w:id="182"/>
      <w:r>
        <w:rPr>
          <w:rFonts w:ascii="Nimbus Roman No9 L" w:eastAsia="仿宋_GB2312" w:hAnsi="Nimbus Roman No9 L" w:cs="Nimbus Roman No9 L"/>
          <w:b/>
          <w:bCs/>
          <w:sz w:val="32"/>
          <w:szCs w:val="32"/>
        </w:rPr>
        <w:t>实施全域增绿，推进生态公园建设。</w:t>
      </w:r>
      <w:r>
        <w:rPr>
          <w:rFonts w:ascii="Nimbus Roman No9 L" w:eastAsia="仿宋_GB2312" w:hAnsi="Nimbus Roman No9 L" w:cs="Nimbus Roman No9 L"/>
          <w:sz w:val="32"/>
          <w:szCs w:val="32"/>
        </w:rPr>
        <w:t>构建国家湿地公园、森林公园、城市公园、口袋公园等多级公园体系，以绿道串接自然、人文节点和开敞空间。建设人工湿地、原生湿地及相关水循环设施工程。积极推进京津合作示范区中央公园、黄港公园、临港中央公园、东扩区绿地公园、中新友好景观工程、生态城中部片区生态谷景观等公园绿地建设。继续提升城市品质，加快海河外滩公园、塘沽外滩公园、紫云公园、滨河公园、于家堡东半岛沿河、大沽船厂东片区公园、南半岛片区公园等公园绿化提升工程。</w:t>
      </w:r>
      <w:bookmarkStart w:id="184" w:name="_Toc40281746"/>
      <w:bookmarkStart w:id="185" w:name="_Toc13568"/>
      <w:bookmarkStart w:id="186" w:name="_Toc72775267"/>
      <w:bookmarkStart w:id="187" w:name="_Toc40287057"/>
      <w:bookmarkEnd w:id="183"/>
    </w:p>
    <w:p w:rsidR="008C1560" w:rsidRDefault="00BA3517">
      <w:pPr>
        <w:spacing w:line="580" w:lineRule="exact"/>
        <w:ind w:firstLineChars="200" w:firstLine="640"/>
        <w:outlineLvl w:val="0"/>
        <w:rPr>
          <w:rFonts w:ascii="Nimbus Roman No9 L" w:eastAsia="黑体" w:hAnsi="Nimbus Roman No9 L" w:cs="Nimbus Roman No9 L" w:hint="eastAsia"/>
          <w:sz w:val="32"/>
          <w:szCs w:val="32"/>
        </w:rPr>
      </w:pPr>
      <w:r>
        <w:rPr>
          <w:rFonts w:ascii="Nimbus Roman No9 L" w:eastAsia="黑体" w:hAnsi="Nimbus Roman No9 L" w:cs="Nimbus Roman No9 L"/>
          <w:sz w:val="32"/>
          <w:szCs w:val="32"/>
        </w:rPr>
        <w:t>八、加大社会民生补短板投资力度，提高公共服务质量</w:t>
      </w:r>
      <w:bookmarkEnd w:id="184"/>
      <w:bookmarkEnd w:id="185"/>
      <w:bookmarkEnd w:id="186"/>
      <w:bookmarkEnd w:id="187"/>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188" w:name="_Toc32135"/>
      <w:bookmarkStart w:id="189" w:name="_Toc40281747"/>
      <w:bookmarkStart w:id="190" w:name="_Toc72775268"/>
      <w:bookmarkStart w:id="191" w:name="_Toc40287058"/>
      <w:bookmarkStart w:id="192" w:name="_Toc26676"/>
      <w:bookmarkStart w:id="193" w:name="_Toc28003963"/>
      <w:bookmarkStart w:id="194" w:name="_Toc28003895"/>
      <w:bookmarkStart w:id="195" w:name="_Toc28012245"/>
      <w:bookmarkEnd w:id="167"/>
      <w:r>
        <w:rPr>
          <w:rFonts w:ascii="Nimbus Roman No9 L" w:eastAsia="楷体" w:hAnsi="Nimbus Roman No9 L" w:cs="Nimbus Roman No9 L"/>
          <w:sz w:val="32"/>
          <w:szCs w:val="32"/>
        </w:rPr>
        <w:t>（一）构建高质量医疗卫生服务体系</w:t>
      </w:r>
      <w:bookmarkEnd w:id="188"/>
      <w:bookmarkEnd w:id="189"/>
      <w:bookmarkEnd w:id="190"/>
      <w:bookmarkEnd w:id="191"/>
      <w:bookmarkEnd w:id="192"/>
    </w:p>
    <w:bookmarkEnd w:id="193"/>
    <w:bookmarkEnd w:id="194"/>
    <w:bookmarkEnd w:id="195"/>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加快综合医院提质升级。</w:t>
      </w:r>
      <w:bookmarkStart w:id="196" w:name="_Hlk40291489"/>
      <w:r>
        <w:rPr>
          <w:rFonts w:ascii="Nimbus Roman No9 L" w:eastAsia="仿宋_GB2312" w:hAnsi="Nimbus Roman No9 L" w:cs="Nimbus Roman No9 L"/>
          <w:sz w:val="32"/>
          <w:szCs w:val="32"/>
        </w:rPr>
        <w:t>加快打造第五中心医院、区中医医院两个</w:t>
      </w:r>
      <w:r>
        <w:rPr>
          <w:rFonts w:ascii="Nimbus Roman No9 L" w:eastAsia="仿宋_GB2312" w:hAnsi="Nimbus Roman No9 L" w:cs="Nimbus Roman No9 L"/>
          <w:sz w:val="32"/>
          <w:szCs w:val="32"/>
          <w:lang w:val="zh-CN"/>
        </w:rPr>
        <w:t>“</w:t>
      </w:r>
      <w:r>
        <w:rPr>
          <w:rFonts w:ascii="Nimbus Roman No9 L" w:eastAsia="仿宋_GB2312" w:hAnsi="Nimbus Roman No9 L" w:cs="Nimbus Roman No9 L"/>
          <w:sz w:val="32"/>
          <w:szCs w:val="32"/>
          <w:lang w:val="zh-CN"/>
        </w:rPr>
        <w:t>龙头</w:t>
      </w:r>
      <w:r>
        <w:rPr>
          <w:rFonts w:ascii="Nimbus Roman No9 L" w:eastAsia="仿宋_GB2312" w:hAnsi="Nimbus Roman No9 L" w:cs="Nimbus Roman No9 L"/>
          <w:sz w:val="32"/>
          <w:szCs w:val="32"/>
          <w:lang w:val="zh-CN"/>
        </w:rPr>
        <w:t>”</w:t>
      </w:r>
      <w:r>
        <w:rPr>
          <w:rFonts w:ascii="Nimbus Roman No9 L" w:eastAsia="仿宋_GB2312" w:hAnsi="Nimbus Roman No9 L" w:cs="Nimbus Roman No9 L"/>
          <w:sz w:val="32"/>
          <w:szCs w:val="32"/>
          <w:lang w:val="zh-CN"/>
        </w:rPr>
        <w:t>。深</w:t>
      </w:r>
      <w:r>
        <w:rPr>
          <w:rFonts w:ascii="Nimbus Roman No9 L" w:eastAsia="仿宋_GB2312" w:hAnsi="Nimbus Roman No9 L" w:cs="Nimbus Roman No9 L"/>
          <w:sz w:val="32"/>
          <w:szCs w:val="32"/>
        </w:rPr>
        <w:t>化与北大医学部第三周期合作共建工作，推动第五中心医院建设</w:t>
      </w:r>
      <w:r>
        <w:rPr>
          <w:rFonts w:ascii="Nimbus Roman No9 L" w:eastAsia="仿宋_GB2312" w:hAnsi="Nimbus Roman No9 L" w:cs="Nimbus Roman No9 L"/>
          <w:sz w:val="32"/>
          <w:szCs w:val="32"/>
          <w:lang w:val="zh-CN"/>
        </w:rPr>
        <w:t>“</w:t>
      </w:r>
      <w:r>
        <w:rPr>
          <w:rFonts w:ascii="Nimbus Roman No9 L" w:eastAsia="仿宋_GB2312" w:hAnsi="Nimbus Roman No9 L" w:cs="Nimbus Roman No9 L"/>
          <w:sz w:val="32"/>
          <w:szCs w:val="32"/>
          <w:lang w:val="zh-CN"/>
        </w:rPr>
        <w:t>市级</w:t>
      </w:r>
      <w:r>
        <w:rPr>
          <w:rFonts w:ascii="Nimbus Roman No9 L" w:eastAsia="仿宋_GB2312" w:hAnsi="Nimbus Roman No9 L" w:cs="Nimbus Roman No9 L"/>
          <w:sz w:val="32"/>
          <w:szCs w:val="32"/>
        </w:rPr>
        <w:t>医学中心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，成为引领</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带动全区其他医院的</w:t>
      </w:r>
      <w:r>
        <w:rPr>
          <w:rFonts w:ascii="Nimbus Roman No9 L" w:eastAsia="仿宋_GB2312" w:hAnsi="Nimbus Roman No9 L" w:cs="Nimbus Roman No9 L"/>
          <w:sz w:val="32"/>
          <w:szCs w:val="32"/>
          <w:lang w:val="zh-CN"/>
        </w:rPr>
        <w:t>“</w:t>
      </w:r>
      <w:r>
        <w:rPr>
          <w:rFonts w:ascii="Nimbus Roman No9 L" w:eastAsia="仿宋_GB2312" w:hAnsi="Nimbus Roman No9 L" w:cs="Nimbus Roman No9 L"/>
          <w:sz w:val="32"/>
          <w:szCs w:val="32"/>
          <w:lang w:val="zh-CN"/>
        </w:rPr>
        <w:t>龙</w:t>
      </w:r>
      <w:r>
        <w:rPr>
          <w:rFonts w:ascii="Nimbus Roman No9 L" w:eastAsia="仿宋_GB2312" w:hAnsi="Nimbus Roman No9 L" w:cs="Nimbus Roman No9 L"/>
          <w:sz w:val="32"/>
          <w:szCs w:val="32"/>
        </w:rPr>
        <w:t>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。推进与天津中医药大学第二周期合作共建工作，将新区中医医院建设成为高水平的三级中医医院及天津中医药大学第四附属医院，成为引领带动全</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区其他中医医院的</w:t>
      </w:r>
      <w:r>
        <w:rPr>
          <w:rFonts w:ascii="Nimbus Roman No9 L" w:eastAsia="仿宋_GB2312" w:hAnsi="Nimbus Roman No9 L" w:cs="Nimbus Roman No9 L"/>
          <w:sz w:val="32"/>
          <w:szCs w:val="32"/>
          <w:lang w:val="zh-CN"/>
        </w:rPr>
        <w:t>“</w:t>
      </w:r>
      <w:r>
        <w:rPr>
          <w:rFonts w:ascii="Nimbus Roman No9 L" w:eastAsia="仿宋_GB2312" w:hAnsi="Nimbus Roman No9 L" w:cs="Nimbus Roman No9 L"/>
          <w:sz w:val="32"/>
          <w:szCs w:val="32"/>
          <w:lang w:val="zh-CN"/>
        </w:rPr>
        <w:t>龙</w:t>
      </w:r>
      <w:r>
        <w:rPr>
          <w:rFonts w:ascii="Nimbus Roman No9 L" w:eastAsia="仿宋_GB2312" w:hAnsi="Nimbus Roman No9 L" w:cs="Nimbus Roman No9 L"/>
          <w:sz w:val="32"/>
          <w:szCs w:val="32"/>
        </w:rPr>
        <w:t>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。加强区域医疗</w:t>
      </w:r>
      <w:r>
        <w:rPr>
          <w:rFonts w:ascii="Nimbus Roman No9 L" w:eastAsia="仿宋_GB2312" w:hAnsi="Nimbus Roman No9 L" w:cs="Nimbus Roman No9 L"/>
          <w:sz w:val="32"/>
          <w:szCs w:val="32"/>
          <w:lang w:val="zh-CN"/>
        </w:rPr>
        <w:t>“</w:t>
      </w:r>
      <w:r>
        <w:rPr>
          <w:rFonts w:ascii="Nimbus Roman No9 L" w:eastAsia="仿宋_GB2312" w:hAnsi="Nimbus Roman No9 L" w:cs="Nimbus Roman No9 L"/>
          <w:sz w:val="32"/>
          <w:szCs w:val="32"/>
          <w:lang w:val="zh-CN"/>
        </w:rPr>
        <w:t>四个</w:t>
      </w:r>
      <w:r>
        <w:rPr>
          <w:rFonts w:ascii="Nimbus Roman No9 L" w:eastAsia="仿宋_GB2312" w:hAnsi="Nimbus Roman No9 L" w:cs="Nimbus Roman No9 L"/>
          <w:sz w:val="32"/>
          <w:szCs w:val="32"/>
        </w:rPr>
        <w:t>中心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建设。泰达医院健全学科设置、适时启动二期工程、争创三级甲等综合医院，成为核心区医疗中心。大</w:t>
      </w:r>
      <w:r>
        <w:rPr>
          <w:rFonts w:ascii="Nimbus Roman No9 L" w:eastAsia="仿宋_GB2312" w:hAnsi="Nimbus Roman No9 L" w:cs="Nimbus Roman No9 L"/>
          <w:sz w:val="32"/>
          <w:szCs w:val="32"/>
        </w:rPr>
        <w:lastRenderedPageBreak/>
        <w:t>港医院、海滨人民</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医院建成高水平的三级综合医院，成为南翼医疗中心；强化医大总医院滨海医院内涵建设，推动建成三级综合医院，成为北翼医疗中心；医大总医院空港医院创新运行机制，适时启动二期工程，建设特色鲜明的三级综合医院，继续发挥天津市区域医疗中心作用，同时成为西部片区医疗中心。</w:t>
      </w:r>
    </w:p>
    <w:bookmarkEnd w:id="196"/>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加快完善专科医疗体系。</w:t>
      </w:r>
      <w:bookmarkStart w:id="197" w:name="_Toc40281752"/>
      <w:bookmarkStart w:id="198" w:name="_Toc40287059"/>
      <w:bookmarkStart w:id="199" w:name="_Toc72775269"/>
      <w:r>
        <w:rPr>
          <w:rFonts w:ascii="Nimbus Roman No9 L" w:eastAsia="仿宋_GB2312" w:hAnsi="Nimbus Roman No9 L" w:cs="Nimbus Roman No9 L"/>
          <w:sz w:val="32"/>
          <w:szCs w:val="32"/>
        </w:rPr>
        <w:t>推动泰达国际心血管病医院新建、改建医技楼和心脏介入中心，积极创建心血管病国家级区域医疗中心，拓展向津冀等地区辐射的能力。加强市肿瘤医院空港医院建设管理。推动滨海新区肿瘤医院（市肿瘤医院滨海医院）建设。按照三级专科医院标准，建成天津市中心妇产科医院滨海院区。不断提升塘沽妇产医院服务能力，达到三级专科医院水平。</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提升社区卫生服务水平。</w:t>
      </w:r>
      <w:r>
        <w:rPr>
          <w:rFonts w:ascii="Nimbus Roman No9 L" w:eastAsia="仿宋_GB2312" w:hAnsi="Nimbus Roman No9 L" w:cs="Nimbus Roman No9 L"/>
          <w:sz w:val="32"/>
          <w:szCs w:val="32"/>
        </w:rPr>
        <w:t>按照</w:t>
      </w:r>
      <w:r>
        <w:rPr>
          <w:rFonts w:ascii="Nimbus Roman No9 L" w:eastAsia="仿宋_GB2312" w:hAnsi="Nimbus Roman No9 L" w:cs="Nimbus Roman No9 L"/>
          <w:sz w:val="32"/>
          <w:szCs w:val="32"/>
          <w:lang w:val="zh-CN"/>
        </w:rPr>
        <w:t>“</w:t>
      </w:r>
      <w:r>
        <w:rPr>
          <w:rFonts w:ascii="Nimbus Roman No9 L" w:eastAsia="仿宋_GB2312" w:hAnsi="Nimbus Roman No9 L" w:cs="Nimbus Roman No9 L"/>
          <w:sz w:val="32"/>
          <w:szCs w:val="32"/>
          <w:lang w:val="zh-CN"/>
        </w:rPr>
        <w:t>填平</w:t>
      </w:r>
      <w:r>
        <w:rPr>
          <w:rFonts w:ascii="Nimbus Roman No9 L" w:eastAsia="仿宋_GB2312" w:hAnsi="Nimbus Roman No9 L" w:cs="Nimbus Roman No9 L"/>
          <w:sz w:val="32"/>
          <w:szCs w:val="32"/>
        </w:rPr>
        <w:t>补齐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原则，合理设置基层医疗卫生机构，新建、改扩建、迁建杭州道街、东疆保税港区等一批社区卫生服务中心；健全社区卫生服务</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站网络布局，在有条件的新建居民区增设社区卫生服务站，巩固涉农街镇镇村卫生服务一体化管理成果，进一步推进社区卫生服务中心与村卫生室</w:t>
      </w:r>
      <w:r>
        <w:rPr>
          <w:rFonts w:ascii="Nimbus Roman No9 L" w:eastAsia="仿宋_GB2312" w:hAnsi="Nimbus Roman No9 L" w:cs="Nimbus Roman No9 L"/>
          <w:sz w:val="32"/>
          <w:szCs w:val="32"/>
          <w:lang w:val="zh-CN"/>
        </w:rPr>
        <w:t>“</w:t>
      </w:r>
      <w:r>
        <w:rPr>
          <w:rFonts w:ascii="Nimbus Roman No9 L" w:eastAsia="仿宋_GB2312" w:hAnsi="Nimbus Roman No9 L" w:cs="Nimbus Roman No9 L"/>
          <w:sz w:val="32"/>
          <w:szCs w:val="32"/>
          <w:lang w:val="zh-CN"/>
        </w:rPr>
        <w:t>五统</w:t>
      </w:r>
      <w:r>
        <w:rPr>
          <w:rFonts w:ascii="Nimbus Roman No9 L" w:eastAsia="仿宋_GB2312" w:hAnsi="Nimbus Roman No9 L" w:cs="Nimbus Roman No9 L"/>
          <w:sz w:val="32"/>
          <w:szCs w:val="32"/>
        </w:rPr>
        <w:t>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。完善设施设备配备，提升村卫生室信息化水平。</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健全老年医疗服务体系。</w:t>
      </w:r>
      <w:r>
        <w:rPr>
          <w:rFonts w:ascii="Nimbus Roman No9 L" w:eastAsia="仿宋_GB2312" w:hAnsi="Nimbus Roman No9 L" w:cs="Nimbus Roman No9 L"/>
          <w:sz w:val="32"/>
          <w:szCs w:val="32"/>
        </w:rPr>
        <w:t>鼓励有条件的医院开设老年医学科，推动形成以基层医疗卫生机构为基础，综合医院、中医医院老年医学科为核心的老年医疗服务网络。支持具备条件的医疗机构转为老年专科医院，强化基层医疗卫生机构服务功能，为居家</w:t>
      </w:r>
      <w:r>
        <w:rPr>
          <w:rFonts w:ascii="Nimbus Roman No9 L" w:eastAsia="仿宋_GB2312" w:hAnsi="Nimbus Roman No9 L" w:cs="Nimbus Roman No9 L"/>
          <w:sz w:val="32"/>
          <w:szCs w:val="32"/>
        </w:rPr>
        <w:lastRenderedPageBreak/>
        <w:t>失能老年人提供家庭病床服务和特需上门服务。发挥康复医疗在老年医疗服务中的作用，大力发展老年护理服务，逐步提高基层医疗卫生机构的康复、护理床位占比。深入推进医养结合，强化医疗卫生与养老服务的衔接，支持医疗机构开展养老服务。</w:t>
      </w:r>
    </w:p>
    <w:p w:rsidR="008C1560" w:rsidRDefault="00BA3517" w:rsidP="009D3EED">
      <w:pPr>
        <w:pStyle w:val="aa"/>
        <w:spacing w:line="580" w:lineRule="exact"/>
        <w:ind w:firstLine="640"/>
        <w:outlineLvl w:val="1"/>
        <w:rPr>
          <w:rFonts w:ascii="Nimbus Roman No9 L" w:eastAsia="仿宋_GB2312" w:hAnsi="Nimbus Roman No9 L" w:cs="Nimbus Roman No9 L" w:hint="eastAsia"/>
          <w:sz w:val="32"/>
          <w:szCs w:val="32"/>
        </w:rPr>
      </w:pPr>
      <w:bookmarkStart w:id="200" w:name="_Toc11620"/>
      <w:bookmarkStart w:id="201" w:name="_Toc16976"/>
      <w:bookmarkStart w:id="202" w:name="_Toc21117"/>
      <w:bookmarkStart w:id="203" w:name="_Toc23382"/>
      <w:r>
        <w:rPr>
          <w:rFonts w:ascii="Nimbus Roman No9 L" w:eastAsia="仿宋_GB2312" w:hAnsi="Nimbus Roman No9 L" w:cs="Nimbus Roman No9 L"/>
          <w:b/>
          <w:bCs/>
          <w:sz w:val="32"/>
          <w:szCs w:val="32"/>
        </w:rPr>
        <w:t>提升医疗信息化建设水平。</w:t>
      </w:r>
      <w:r>
        <w:rPr>
          <w:rFonts w:ascii="Nimbus Roman No9 L" w:eastAsia="仿宋_GB2312" w:hAnsi="Nimbus Roman No9 L" w:cs="Nimbus Roman No9 L"/>
          <w:sz w:val="32"/>
          <w:szCs w:val="32"/>
        </w:rPr>
        <w:t>建立和完善以电子病历为核心的医疗机构信息系统，推进机构内部信息系统集成整合。建立健全人口信息、电子健康档案和电子病历三大基础数据库，依托政务云数据中心建成统一权威的滨海新区全民健康信息平台。围绕诊断治疗、医学</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研究、健康管理等场景，加强人工智能、大数据、</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等新技术与医疗卫生行业深度融合。</w:t>
      </w:r>
      <w:bookmarkEnd w:id="200"/>
      <w:bookmarkEnd w:id="201"/>
      <w:bookmarkEnd w:id="202"/>
      <w:bookmarkEnd w:id="203"/>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204" w:name="_Toc31069"/>
      <w:bookmarkStart w:id="205" w:name="_Toc21967"/>
      <w:r>
        <w:rPr>
          <w:rFonts w:ascii="Nimbus Roman No9 L" w:eastAsia="楷体" w:hAnsi="Nimbus Roman No9 L" w:cs="Nimbus Roman No9 L"/>
          <w:sz w:val="32"/>
          <w:szCs w:val="32"/>
        </w:rPr>
        <w:t>（二）打造高水平教育高地</w:t>
      </w:r>
      <w:bookmarkEnd w:id="197"/>
      <w:bookmarkEnd w:id="198"/>
      <w:bookmarkEnd w:id="199"/>
      <w:bookmarkEnd w:id="204"/>
      <w:bookmarkEnd w:id="205"/>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完善学前教育资源配置，满足全区学前教育需求。</w:t>
      </w:r>
      <w:r>
        <w:rPr>
          <w:rFonts w:ascii="Nimbus Roman No9 L" w:eastAsia="仿宋_GB2312" w:hAnsi="Nimbus Roman No9 L" w:cs="Nimbus Roman No9 L"/>
          <w:sz w:val="32"/>
          <w:szCs w:val="32"/>
        </w:rPr>
        <w:t>加快推进汉沽、生态城、北塘、经开区、大港等开发区和街镇幼儿园建设工程。推进北塘第二幼儿园、汉沽茶淀街滨河幼儿园、汉沽杨家泊镇中心幼儿园、紫云幼儿园、大港东城第二幼儿园等建设，推进南北两翼地区普惠性幼儿园建设，充分利用腾退搬迁的政府、企事业单位办公用房、空置厂房、公共服务设施等资源，以租赁、租借、划转等形式改造公办园，引导社会力量更多举办普惠性幼儿园。</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推进义务教育优质均衡发展。</w:t>
      </w:r>
      <w:r>
        <w:rPr>
          <w:rFonts w:ascii="Nimbus Roman No9 L" w:eastAsia="仿宋_GB2312" w:hAnsi="Nimbus Roman No9 L" w:cs="Nimbus Roman No9 L"/>
          <w:sz w:val="32"/>
          <w:szCs w:val="32"/>
        </w:rPr>
        <w:t>充分发挥天津教育高地发展优势，加快与天津市区内优质品牌校进行校区合作，推进师资和管</w:t>
      </w:r>
      <w:r>
        <w:rPr>
          <w:rFonts w:ascii="Nimbus Roman No9 L" w:eastAsia="仿宋_GB2312" w:hAnsi="Nimbus Roman No9 L" w:cs="Nimbus Roman No9 L"/>
          <w:sz w:val="32"/>
          <w:szCs w:val="32"/>
        </w:rPr>
        <w:lastRenderedPageBreak/>
        <w:t>理模式的互通，提升新区义务教育质量。积极推进北塘、于家堡、天碱、西部新城、大港东城等九年一贯制学校建设，重点推进欣嘉园第三小学、东壹区九年一贯制学校等项目建设，提升学科教学质量，对塘沽等区域的小学中学进行资源整合，推进九年一贯制改革。通过布局调整、老城区资源利用、校舍改扩建等多种途径优化教育布局规划，加大教育投入，积极推进学校新建和改扩建工作，逐步解决教育资源不平衡不充分问题。</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深化优质特色高中建设。</w:t>
      </w:r>
      <w:r>
        <w:rPr>
          <w:rFonts w:ascii="Nimbus Roman No9 L" w:eastAsia="仿宋_GB2312" w:hAnsi="Nimbus Roman No9 L" w:cs="Nimbus Roman No9 L"/>
          <w:sz w:val="32"/>
          <w:szCs w:val="32"/>
        </w:rPr>
        <w:t>引入天津市优质教育资源，丰富并提升开发区高中教育质量，重点培育天津一中滨海学校、耀华中学滨海学校等品牌中学。积极推进京津冀协同发展，引进北京优质资源到新区合作办学，在经开区、生态城等区域建设一批京津示范高中。探索普通高中与创新实践基地、高等院校、科研院所、高新企业、国外优质高中、社会机构联合培养人才的有效机制。积极与北京师范大学天津附属中学办学集团等同类优质品牌校展开合作，主动承接北京优质教育资源。重点推进塘沽新港中学、天津实验中学海港城学校、经开区一中二期建设、新建大港三中等建设。积极争取音乐学院、美术学院、体育学院等高校在新区举办附属高中。</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推进职业教育和大学教育高标准发展，推动</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产教融合</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发展。</w:t>
      </w:r>
      <w:r>
        <w:rPr>
          <w:rFonts w:ascii="Nimbus Roman No9 L" w:eastAsia="仿宋_GB2312" w:hAnsi="Nimbus Roman No9 L" w:cs="Nimbus Roman No9 L"/>
          <w:sz w:val="32"/>
          <w:szCs w:val="32"/>
        </w:rPr>
        <w:t>探索健全以企业为重要主导、高校为重要支撑、产业关键核心技术攻关为中心任务的高等教育产教融合创新机制。积极引进</w:t>
      </w:r>
      <w:r>
        <w:rPr>
          <w:rFonts w:ascii="Nimbus Roman No9 L" w:eastAsia="仿宋_GB2312" w:hAnsi="Nimbus Roman No9 L" w:cs="Nimbus Roman No9 L"/>
          <w:sz w:val="32"/>
          <w:szCs w:val="32"/>
        </w:rPr>
        <w:lastRenderedPageBreak/>
        <w:t>首都高等院校和其他优质教育资源落户，吸引国内外知名学校到新区设立分校或特色学科，推进一批职业教育国际合作示范项目。支持引进北京、天津及国内外优质高校在新区办学或设立分校，继续加强与南开大学、天津大学等高校在科技创新、人才培养等领域的深度合作。重点引进和培育人工智能、新能源、新材料、航空航天、生物医药、新能源汽车、生物医药、文化创意、金融服务等领域的学科专业，创新产教融合重大平台载体建设。引入国外先进职业教育资源，建设高水平中外合作大学，引进高等教育机构举办研究院、研究生院、技术转移中心、校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分校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、二级学院等，鼓励开展研究生教育、产业发展研究、智库建设、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与京津大学结对合作、设立博士后工作站、举办常设专题论坛等。支持天津科技大学高水平发展，加强应用型人才培养，深化校区产研合作，推动研发成果本地转化。支持天津大学国际医学院、中国核工业研究院等加快发展，推动南开大学滨海学院、天津医科大学临床医学院、天津外国语学院滨海外事学院等独立学院转设。充分挖掘利用现有科教集聚区、产业园区及空置高校园区等资源进行升级改造，使之成为可利用的科研办学区域。</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加快教育国际化发展步伐。</w:t>
      </w:r>
      <w:r>
        <w:rPr>
          <w:rFonts w:ascii="Nimbus Roman No9 L" w:eastAsia="仿宋_GB2312" w:hAnsi="Nimbus Roman No9 L" w:cs="Nimbus Roman No9 L"/>
          <w:sz w:val="32"/>
          <w:szCs w:val="32"/>
        </w:rPr>
        <w:t>深化国际教育合作，积极吸引社会资本和国际资本，加快天津茱莉亚学院和天津音乐学院茱莉亚研究院建设。加强教育人文交流，搞好友好城市中外学生国际夏（冬）令营活动，推进中外人文交流发展。完善国际学校布局，</w:t>
      </w:r>
      <w:r>
        <w:rPr>
          <w:rFonts w:ascii="Nimbus Roman No9 L" w:eastAsia="仿宋_GB2312" w:hAnsi="Nimbus Roman No9 L" w:cs="Nimbus Roman No9 L"/>
          <w:sz w:val="32"/>
          <w:szCs w:val="32"/>
        </w:rPr>
        <w:lastRenderedPageBreak/>
        <w:t>在中心商务区、空港、临港区域等引进人才密集地区新建多所国际学校。加强对现有国际学校的指导和服务，服务国际人才和引进人才子女就读需求，营造良好的涉外教育环境。</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倡导终身学习理念。</w:t>
      </w:r>
      <w:r>
        <w:rPr>
          <w:rFonts w:ascii="Nimbus Roman No9 L" w:eastAsia="仿宋_GB2312" w:hAnsi="Nimbus Roman No9 L" w:cs="Nimbus Roman No9 L"/>
          <w:sz w:val="32"/>
          <w:szCs w:val="32"/>
        </w:rPr>
        <w:t>依托天津开放大学，加强新区继续教育平台建设。推广线上与线下相结合的混合式学习模式，探索团队学习、体验式学习、移动学习等模式创新。完善社区教育办学体系，增强社区教育网络辐射力。加强老年大学基础设施建设，完善老年人教育培训服务体系。建设学习型城区，鼓励社会力量参与老年教育，扩大老年教育消费，促进老年教育事业规范健康发展。</w:t>
      </w:r>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206" w:name="_Toc23305"/>
      <w:bookmarkStart w:id="207" w:name="_Hlk36750904"/>
      <w:bookmarkStart w:id="208" w:name="_Toc17061"/>
      <w:bookmarkStart w:id="209" w:name="_Toc40281757"/>
      <w:bookmarkStart w:id="210" w:name="_Toc72775270"/>
      <w:bookmarkStart w:id="211" w:name="_Toc40287060"/>
      <w:r>
        <w:rPr>
          <w:rFonts w:ascii="Nimbus Roman No9 L" w:eastAsia="楷体" w:hAnsi="Nimbus Roman No9 L" w:cs="Nimbus Roman No9 L"/>
          <w:sz w:val="32"/>
          <w:szCs w:val="32"/>
        </w:rPr>
        <w:t>（三）布局高层次公共文化体育设施</w:t>
      </w:r>
      <w:bookmarkEnd w:id="206"/>
      <w:bookmarkEnd w:id="207"/>
      <w:bookmarkEnd w:id="208"/>
      <w:bookmarkEnd w:id="209"/>
      <w:bookmarkEnd w:id="210"/>
      <w:bookmarkEnd w:id="211"/>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继续完善公共文化设施布局。</w:t>
      </w:r>
      <w:bookmarkStart w:id="212" w:name="_Hlk40291575"/>
      <w:r>
        <w:rPr>
          <w:rFonts w:ascii="Nimbus Roman No9 L" w:eastAsia="仿宋_GB2312" w:hAnsi="Nimbus Roman No9 L" w:cs="Nimbus Roman No9 L"/>
          <w:sz w:val="32"/>
          <w:szCs w:val="32"/>
        </w:rPr>
        <w:t>高标准推进滨海新区城市文化核心展示区建设，积极推进大港、汉沽、生态城、高新区、经开区、东疆、空港等区域的城区级公共文化设施建设，完善街镇综合文化服务中心布局，加强社区公共文化服务供给。</w:t>
      </w:r>
      <w:bookmarkEnd w:id="212"/>
      <w:r>
        <w:rPr>
          <w:rFonts w:ascii="Nimbus Roman No9 L" w:eastAsia="仿宋_GB2312" w:hAnsi="Nimbus Roman No9 L" w:cs="Nimbus Roman No9 L"/>
          <w:sz w:val="32"/>
          <w:szCs w:val="32"/>
        </w:rPr>
        <w:t>新建滨海新区图书馆大港馆区、主题图书馆，积极推进东疆档案图书馆。积极推进建设渤龙湖商务展示中心、高新区科技展示中心、京津合作示范区城市展馆等项目，展示城市发展历程和成果。设立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华世奎艺术馆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，充分利用名人效应，扩大滨海新区文化影响力。建设一批市民文化中心、妇女儿童活动中心以及青少年活动中心项目落地，保证各开发区及南北两翼街镇群众文化活动需求。完</w:t>
      </w:r>
      <w:r>
        <w:rPr>
          <w:rFonts w:ascii="Nimbus Roman No9 L" w:eastAsia="仿宋_GB2312" w:hAnsi="Nimbus Roman No9 L" w:cs="Nimbus Roman No9 L"/>
          <w:sz w:val="32"/>
          <w:szCs w:val="32"/>
        </w:rPr>
        <w:lastRenderedPageBreak/>
        <w:t>善公共文化服务设施免费开放机制，深入推进博物馆、文化馆、纪念馆、美术馆等免费开放工作，倡导机关、企事业单位（包括高校）公共文化设施与社会共用共享。开展全民阅读，鼓励高校图书馆向社会开放，增设流动图书馆和微型图书馆。统筹规划、合理布局，以城乡基层文化设施建设为重点，推动文化馆、图书馆总分馆建设，通过资源与服务信息共享平台，灵活调配总馆、分馆、基层之间的文化资源，提高基层文化设施服务水平，蓝白领公寓按要求增补文化设施。支持各街镇、开发区通过建、改、租、购等方式增设公共文化设施。</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加强文物保护力度及文化传承。</w:t>
      </w:r>
      <w:r>
        <w:rPr>
          <w:rFonts w:ascii="Nimbus Roman No9 L" w:eastAsia="仿宋_GB2312" w:hAnsi="Nimbus Roman No9 L" w:cs="Nimbus Roman No9 L"/>
          <w:sz w:val="32"/>
          <w:szCs w:val="32"/>
        </w:rPr>
        <w:t>积极完成博物馆改造提升，完成滨海新区博物馆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新装</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开馆，加强馆藏革命文物征集、保护和利用，建设革命文物数据库。进一步打捞、抢救散落在滨海大地上的历史遗存和文物遗址，做好对北洋水师大沽船坞遗址轮机厂房、英国亚细亚火油公司塘沽油库旧址、大沽关帝庙等存在重大险情的文物遗址的抢救性保护。</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提升数字化建设水平。</w:t>
      </w:r>
      <w:r>
        <w:rPr>
          <w:rFonts w:ascii="Nimbus Roman No9 L" w:eastAsia="仿宋_GB2312" w:hAnsi="Nimbus Roman No9 L" w:cs="Nimbus Roman No9 L"/>
          <w:sz w:val="32"/>
          <w:szCs w:val="32"/>
        </w:rPr>
        <w:t>加强文化设施的数字化建设，大力推动移动互联网、云计算、大数据、物联网等先进技术与公共文化服务结合，提升公共文化服务数字化水平。积极挖掘地方特色资源，进一步完善和丰富滨海新区特色文化资源数据库，提高数字文化资源供给能力。加快博物馆、图书馆、文化馆、科技馆、美术馆、综合文化站等公共文化设施数字化转型升级，提升数字图</w:t>
      </w:r>
      <w:r>
        <w:rPr>
          <w:rFonts w:ascii="Nimbus Roman No9 L" w:eastAsia="仿宋_GB2312" w:hAnsi="Nimbus Roman No9 L" w:cs="Nimbus Roman No9 L"/>
          <w:sz w:val="32"/>
          <w:szCs w:val="32"/>
        </w:rPr>
        <w:lastRenderedPageBreak/>
        <w:t>书馆、数字文化馆、数字博物馆的建设水平，丰富公共文化服务智能化应用场景，丰富和拓展公共文化服务的内容资源和服务能力，提升文化体验和服务效能。推进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文化随行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公共文化服务管理平台建设，形成智能化公共文化服务系统。</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213" w:name="_Toc40281762"/>
      <w:bookmarkStart w:id="214" w:name="_Hlk40286755"/>
      <w:bookmarkStart w:id="215" w:name="_Toc72775271"/>
      <w:bookmarkStart w:id="216" w:name="_Toc40287061"/>
      <w:r>
        <w:rPr>
          <w:rFonts w:ascii="Nimbus Roman No9 L" w:eastAsia="仿宋_GB2312" w:hAnsi="Nimbus Roman No9 L" w:cs="Nimbus Roman No9 L"/>
          <w:b/>
          <w:bCs/>
          <w:sz w:val="32"/>
          <w:szCs w:val="32"/>
        </w:rPr>
        <w:t>加快建设公共体育健身设施。</w:t>
      </w:r>
      <w:r>
        <w:rPr>
          <w:rFonts w:ascii="Nimbus Roman No9 L" w:eastAsia="仿宋_GB2312" w:hAnsi="Nimbus Roman No9 L" w:cs="Nimbus Roman No9 L"/>
          <w:sz w:val="32"/>
          <w:szCs w:val="32"/>
        </w:rPr>
        <w:t>积极构建全民健身公共服务体系，进一步建设完善群众体育健身设施，加快渤龙湖体育健身中心、黄港欣嘉园市民广场和体育公园、西区文体中心、东疆公共体育场馆等体育设施建设项目，提升改造塘沽、大港体育场，建设滨海新区全民健身中心。落实大型体育场馆免费、低收费开放补助政策，扩大对市民免费或低收费服务，提高公共服务水平。充分挖掘现有的城市资产潜力，布局健身设施。积极引入社会资本，鼓励各类市场主体利用工业厂房、商业用房、仓储用房等既有建筑及屋顶、地下室等空间建设改造成体育设施。</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扩大体育消费能力。</w:t>
      </w:r>
      <w:r>
        <w:rPr>
          <w:rFonts w:ascii="Nimbus Roman No9 L" w:eastAsia="仿宋_GB2312" w:hAnsi="Nimbus Roman No9 L" w:cs="Nimbus Roman No9 L"/>
          <w:sz w:val="32"/>
          <w:szCs w:val="32"/>
        </w:rPr>
        <w:t>引导社会资本广泛开展盈利性体育活动，在滨海新区落地一批</w:t>
      </w:r>
      <w:bookmarkStart w:id="217" w:name="_Hlk40291621"/>
      <w:r>
        <w:rPr>
          <w:rFonts w:ascii="Nimbus Roman No9 L" w:eastAsia="仿宋_GB2312" w:hAnsi="Nimbus Roman No9 L" w:cs="Nimbus Roman No9 L"/>
          <w:sz w:val="32"/>
          <w:szCs w:val="32"/>
        </w:rPr>
        <w:t>房车营地、马术俱乐部、冰雪运动、水上运动、极限运动俱乐部</w:t>
      </w:r>
      <w:bookmarkEnd w:id="217"/>
      <w:r>
        <w:rPr>
          <w:rFonts w:ascii="Nimbus Roman No9 L" w:eastAsia="仿宋_GB2312" w:hAnsi="Nimbus Roman No9 L" w:cs="Nimbus Roman No9 L"/>
          <w:sz w:val="32"/>
          <w:szCs w:val="32"/>
        </w:rPr>
        <w:t>等项目，举办面向国际的品牌体育赛事活动，增强体育消费粘性。拓展体育健身、体育观赛、体育培训、体育旅游等消费新空间，促进健身休闲、竞赛表演产业发展。</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不断丰富群众体育健身活动。</w:t>
      </w:r>
      <w:r>
        <w:rPr>
          <w:rFonts w:ascii="Nimbus Roman No9 L" w:eastAsia="仿宋_GB2312" w:hAnsi="Nimbus Roman No9 L" w:cs="Nimbus Roman No9 L"/>
          <w:sz w:val="32"/>
          <w:szCs w:val="32"/>
        </w:rPr>
        <w:t>实施体育生活化社区提升工程，建设笼式足球场等各类全民健身专项活动场地，建设体育运动协会和居民健身协会，扶持市民健身站点建设。推动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十五分</w:t>
      </w:r>
      <w:r>
        <w:rPr>
          <w:rFonts w:ascii="Nimbus Roman No9 L" w:eastAsia="仿宋_GB2312" w:hAnsi="Nimbus Roman No9 L" w:cs="Nimbus Roman No9 L"/>
          <w:sz w:val="32"/>
          <w:szCs w:val="32"/>
        </w:rPr>
        <w:lastRenderedPageBreak/>
        <w:t>钟健身圈</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加强青少年体育活动，推进足球、篮球、排球等项目普及工作，让更多学生掌握基本体育技能和至少一项适合自己的运动项目。拓展已建成的街道综合文化站和社区文化中心的体育服务功能，利用已有场地，积极开展贴近城乡社区居民生活、符合城乡居民健身需求的体育活动，利用社区空置绿地，规划建设健身步道，设置室外健身器材，加强基层公共体育设施配套。</w:t>
      </w:r>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218" w:name="_Toc23726"/>
      <w:bookmarkStart w:id="219" w:name="_Toc24465"/>
      <w:r>
        <w:rPr>
          <w:rFonts w:ascii="Nimbus Roman No9 L" w:eastAsia="楷体" w:hAnsi="Nimbus Roman No9 L" w:cs="Nimbus Roman No9 L"/>
          <w:sz w:val="32"/>
          <w:szCs w:val="32"/>
        </w:rPr>
        <w:t>（四）稳步实施城市更新工作</w:t>
      </w:r>
      <w:bookmarkEnd w:id="213"/>
      <w:bookmarkEnd w:id="214"/>
      <w:bookmarkEnd w:id="215"/>
      <w:bookmarkEnd w:id="216"/>
      <w:bookmarkEnd w:id="218"/>
      <w:bookmarkEnd w:id="219"/>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220" w:name="_Hlk36752220"/>
      <w:bookmarkStart w:id="221" w:name="_Hlk36752106"/>
      <w:r>
        <w:rPr>
          <w:rFonts w:ascii="Nimbus Roman No9 L" w:eastAsia="仿宋_GB2312" w:hAnsi="Nimbus Roman No9 L" w:cs="Nimbus Roman No9 L"/>
          <w:b/>
          <w:bCs/>
          <w:sz w:val="32"/>
          <w:szCs w:val="32"/>
        </w:rPr>
        <w:t>积极推进产业导入城市更新模式。</w:t>
      </w:r>
      <w:r>
        <w:rPr>
          <w:rFonts w:ascii="Nimbus Roman No9 L" w:eastAsia="仿宋_GB2312" w:hAnsi="Nimbus Roman No9 L" w:cs="Nimbus Roman No9 L"/>
          <w:sz w:val="32"/>
          <w:szCs w:val="32"/>
        </w:rPr>
        <w:t>围绕经开区东区、高新区（华苑片区、海洋片区）、杭州道街（洋货市场周边）、胡家园街（华北陶瓷市场周边）、大沽街（大沽化地区）等试点范围，针对区域内旧工业园区、旧城区、轨道交通站点周边、海河发展轴线两侧等四类区域，通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存量空间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产业导入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新基建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资产管理运营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为主要更新路径，强化政府引导，发挥社会资本市场力量，改造为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新园区、新产业区、新文旅区、新经济区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。实现滨海新区城市更新领域产业激活和价值重构，从而达到提振城市产业、激发城市活力、提高城市品质。</w:t>
      </w:r>
    </w:p>
    <w:bookmarkEnd w:id="220"/>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积极激活街镇经济职能。</w:t>
      </w:r>
      <w:r>
        <w:rPr>
          <w:rFonts w:ascii="Nimbus Roman No9 L" w:eastAsia="仿宋_GB2312" w:hAnsi="Nimbus Roman No9 L" w:cs="Nimbus Roman No9 L"/>
          <w:sz w:val="32"/>
          <w:szCs w:val="32"/>
        </w:rPr>
        <w:t>积极推进大港、杨家泊、中塘、新城镇、胡家园的工业园区转型升级及腾笼换鸟工作。规划建设街镇工业园区，承载原有工业企业，加快工业企业集聚。积极盘活街镇闲置楼宇，大力引进金融、文创、科技、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等业态，</w:t>
      </w:r>
      <w:r>
        <w:rPr>
          <w:rFonts w:ascii="Nimbus Roman No9 L" w:eastAsia="仿宋_GB2312" w:hAnsi="Nimbus Roman No9 L" w:cs="Nimbus Roman No9 L"/>
          <w:sz w:val="32"/>
          <w:szCs w:val="32"/>
        </w:rPr>
        <w:lastRenderedPageBreak/>
        <w:t>积极发展现代服务业。</w:t>
      </w:r>
      <w:bookmarkEnd w:id="221"/>
      <w:r>
        <w:rPr>
          <w:rFonts w:ascii="Nimbus Roman No9 L" w:eastAsia="仿宋_GB2312" w:hAnsi="Nimbus Roman No9 L" w:cs="Nimbus Roman No9 L"/>
          <w:sz w:val="32"/>
          <w:szCs w:val="32"/>
        </w:rPr>
        <w:t>加快农业街镇经济规模拓展，加快发展以渔业养殖、渔业冷链、渔业体验为主要内容的渔业休闲产业，加快以葡萄、草莓等农作物种植、采摘、深加工、观赏体验等为主要内容的生态休闲农业，加快农业休闲示范镇建设。</w:t>
      </w:r>
    </w:p>
    <w:p w:rsidR="008C1560" w:rsidRDefault="00BA3517" w:rsidP="009D3EED">
      <w:pPr>
        <w:tabs>
          <w:tab w:val="left" w:pos="993"/>
        </w:tabs>
        <w:spacing w:line="580" w:lineRule="exact"/>
        <w:ind w:firstLineChars="200" w:firstLine="640"/>
        <w:rPr>
          <w:rFonts w:ascii="Nimbus Roman No9 L" w:eastAsia="仿宋_GB2312" w:hAnsi="Nimbus Roman No9 L" w:cs="Nimbus Roman No9 L" w:hint="eastAsia"/>
          <w:sz w:val="32"/>
          <w:szCs w:val="32"/>
        </w:rPr>
      </w:pPr>
      <w:bookmarkStart w:id="222" w:name="_Hlk36752137"/>
      <w:r>
        <w:rPr>
          <w:rFonts w:ascii="Nimbus Roman No9 L" w:eastAsia="仿宋_GB2312" w:hAnsi="Nimbus Roman No9 L" w:cs="Nimbus Roman No9 L"/>
          <w:b/>
          <w:bCs/>
          <w:sz w:val="32"/>
          <w:szCs w:val="32"/>
        </w:rPr>
        <w:t>促进城市织补和城市更新。</w:t>
      </w:r>
      <w:r>
        <w:rPr>
          <w:rFonts w:ascii="Nimbus Roman No9 L" w:eastAsia="仿宋_GB2312" w:hAnsi="Nimbus Roman No9 L" w:cs="Nimbus Roman No9 L"/>
          <w:sz w:val="32"/>
          <w:szCs w:val="32"/>
        </w:rPr>
        <w:t>坚持设施先行、差异化配置的原则，坚持老城区补短板、新城区高标准规划，临海城区兼顾旅游特色的发展路径，对老城区进行功能改善。促进经开区东区、天化、大沽及新港船厂转型升级和老旧城区城市织补，加强保障房、国际社区、人才住房的建设力度，为低收入群体、引进人才提供住房保障。加快推进中部新城、五车地保障房建设，积极推进新港地区、空港、经开区、东疆人才住房项目，加快北塘国际社区建设，加快实施老旧小区改造提升，棚户区改造项目，完善区域住房更新。加快老旧小区市政设施完善、电梯装修以及楼体改造等工作，积极发展社区养老、托幼、医疗、助餐、保洁等服务。明确将街道综合服务中心、社区便民服务家园、社区养老等公共服务设施向老旧小区集中合理布局。</w:t>
      </w:r>
    </w:p>
    <w:bookmarkEnd w:id="222"/>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积极推进土地可持续利用。</w:t>
      </w:r>
      <w:r>
        <w:rPr>
          <w:rFonts w:ascii="Nimbus Roman No9 L" w:eastAsia="仿宋_GB2312" w:hAnsi="Nimbus Roman No9 L" w:cs="Nimbus Roman No9 L"/>
          <w:sz w:val="32"/>
          <w:szCs w:val="32"/>
        </w:rPr>
        <w:t>从区域角度和城市功能的角度考虑棕地改造后的合理功能，兼顾工业遗产的保护和土地效率，注重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棕地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无害化处理，实现城市棕地的可持续利用。注重利用城市的边角地、闲置地等</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低效空间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，通过整理改造植入质朴、清新、实用的公众活动场所，让低效空间发挥城市生活积极作用。</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lastRenderedPageBreak/>
        <w:t>积极推进新型城镇化示范项目。</w:t>
      </w:r>
      <w:r>
        <w:rPr>
          <w:rFonts w:ascii="Nimbus Roman No9 L" w:eastAsia="仿宋_GB2312" w:hAnsi="Nimbus Roman No9 L" w:cs="Nimbus Roman No9 L"/>
          <w:sz w:val="32"/>
          <w:szCs w:val="32"/>
        </w:rPr>
        <w:t>加快街镇功能再造，推进新型城镇化建设，推进新塘组团胡家园示范区、中塘示范小城镇、新城镇农村城市化、太平示范镇二期、小王庄示范镇建设，积极加快以城镇化进程为主的城市更新进程</w:t>
      </w:r>
      <w:r>
        <w:rPr>
          <w:rFonts w:ascii="Nimbus Roman No9 L" w:eastAsia="仿宋_GB2312" w:hAnsi="Nimbus Roman No9 L" w:cs="Nimbus Roman No9 L"/>
          <w:b/>
          <w:bCs/>
          <w:sz w:val="32"/>
          <w:szCs w:val="32"/>
        </w:rPr>
        <w:t>。</w:t>
      </w:r>
      <w:r>
        <w:rPr>
          <w:rFonts w:ascii="Nimbus Roman No9 L" w:eastAsia="仿宋_GB2312" w:hAnsi="Nimbus Roman No9 L" w:cs="Nimbus Roman No9 L"/>
          <w:sz w:val="32"/>
          <w:szCs w:val="32"/>
        </w:rPr>
        <w:t>依托茶淀街、汉沽、北塘等街镇资源禀赋和特色文化资源，打造葡香小镇、渔港小镇、生态休闲小镇等特色小镇。依托农业生态资源，打造休闲农业体验、旅游为主的生态特色农业；依托海域文化，打造海洋文化特色活动。积极塑造特色风貌形态，着力提升基础设施和公共服务水平，加强绿色生态保护，推进城镇化和农业现代化融合发展，打造特色鲜明、宜居宜业的新型城镇。</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培育城市更新</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新运营商</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w:t>
      </w:r>
      <w:r>
        <w:rPr>
          <w:rFonts w:ascii="Nimbus Roman No9 L" w:eastAsia="仿宋_GB2312" w:hAnsi="Nimbus Roman No9 L" w:cs="Nimbus Roman No9 L"/>
          <w:sz w:val="32"/>
          <w:szCs w:val="32"/>
        </w:rPr>
        <w:t>挖掘城市更新资产管理的赢利点，围绕</w:t>
      </w:r>
      <w:r>
        <w:rPr>
          <w:rFonts w:ascii="Nimbus Roman No9 L" w:eastAsia="仿宋_GB2312" w:hAnsi="Nimbus Roman No9 L" w:cs="Nimbus Roman No9 L"/>
          <w:sz w:val="32"/>
          <w:szCs w:val="32"/>
        </w:rPr>
        <w:t>TOD</w:t>
      </w:r>
      <w:r>
        <w:rPr>
          <w:rFonts w:ascii="Nimbus Roman No9 L" w:eastAsia="仿宋_GB2312" w:hAnsi="Nimbus Roman No9 L" w:cs="Nimbus Roman No9 L"/>
          <w:sz w:val="32"/>
          <w:szCs w:val="32"/>
        </w:rPr>
        <w:t>综合体建设，加强商业综合体布局，提升土地价值，加强与商业综合体运营商的合作，成立商业综合体运营公司，提升商业地产价值。围绕学校、医院、旧厂房、闲置楼宇等存量资产，进行产业升级、商业改造等，加强与社会资本合作，成立新的产业运营主体，转变商业运营模式，创新产业运营模式，成为滨海新区城市更新领域新的运营商。围绕老旧小区改造升级，完善物业管理、运营机制，成立老旧小区物业运营公司，依托老旧小区改造和物业运营，导入智慧社区运营商圈、小区健康服务主体、便利服务主体等经营主体，完善小区物业运营和整体价值再造。积极推进新基建、老旧小区物业运营、商业综合体运营等</w:t>
      </w:r>
      <w:r>
        <w:rPr>
          <w:rFonts w:ascii="Nimbus Roman No9 L" w:eastAsia="仿宋_GB2312" w:hAnsi="Nimbus Roman No9 L" w:cs="Nimbus Roman No9 L"/>
          <w:sz w:val="32"/>
          <w:szCs w:val="32"/>
        </w:rPr>
        <w:lastRenderedPageBreak/>
        <w:t>方面的投融资体制改革和创新，加强</w:t>
      </w:r>
      <w:r>
        <w:rPr>
          <w:rFonts w:ascii="Nimbus Roman No9 L" w:eastAsia="仿宋_GB2312" w:hAnsi="Nimbus Roman No9 L" w:cs="Nimbus Roman No9 L"/>
          <w:sz w:val="32"/>
          <w:szCs w:val="32"/>
        </w:rPr>
        <w:t>REITs</w:t>
      </w:r>
      <w:r>
        <w:rPr>
          <w:rFonts w:ascii="Nimbus Roman No9 L" w:eastAsia="仿宋_GB2312" w:hAnsi="Nimbus Roman No9 L" w:cs="Nimbus Roman No9 L"/>
          <w:sz w:val="32"/>
          <w:szCs w:val="32"/>
        </w:rPr>
        <w:t>等金融工具的运用。</w:t>
      </w:r>
    </w:p>
    <w:p w:rsidR="008C1560" w:rsidRDefault="00BA3517">
      <w:pPr>
        <w:pStyle w:val="aa"/>
        <w:spacing w:line="580" w:lineRule="exact"/>
        <w:ind w:firstLine="640"/>
        <w:outlineLvl w:val="1"/>
        <w:rPr>
          <w:rFonts w:ascii="Nimbus Roman No9 L" w:eastAsia="楷体" w:hAnsi="Nimbus Roman No9 L" w:cs="Nimbus Roman No9 L" w:hint="eastAsia"/>
          <w:sz w:val="32"/>
          <w:szCs w:val="32"/>
        </w:rPr>
      </w:pPr>
      <w:bookmarkStart w:id="223" w:name="_Toc15726"/>
      <w:bookmarkStart w:id="224" w:name="_Toc13809"/>
      <w:r>
        <w:rPr>
          <w:rFonts w:ascii="Nimbus Roman No9 L" w:eastAsia="楷体" w:hAnsi="Nimbus Roman No9 L" w:cs="Nimbus Roman No9 L"/>
          <w:sz w:val="32"/>
          <w:szCs w:val="32"/>
        </w:rPr>
        <w:t>（五）深入实施乡村振兴战略</w:t>
      </w:r>
      <w:bookmarkEnd w:id="223"/>
      <w:bookmarkEnd w:id="224"/>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构建现代农业体系。</w:t>
      </w:r>
      <w:r>
        <w:rPr>
          <w:rFonts w:ascii="Nimbus Roman No9 L" w:eastAsia="仿宋_GB2312" w:hAnsi="Nimbus Roman No9 L" w:cs="Nimbus Roman No9 L"/>
          <w:sz w:val="32"/>
          <w:szCs w:val="32"/>
        </w:rPr>
        <w:t>突出区域特色和错位发展，优化现代都市型农业生产空间结构和区域布局。北部重点聚焦设施生产、生态修复等功能，建设现代化设施农（渔）业发展区。中部重点聚焦农业科技创新、农产品加工物流和农村休闲度假等功能，建设现代化高科技农业发展区。南部重点聚焦精品农业、特色农业和循环经济，建设现代化生态农业发展区。</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加快发展现代都市型农业。</w:t>
      </w:r>
      <w:r>
        <w:rPr>
          <w:rFonts w:ascii="Nimbus Roman No9 L" w:eastAsia="仿宋_GB2312" w:hAnsi="Nimbus Roman No9 L" w:cs="Nimbus Roman No9 L"/>
          <w:sz w:val="32"/>
          <w:szCs w:val="32"/>
        </w:rPr>
        <w:t>围绕服务津京大都市，大力推进农业供给侧结构性改革，着力发展中高端农产品，推动农业一二三产业融合发展，培育都市型休闲农业和乡村旅游康养等新经济新业态，构建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健康</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旅游</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立体农业发展模式，成为津京城市居民的农业科普基地、休闲养生基地、乡村旅游目的地。加强农业品牌建设，提升崔庄冬枣、茶淀葡萄、杨家泊对虾、大港杜泊绵羊等品牌影响力，加强农产品质量安全监管。大力发展高端种植业、高端畜牧业、高附加值水产业，加快发展都市服务型农业加工业，推动优质精品农产品进入津京高端市场。大力发展乡村特色旅游，扶持打造一批功能完备、特色突出、服务优良的休闲农业主题园、民俗民宿聚集地、养生养老产业园。大力发展体验式、沉浸式农业，实施智慧农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认养农业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、订单式农业等模式，实现农村对城市、土地对餐桌的高质量农产品直接供给。</w:t>
      </w:r>
      <w:r>
        <w:rPr>
          <w:rFonts w:ascii="Nimbus Roman No9 L" w:eastAsia="仿宋_GB2312" w:hAnsi="Nimbus Roman No9 L" w:cs="Nimbus Roman No9 L"/>
          <w:sz w:val="32"/>
          <w:szCs w:val="32"/>
        </w:rPr>
        <w:lastRenderedPageBreak/>
        <w:t>培育一批规模适度、生产集约、管理先进、效益明显的家</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庭农场，有机衔接小农户与现代农业发展。</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强化农业科技创新支撑。</w:t>
      </w:r>
      <w:r>
        <w:rPr>
          <w:rFonts w:ascii="Nimbus Roman No9 L" w:eastAsia="仿宋_GB2312" w:hAnsi="Nimbus Roman No9 L" w:cs="Nimbus Roman No9 L"/>
          <w:sz w:val="32"/>
          <w:szCs w:val="32"/>
        </w:rPr>
        <w:t>坚持走科技兴农之路，健全农业科技服务体系，建设农业科技成果转化中心、科技人员创业平台、高新技术产业孵化基地，加快农业科技成果引进示范及应用。积极推进现代农业、节水农业、生态循环农业等领域技术研发与成果应用。加快推进农业机械化和农机装备产业转型升级，推广种植业新品种新技术，实施高标准农田建设工程，稳定粮食生产能力。开展育种关键技术攻关，建设一批良种繁育基地和高品质基地。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行动，促进农业经营主体、加工流通企业、邮政快递企业与电商企业对接融合，推动线上线下互动发展，畅通农产品销售渠道。深化供销社综合改革，全面推进供销合作事业高质量发展。</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加快补齐农村基础设施短板。</w:t>
      </w:r>
      <w:r>
        <w:rPr>
          <w:rFonts w:ascii="Nimbus Roman No9 L" w:eastAsia="仿宋_GB2312" w:hAnsi="Nimbus Roman No9 L" w:cs="Nimbus Roman No9 L"/>
          <w:sz w:val="32"/>
          <w:szCs w:val="32"/>
        </w:rPr>
        <w:t>完善农村交通网络建设，全面推进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四好农村路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建设，支持村内道路建设改造并向生态产业区、种植区、养殖区延伸。到</w:t>
      </w:r>
      <w:r>
        <w:rPr>
          <w:rFonts w:ascii="Nimbus Roman No9 L" w:eastAsia="仿宋_GB2312" w:hAnsi="Nimbus Roman No9 L" w:cs="Nimbus Roman No9 L"/>
          <w:sz w:val="32"/>
          <w:szCs w:val="32"/>
        </w:rPr>
        <w:t xml:space="preserve"> 2025 </w:t>
      </w:r>
      <w:r>
        <w:rPr>
          <w:rFonts w:ascii="Nimbus Roman No9 L" w:eastAsia="仿宋_GB2312" w:hAnsi="Nimbus Roman No9 L" w:cs="Nimbus Roman No9 L"/>
          <w:sz w:val="32"/>
          <w:szCs w:val="32"/>
        </w:rPr>
        <w:t>年，基本建成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区域联网、村村直达、便捷畅通、安全可靠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农村公路网络。全面完成农村饮水安全巩固提升工程，推进城乡供水一体化。实施数字乡村战略，加快农村地区宽带网络和新一代移动通信网络覆盖，加快现代信息技术推广应用。完善农村地区邮政基础设施，提升农村寄递服务水平。</w:t>
      </w:r>
    </w:p>
    <w:p w:rsidR="008C1560" w:rsidRDefault="00BA3517">
      <w:pPr>
        <w:spacing w:line="580" w:lineRule="exact"/>
        <w:ind w:firstLineChars="200" w:firstLine="640"/>
        <w:outlineLvl w:val="0"/>
        <w:rPr>
          <w:rFonts w:ascii="Nimbus Roman No9 L" w:eastAsia="黑体" w:hAnsi="Nimbus Roman No9 L" w:cs="Nimbus Roman No9 L" w:hint="eastAsia"/>
          <w:sz w:val="32"/>
          <w:szCs w:val="32"/>
        </w:rPr>
      </w:pPr>
      <w:bookmarkStart w:id="225" w:name="_Toc40287063"/>
      <w:bookmarkStart w:id="226" w:name="_Toc40281767"/>
      <w:bookmarkStart w:id="227" w:name="_Toc72775272"/>
      <w:bookmarkStart w:id="228" w:name="_Toc28003936"/>
      <w:bookmarkStart w:id="229" w:name="_Toc7438"/>
      <w:bookmarkStart w:id="230" w:name="_Toc28003977"/>
      <w:r>
        <w:rPr>
          <w:rFonts w:ascii="Nimbus Roman No9 L" w:eastAsia="黑体" w:hAnsi="Nimbus Roman No9 L" w:cs="Nimbus Roman No9 L"/>
          <w:sz w:val="32"/>
          <w:szCs w:val="32"/>
        </w:rPr>
        <w:lastRenderedPageBreak/>
        <w:t>九、保障措施</w:t>
      </w:r>
      <w:bookmarkEnd w:id="225"/>
      <w:bookmarkEnd w:id="226"/>
      <w:bookmarkEnd w:id="227"/>
      <w:bookmarkEnd w:id="228"/>
      <w:bookmarkEnd w:id="229"/>
      <w:bookmarkEnd w:id="230"/>
    </w:p>
    <w:p w:rsidR="008C1560" w:rsidRDefault="00BA3517" w:rsidP="009D3EED">
      <w:pPr>
        <w:spacing w:line="580" w:lineRule="exact"/>
        <w:ind w:firstLineChars="200" w:firstLine="640"/>
        <w:rPr>
          <w:rFonts w:ascii="Nimbus Roman No9 L" w:eastAsia="仿宋" w:hAnsi="Nimbus Roman No9 L" w:cs="Nimbus Roman No9 L" w:hint="eastAsia"/>
          <w:sz w:val="32"/>
          <w:szCs w:val="32"/>
        </w:rPr>
      </w:pPr>
      <w:bookmarkStart w:id="231" w:name="_Hlk40293117"/>
      <w:bookmarkStart w:id="232" w:name="_Hlk36754029"/>
      <w:r>
        <w:rPr>
          <w:rFonts w:ascii="Nimbus Roman No9 L" w:eastAsia="仿宋_GB2312" w:hAnsi="Nimbus Roman No9 L" w:cs="Nimbus Roman No9 L"/>
          <w:b/>
          <w:bCs/>
          <w:sz w:val="32"/>
          <w:szCs w:val="32"/>
        </w:rPr>
        <w:t>一是牢固树立</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项目为王</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理念。</w:t>
      </w:r>
      <w:r>
        <w:rPr>
          <w:rFonts w:ascii="Nimbus Roman No9 L" w:eastAsia="仿宋_GB2312" w:hAnsi="Nimbus Roman No9 L" w:cs="Nimbus Roman No9 L"/>
          <w:sz w:val="32"/>
          <w:szCs w:val="32"/>
        </w:rPr>
        <w:t>坚持制造业强区，进一步围绕</w:t>
      </w:r>
      <w:r>
        <w:rPr>
          <w:rFonts w:ascii="Nimbus Roman No9 L" w:eastAsia="仿宋_GB2312" w:hAnsi="Nimbus Roman No9 L" w:cs="Nimbus Roman No9 L"/>
          <w:sz w:val="32"/>
          <w:szCs w:val="32"/>
        </w:rPr>
        <w:t>“1+3+4”</w:t>
      </w:r>
      <w:r>
        <w:rPr>
          <w:rFonts w:ascii="Nimbus Roman No9 L" w:eastAsia="仿宋_GB2312" w:hAnsi="Nimbus Roman No9 L" w:cs="Nimbus Roman No9 L"/>
          <w:sz w:val="32"/>
          <w:szCs w:val="32"/>
        </w:rPr>
        <w:t>产业体系，围绕积极争取国家资金和专项债券资金支持，加强上下联动、沟通协作，持续不断地策划和包装重大项目。强化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不为不办找理由，只为办好想办法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的理念，持续优化营商环境，科学谋划一批全局性、引领性、基础性的重大项目，努力形成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储备一批、开工一批、投产一批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的梯次推进格局。</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bookmarkStart w:id="233" w:name="_Hlk40811069"/>
      <w:r>
        <w:rPr>
          <w:rFonts w:ascii="Nimbus Roman No9 L" w:eastAsia="仿宋_GB2312" w:hAnsi="Nimbus Roman No9 L" w:cs="Nimbus Roman No9 L"/>
          <w:b/>
          <w:bCs/>
          <w:sz w:val="32"/>
          <w:szCs w:val="32"/>
        </w:rPr>
        <w:t>二是多措并举破解投融资难题。</w:t>
      </w:r>
      <w:r>
        <w:rPr>
          <w:rFonts w:ascii="Nimbus Roman No9 L" w:eastAsia="仿宋_GB2312" w:hAnsi="Nimbus Roman No9 L" w:cs="Nimbus Roman No9 L"/>
          <w:sz w:val="32"/>
          <w:szCs w:val="32"/>
        </w:rPr>
        <w:t>在积极申报争取地方政府专项债资金的同时，加大民间资本推介项目力度，梳理一批相对成熟、影响大、示范性好的项目进行公开推介，吸引优质社会资本参与，确保项目尽快落地实施；积极探索基础设施领域不动产投资信托基金（</w:t>
      </w:r>
      <w:r>
        <w:rPr>
          <w:rFonts w:ascii="Nimbus Roman No9 L" w:eastAsia="仿宋_GB2312" w:hAnsi="Nimbus Roman No9 L" w:cs="Nimbus Roman No9 L"/>
          <w:sz w:val="32"/>
          <w:szCs w:val="32"/>
        </w:rPr>
        <w:t>REITs</w:t>
      </w:r>
      <w:r>
        <w:rPr>
          <w:rFonts w:ascii="Nimbus Roman No9 L" w:eastAsia="仿宋_GB2312" w:hAnsi="Nimbus Roman No9 L" w:cs="Nimbus Roman No9 L"/>
          <w:sz w:val="32"/>
          <w:szCs w:val="32"/>
        </w:rPr>
        <w:t>）模式试点，破解融资难题。创新发展思路，构建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产业导入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公共设施建设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高品质社区建设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的城市开发新模式，大力实施城市更新行动。</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三是加大招商引资力度。</w:t>
      </w:r>
      <w:r>
        <w:rPr>
          <w:rFonts w:ascii="Nimbus Roman No9 L" w:eastAsia="仿宋_GB2312" w:hAnsi="Nimbus Roman No9 L" w:cs="Nimbus Roman No9 L"/>
          <w:sz w:val="32"/>
          <w:szCs w:val="32"/>
        </w:rPr>
        <w:t>围绕谋划储备的项目加强与京津冀、长三角、珠三角、环渤海等重点地区的企业、行业协会、高校院所、展会对接，紧盯世界</w:t>
      </w:r>
      <w:r>
        <w:rPr>
          <w:rFonts w:ascii="Nimbus Roman No9 L" w:eastAsia="仿宋_GB2312" w:hAnsi="Nimbus Roman No9 L" w:cs="Nimbus Roman No9 L"/>
          <w:sz w:val="32"/>
          <w:szCs w:val="32"/>
        </w:rPr>
        <w:t>500</w:t>
      </w:r>
      <w:r>
        <w:rPr>
          <w:rFonts w:ascii="Nimbus Roman No9 L" w:eastAsia="仿宋_GB2312" w:hAnsi="Nimbus Roman No9 L" w:cs="Nimbus Roman No9 L"/>
          <w:sz w:val="32"/>
          <w:szCs w:val="32"/>
        </w:rPr>
        <w:t>强、民企</w:t>
      </w:r>
      <w:r>
        <w:rPr>
          <w:rFonts w:ascii="Nimbus Roman No9 L" w:eastAsia="仿宋_GB2312" w:hAnsi="Nimbus Roman No9 L" w:cs="Nimbus Roman No9 L"/>
          <w:sz w:val="32"/>
          <w:szCs w:val="32"/>
        </w:rPr>
        <w:t>500</w:t>
      </w:r>
      <w:r>
        <w:rPr>
          <w:rFonts w:ascii="Nimbus Roman No9 L" w:eastAsia="仿宋_GB2312" w:hAnsi="Nimbus Roman No9 L" w:cs="Nimbus Roman No9 L"/>
          <w:sz w:val="32"/>
          <w:szCs w:val="32"/>
        </w:rPr>
        <w:t>强，瞄准行业细分领域领军企业、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隐形冠军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企业、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独角兽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企业，突出招商靶向性精准性，加大招商引资力度，不断在强链串链补链延链上下功夫，持续引进落地一批大项目好项目。</w:t>
      </w:r>
    </w:p>
    <w:bookmarkEnd w:id="233"/>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四是强化项目前期论证、投资决策的过程管理。</w:t>
      </w:r>
      <w:r>
        <w:rPr>
          <w:rFonts w:ascii="Nimbus Roman No9 L" w:eastAsia="仿宋_GB2312" w:hAnsi="Nimbus Roman No9 L" w:cs="Nimbus Roman No9 L"/>
          <w:sz w:val="32"/>
          <w:szCs w:val="32"/>
        </w:rPr>
        <w:t>通过打造从</w:t>
      </w:r>
      <w:r>
        <w:rPr>
          <w:rFonts w:ascii="Nimbus Roman No9 L" w:eastAsia="仿宋_GB2312" w:hAnsi="Nimbus Roman No9 L" w:cs="Nimbus Roman No9 L"/>
          <w:sz w:val="32"/>
          <w:szCs w:val="32"/>
        </w:rPr>
        <w:lastRenderedPageBreak/>
        <w:t>战略出发、全过程管理的政府闭环投融资管理体系，逐步建立起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谋划、策划、规划、计划</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的政府投资项目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有机衔接的理论架构和方法体系，以保证政府投资计划能够满足城市发展需要，并通过后续的信息反馈，对下一步的城市建设、开发战略的制定，提供借鉴，实现政府投资项目的规划、融资、建设和管理的良性循环。</w:t>
      </w:r>
    </w:p>
    <w:bookmarkEnd w:id="231"/>
    <w:bookmarkEnd w:id="232"/>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五是持续优化营商环境。</w:t>
      </w:r>
      <w:r>
        <w:rPr>
          <w:rFonts w:ascii="Nimbus Roman No9 L" w:eastAsia="仿宋_GB2312" w:hAnsi="Nimbus Roman No9 L" w:cs="Nimbus Roman No9 L"/>
          <w:sz w:val="32"/>
          <w:szCs w:val="32"/>
        </w:rPr>
        <w:t>营造高效便捷开放的政务环境和投资环境，优化投资项目审批流程，用好市级下放权限，狠抓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放管服</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改革，深化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一制三化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改革，事项环节要件再精简</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，工程建设项目审批再提速</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，大幅增加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不见面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审批事项，让最多跑一次成为常态。</w:t>
      </w:r>
    </w:p>
    <w:p w:rsidR="008C1560" w:rsidRDefault="00BA3517" w:rsidP="009D3EED">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bCs/>
          <w:sz w:val="32"/>
          <w:szCs w:val="32"/>
        </w:rPr>
        <w:t>六是全方位抓好安全保障工作。</w:t>
      </w:r>
      <w:r>
        <w:rPr>
          <w:rFonts w:ascii="Nimbus Roman No9 L" w:eastAsia="仿宋_GB2312" w:hAnsi="Nimbus Roman No9 L" w:cs="Nimbus Roman No9 L"/>
          <w:sz w:val="32"/>
          <w:szCs w:val="32"/>
        </w:rPr>
        <w:t>安全是为了更好地发展，要强化安全意识，认真贯彻</w:t>
      </w:r>
      <w:del w:id="234" w:author="Windows 用户" w:date="2022-03-18T16:13:00Z">
        <w:r w:rsidDel="00283EEE">
          <w:rPr>
            <w:rFonts w:ascii="Nimbus Roman No9 L" w:eastAsia="仿宋_GB2312" w:hAnsi="Nimbus Roman No9 L" w:cs="Nimbus Roman No9 L"/>
            <w:sz w:val="32"/>
            <w:szCs w:val="32"/>
          </w:rPr>
          <w:delText>“</w:delText>
        </w:r>
        <w:r w:rsidDel="00283EEE">
          <w:rPr>
            <w:rFonts w:ascii="Nimbus Roman No9 L" w:eastAsia="仿宋_GB2312" w:hAnsi="Nimbus Roman No9 L" w:cs="Nimbus Roman No9 L"/>
            <w:sz w:val="32"/>
            <w:szCs w:val="32"/>
          </w:rPr>
          <w:delText>安全第一、预防为主</w:delText>
        </w:r>
        <w:r w:rsidDel="00283EEE">
          <w:rPr>
            <w:rFonts w:ascii="Nimbus Roman No9 L" w:eastAsia="仿宋_GB2312" w:hAnsi="Nimbus Roman No9 L" w:cs="Nimbus Roman No9 L"/>
            <w:sz w:val="32"/>
            <w:szCs w:val="32"/>
          </w:rPr>
          <w:delText>”</w:delText>
        </w:r>
      </w:del>
      <w:ins w:id="235" w:author="Windows 用户" w:date="2022-03-18T16:13:00Z">
        <w:r w:rsidR="00283EEE">
          <w:rPr>
            <w:rFonts w:ascii="Nimbus Roman No9 L" w:eastAsia="仿宋_GB2312" w:hAnsi="Nimbus Roman No9 L" w:cs="Nimbus Roman No9 L"/>
            <w:sz w:val="32"/>
            <w:szCs w:val="32"/>
          </w:rPr>
          <w:t>“</w:t>
        </w:r>
        <w:r w:rsidR="00283EEE">
          <w:rPr>
            <w:rFonts w:ascii="Nimbus Roman No9 L" w:eastAsia="仿宋_GB2312" w:hAnsi="Nimbus Roman No9 L" w:cs="Nimbus Roman No9 L"/>
            <w:sz w:val="32"/>
            <w:szCs w:val="32"/>
          </w:rPr>
          <w:t>安全第一、预防为主、综合治理</w:t>
        </w:r>
        <w:r w:rsidR="00283EEE">
          <w:rPr>
            <w:rFonts w:ascii="Nimbus Roman No9 L" w:eastAsia="仿宋_GB2312" w:hAnsi="Nimbus Roman No9 L" w:cs="Nimbus Roman No9 L"/>
            <w:sz w:val="32"/>
            <w:szCs w:val="32"/>
          </w:rPr>
          <w:t>”</w:t>
        </w:r>
      </w:ins>
      <w:r>
        <w:rPr>
          <w:rFonts w:ascii="Nimbus Roman No9 L" w:eastAsia="仿宋_GB2312" w:hAnsi="Nimbus Roman No9 L" w:cs="Nimbus Roman No9 L"/>
          <w:sz w:val="32"/>
          <w:szCs w:val="32"/>
        </w:rPr>
        <w:t>的方针。在项目建设过程中，严格采取防范措施，消灭一切事故隐患，始终坚持安全、质量、进度三者并重，确保施工项目安全平稳进行。</w:t>
      </w:r>
    </w:p>
    <w:p w:rsidR="008C1560" w:rsidRDefault="008C1560">
      <w:pPr>
        <w:spacing w:line="580" w:lineRule="exact"/>
        <w:ind w:firstLineChars="200" w:firstLine="640"/>
        <w:rPr>
          <w:rFonts w:ascii="Nimbus Roman No9 L" w:eastAsia="仿宋_GB2312" w:hAnsi="Nimbus Roman No9 L" w:cs="Nimbus Roman No9 L" w:hint="eastAsia"/>
          <w:sz w:val="32"/>
          <w:szCs w:val="32"/>
        </w:rPr>
      </w:pPr>
    </w:p>
    <w:p w:rsidR="008C1560" w:rsidRDefault="008C1560">
      <w:pPr>
        <w:spacing w:line="580" w:lineRule="exact"/>
        <w:ind w:firstLineChars="200" w:firstLine="640"/>
        <w:rPr>
          <w:rFonts w:ascii="Nimbus Roman No9 L" w:eastAsia="仿宋_GB2312" w:hAnsi="Nimbus Roman No9 L" w:cs="Nimbus Roman No9 L" w:hint="eastAsia"/>
          <w:sz w:val="32"/>
          <w:szCs w:val="32"/>
        </w:rPr>
      </w:pPr>
    </w:p>
    <w:sectPr w:rsidR="008C1560" w:rsidSect="008C1560">
      <w:headerReference w:type="even" r:id="rId8"/>
      <w:headerReference w:type="default" r:id="rId9"/>
      <w:footerReference w:type="even" r:id="rId10"/>
      <w:footerReference w:type="default" r:id="rId11"/>
      <w:pgSz w:w="11906" w:h="16838"/>
      <w:pgMar w:top="2098" w:right="1474" w:bottom="1984" w:left="158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A8C" w:rsidRDefault="00396A8C" w:rsidP="008C1560">
      <w:r>
        <w:separator/>
      </w:r>
    </w:p>
  </w:endnote>
  <w:endnote w:type="continuationSeparator" w:id="1">
    <w:p w:rsidR="00396A8C" w:rsidRDefault="00396A8C" w:rsidP="008C1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等线 Light">
    <w:altName w:val="宋体"/>
    <w:charset w:val="86"/>
    <w:family w:val="auto"/>
    <w:pitch w:val="default"/>
    <w:sig w:usb0="00000000" w:usb1="00000000" w:usb2="00000016" w:usb3="00000000" w:csb0="0004000F" w:csb1="00000000"/>
  </w:font>
  <w:font w:name="Nimbus Roman No9 L">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60" w:rsidRDefault="005D2273">
    <w:pPr>
      <w:pStyle w:val="a6"/>
    </w:pPr>
    <w:r>
      <w:pict>
        <v:shapetype id="_x0000_t202" coordsize="21600,21600" o:spt="202" path="m,l,21600r21600,l21600,xe">
          <v:stroke joinstyle="miter"/>
          <v:path gradientshapeok="t" o:connecttype="rect"/>
        </v:shapetype>
        <v:shape id="_x0000_s1027" type="#_x0000_t202" style="position:absolute;margin-left:208pt;margin-top:-34.35pt;width:2in;height:2in;z-index:251659264;mso-wrap-style:none;mso-position-horizontal:outside;mso-position-horizontal-relative:margin" o:gfxdata="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3bLJXXAAAACQEAAA8AAAAAAAAAAQAgAAAAOAAAAGRycy9kb3ducmV2Lnht&#10;bFBLAQIUABQAAAAIAIdO4kD176IwHQIAACkEAAAOAAAAAAAAAAEAIAAAADwBAABkcnMvZTJvRG9j&#10;LnhtbFBLBQYAAAAABgAGAFkBAADLBQAAAAA=&#10;" filled="f" stroked="f" strokeweight=".5pt">
          <v:textbox style="mso-fit-shape-to-text:t" inset="0,0,0,0">
            <w:txbxContent>
              <w:p w:rsidR="008C1560" w:rsidRDefault="00BA3517">
                <w:pPr>
                  <w:pStyle w:val="a6"/>
                  <w:rPr>
                    <w:rFonts w:ascii="宋体" w:eastAsia="宋体" w:hAnsi="宋体" w:cs="宋体"/>
                    <w:sz w:val="28"/>
                    <w:szCs w:val="28"/>
                  </w:rPr>
                </w:pPr>
                <w:r>
                  <w:rPr>
                    <w:rFonts w:ascii="宋体" w:eastAsia="宋体" w:hAnsi="宋体" w:cs="宋体" w:hint="eastAsia"/>
                    <w:sz w:val="28"/>
                    <w:szCs w:val="28"/>
                  </w:rPr>
                  <w:t xml:space="preserve">— </w:t>
                </w:r>
                <w:r w:rsidR="005D2273">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sidR="005D2273">
                  <w:rPr>
                    <w:rFonts w:ascii="Times New Roman" w:eastAsia="宋体" w:hAnsi="Times New Roman" w:cs="Times New Roman"/>
                    <w:sz w:val="28"/>
                    <w:szCs w:val="28"/>
                  </w:rPr>
                  <w:fldChar w:fldCharType="separate"/>
                </w:r>
                <w:r w:rsidR="00283EEE">
                  <w:rPr>
                    <w:rFonts w:ascii="Times New Roman" w:eastAsia="宋体" w:hAnsi="Times New Roman" w:cs="Times New Roman"/>
                    <w:noProof/>
                    <w:sz w:val="28"/>
                    <w:szCs w:val="28"/>
                  </w:rPr>
                  <w:t>48</w:t>
                </w:r>
                <w:r w:rsidR="005D2273">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60" w:rsidRDefault="005D2273">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208pt;margin-top:-34.35pt;width:2in;height:2in;z-index:251658240;mso-wrap-style:none;mso-position-horizontal:outside;mso-position-horizontal-relative:margin" o:gfxdata="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N/9APZAAAADAEAAA8AAAAAAAAAAQAgAAAAOAAAAGRycy9kb3ducmV2Lnht&#10;bFBLAQIUABQAAAAIAIdO4kA8FiLyGwIAACkEAAAOAAAAAAAAAAEAIAAAAD4BAABkcnMvZTJvRG9j&#10;LnhtbFBLBQYAAAAABgAGAFkBAADLBQAAAAA=&#10;" filled="f" stroked="f" strokeweight=".5pt">
          <v:textbox style="mso-fit-shape-to-text:t" inset="0,0,0,0">
            <w:txbxContent>
              <w:p w:rsidR="008C1560" w:rsidRDefault="00BA3517">
                <w:pPr>
                  <w:pStyle w:val="a6"/>
                  <w:rPr>
                    <w:rFonts w:ascii="宋体" w:eastAsia="宋体" w:hAnsi="宋体" w:cs="宋体"/>
                    <w:sz w:val="28"/>
                    <w:szCs w:val="28"/>
                  </w:rPr>
                </w:pPr>
                <w:r>
                  <w:rPr>
                    <w:rFonts w:ascii="宋体" w:eastAsia="宋体" w:hAnsi="宋体" w:cs="宋体" w:hint="eastAsia"/>
                    <w:sz w:val="28"/>
                    <w:szCs w:val="28"/>
                  </w:rPr>
                  <w:t xml:space="preserve">— </w:t>
                </w:r>
                <w:r w:rsidR="005D2273">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sidR="005D2273">
                  <w:rPr>
                    <w:rFonts w:ascii="Times New Roman" w:eastAsia="宋体" w:hAnsi="Times New Roman" w:cs="Times New Roman"/>
                    <w:sz w:val="28"/>
                    <w:szCs w:val="28"/>
                  </w:rPr>
                  <w:fldChar w:fldCharType="separate"/>
                </w:r>
                <w:r w:rsidR="00283EEE">
                  <w:rPr>
                    <w:rFonts w:ascii="Times New Roman" w:eastAsia="宋体" w:hAnsi="Times New Roman" w:cs="Times New Roman"/>
                    <w:noProof/>
                    <w:sz w:val="28"/>
                    <w:szCs w:val="28"/>
                  </w:rPr>
                  <w:t>47</w:t>
                </w:r>
                <w:r w:rsidR="005D2273">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w:r>
  </w:p>
  <w:p w:rsidR="008C1560" w:rsidRDefault="008C15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A8C" w:rsidRDefault="00396A8C" w:rsidP="008C1560">
      <w:r>
        <w:separator/>
      </w:r>
    </w:p>
  </w:footnote>
  <w:footnote w:type="continuationSeparator" w:id="1">
    <w:p w:rsidR="00396A8C" w:rsidRDefault="00396A8C" w:rsidP="008C1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60" w:rsidRDefault="008C156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60" w:rsidRDefault="008C156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9ABD6"/>
    <w:multiLevelType w:val="singleLevel"/>
    <w:tmpl w:val="4ED9ABD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evenAndOddHeaders/>
  <w:drawingGridHorizontalSpacing w:val="105"/>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B5D16"/>
    <w:rsid w:val="BDEFF2AE"/>
    <w:rsid w:val="E2EA3728"/>
    <w:rsid w:val="EF6F62D9"/>
    <w:rsid w:val="FB7F64F3"/>
    <w:rsid w:val="00154048"/>
    <w:rsid w:val="00165797"/>
    <w:rsid w:val="001723D8"/>
    <w:rsid w:val="001B7701"/>
    <w:rsid w:val="001F2829"/>
    <w:rsid w:val="00283EEE"/>
    <w:rsid w:val="002D5142"/>
    <w:rsid w:val="00396A8C"/>
    <w:rsid w:val="004410BF"/>
    <w:rsid w:val="00523D76"/>
    <w:rsid w:val="00556190"/>
    <w:rsid w:val="00584321"/>
    <w:rsid w:val="005A7483"/>
    <w:rsid w:val="005B5D16"/>
    <w:rsid w:val="005D2273"/>
    <w:rsid w:val="005F2642"/>
    <w:rsid w:val="0066432F"/>
    <w:rsid w:val="006B342E"/>
    <w:rsid w:val="00747804"/>
    <w:rsid w:val="00764335"/>
    <w:rsid w:val="007A10E6"/>
    <w:rsid w:val="007E27EA"/>
    <w:rsid w:val="007F6632"/>
    <w:rsid w:val="008012D5"/>
    <w:rsid w:val="00860948"/>
    <w:rsid w:val="008A50C6"/>
    <w:rsid w:val="008B24AB"/>
    <w:rsid w:val="008C1560"/>
    <w:rsid w:val="00995C30"/>
    <w:rsid w:val="009D3EED"/>
    <w:rsid w:val="00A30A03"/>
    <w:rsid w:val="00A722CE"/>
    <w:rsid w:val="00AC5AF0"/>
    <w:rsid w:val="00BA3517"/>
    <w:rsid w:val="00BD1BEC"/>
    <w:rsid w:val="00BE6EF2"/>
    <w:rsid w:val="00CB0AAE"/>
    <w:rsid w:val="00CC4B4A"/>
    <w:rsid w:val="00CF7769"/>
    <w:rsid w:val="00D70FFD"/>
    <w:rsid w:val="00DB2008"/>
    <w:rsid w:val="00DE5134"/>
    <w:rsid w:val="00E849D4"/>
    <w:rsid w:val="00EC73EB"/>
    <w:rsid w:val="00F42AC2"/>
    <w:rsid w:val="00F62595"/>
    <w:rsid w:val="00F70A25"/>
    <w:rsid w:val="017E6B25"/>
    <w:rsid w:val="0255189C"/>
    <w:rsid w:val="04D542E4"/>
    <w:rsid w:val="05A91ABA"/>
    <w:rsid w:val="05F336C8"/>
    <w:rsid w:val="06066CD8"/>
    <w:rsid w:val="09CC15FC"/>
    <w:rsid w:val="0AF12566"/>
    <w:rsid w:val="0B5B686E"/>
    <w:rsid w:val="0B7B7DA6"/>
    <w:rsid w:val="0B897808"/>
    <w:rsid w:val="0C3037A3"/>
    <w:rsid w:val="0D475E7A"/>
    <w:rsid w:val="0FA03873"/>
    <w:rsid w:val="100962A3"/>
    <w:rsid w:val="10315DB0"/>
    <w:rsid w:val="11154CED"/>
    <w:rsid w:val="11DB434B"/>
    <w:rsid w:val="11F90490"/>
    <w:rsid w:val="12BB13C8"/>
    <w:rsid w:val="14D8690D"/>
    <w:rsid w:val="15E65211"/>
    <w:rsid w:val="16F04E4E"/>
    <w:rsid w:val="189D74C9"/>
    <w:rsid w:val="1AC47E5E"/>
    <w:rsid w:val="1B315E81"/>
    <w:rsid w:val="1F823E8E"/>
    <w:rsid w:val="1FFA1204"/>
    <w:rsid w:val="213807D4"/>
    <w:rsid w:val="22E0125F"/>
    <w:rsid w:val="28BC2546"/>
    <w:rsid w:val="2B3F716D"/>
    <w:rsid w:val="2B5D2022"/>
    <w:rsid w:val="2ED70CF8"/>
    <w:rsid w:val="31313B0F"/>
    <w:rsid w:val="35C11895"/>
    <w:rsid w:val="363B3F67"/>
    <w:rsid w:val="36ED7425"/>
    <w:rsid w:val="39184C5E"/>
    <w:rsid w:val="392B3B8C"/>
    <w:rsid w:val="3AB77B6B"/>
    <w:rsid w:val="3CD01BA9"/>
    <w:rsid w:val="3DD3A208"/>
    <w:rsid w:val="3DDF0ED7"/>
    <w:rsid w:val="3E2066DD"/>
    <w:rsid w:val="3EBE4D5F"/>
    <w:rsid w:val="412C794D"/>
    <w:rsid w:val="43084FC6"/>
    <w:rsid w:val="449A358B"/>
    <w:rsid w:val="45764325"/>
    <w:rsid w:val="459B6673"/>
    <w:rsid w:val="45B63D8B"/>
    <w:rsid w:val="470E6008"/>
    <w:rsid w:val="47476F65"/>
    <w:rsid w:val="476272C8"/>
    <w:rsid w:val="484C3E78"/>
    <w:rsid w:val="494B79F9"/>
    <w:rsid w:val="499C19AE"/>
    <w:rsid w:val="49BA4481"/>
    <w:rsid w:val="4A9D7D40"/>
    <w:rsid w:val="50913FAA"/>
    <w:rsid w:val="518F226D"/>
    <w:rsid w:val="548A6FDA"/>
    <w:rsid w:val="55EF6F27"/>
    <w:rsid w:val="5657780A"/>
    <w:rsid w:val="59C1482C"/>
    <w:rsid w:val="5E591E59"/>
    <w:rsid w:val="5F9F9744"/>
    <w:rsid w:val="61987724"/>
    <w:rsid w:val="64947775"/>
    <w:rsid w:val="652B3385"/>
    <w:rsid w:val="66023B62"/>
    <w:rsid w:val="66683BCB"/>
    <w:rsid w:val="694D5150"/>
    <w:rsid w:val="6A061712"/>
    <w:rsid w:val="6A964B91"/>
    <w:rsid w:val="6AE03610"/>
    <w:rsid w:val="6B343680"/>
    <w:rsid w:val="6B777534"/>
    <w:rsid w:val="6BDD05F2"/>
    <w:rsid w:val="6BFA7C3F"/>
    <w:rsid w:val="6BFF5023"/>
    <w:rsid w:val="6CA6594E"/>
    <w:rsid w:val="6D9C1473"/>
    <w:rsid w:val="6E072634"/>
    <w:rsid w:val="6E1750EB"/>
    <w:rsid w:val="73572000"/>
    <w:rsid w:val="74226505"/>
    <w:rsid w:val="75F25C56"/>
    <w:rsid w:val="776340E6"/>
    <w:rsid w:val="77F9047D"/>
    <w:rsid w:val="7C317CAF"/>
    <w:rsid w:val="7CCA1790"/>
    <w:rsid w:val="7D5A3F47"/>
    <w:rsid w:val="7D9E5F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C156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8C1560"/>
    <w:pPr>
      <w:keepNext/>
      <w:keepLines/>
      <w:spacing w:before="340" w:after="330" w:line="578" w:lineRule="auto"/>
      <w:outlineLvl w:val="0"/>
    </w:pPr>
    <w:rPr>
      <w:b/>
      <w:bCs/>
      <w:kern w:val="44"/>
      <w:sz w:val="44"/>
      <w:szCs w:val="44"/>
    </w:rPr>
  </w:style>
  <w:style w:type="paragraph" w:styleId="2">
    <w:name w:val="heading 2"/>
    <w:basedOn w:val="1"/>
    <w:next w:val="a"/>
    <w:qFormat/>
    <w:rsid w:val="008C1560"/>
    <w:pPr>
      <w:spacing w:before="156" w:after="156"/>
      <w:ind w:firstLine="640"/>
      <w:outlineLvl w:val="1"/>
    </w:pPr>
    <w:rPr>
      <w:rFonts w:ascii="Times New Roman" w:eastAsia="楷体_GB2312" w:hAnsi="Times New Roman" w:cs="Times New Roman"/>
      <w:szCs w:val="32"/>
    </w:rPr>
  </w:style>
  <w:style w:type="paragraph" w:styleId="3">
    <w:name w:val="heading 3"/>
    <w:basedOn w:val="2"/>
    <w:next w:val="a"/>
    <w:link w:val="3Char"/>
    <w:uiPriority w:val="9"/>
    <w:unhideWhenUsed/>
    <w:qFormat/>
    <w:rsid w:val="008C1560"/>
    <w:pPr>
      <w:spacing w:before="260" w:after="260" w:line="416" w:lineRule="auto"/>
      <w:outlineLvl w:val="2"/>
    </w:pPr>
    <w:rPr>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8C1560"/>
    <w:pPr>
      <w:autoSpaceDE w:val="0"/>
      <w:autoSpaceDN w:val="0"/>
      <w:jc w:val="center"/>
    </w:pPr>
    <w:rPr>
      <w:rFonts w:ascii="仿宋_GB2312"/>
      <w:kern w:val="0"/>
      <w:sz w:val="24"/>
    </w:rPr>
  </w:style>
  <w:style w:type="paragraph" w:styleId="a4">
    <w:name w:val="Date"/>
    <w:basedOn w:val="a"/>
    <w:next w:val="a"/>
    <w:link w:val="Char"/>
    <w:uiPriority w:val="99"/>
    <w:semiHidden/>
    <w:unhideWhenUsed/>
    <w:qFormat/>
    <w:rsid w:val="008C1560"/>
    <w:pPr>
      <w:ind w:leftChars="2500" w:left="100"/>
    </w:pPr>
  </w:style>
  <w:style w:type="paragraph" w:styleId="a5">
    <w:name w:val="Balloon Text"/>
    <w:basedOn w:val="a"/>
    <w:link w:val="Char0"/>
    <w:uiPriority w:val="99"/>
    <w:semiHidden/>
    <w:unhideWhenUsed/>
    <w:qFormat/>
    <w:rsid w:val="008C1560"/>
    <w:rPr>
      <w:sz w:val="18"/>
      <w:szCs w:val="18"/>
    </w:rPr>
  </w:style>
  <w:style w:type="paragraph" w:styleId="a6">
    <w:name w:val="footer"/>
    <w:basedOn w:val="a"/>
    <w:link w:val="Char1"/>
    <w:uiPriority w:val="99"/>
    <w:unhideWhenUsed/>
    <w:qFormat/>
    <w:rsid w:val="008C1560"/>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8C156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C1560"/>
  </w:style>
  <w:style w:type="paragraph" w:styleId="20">
    <w:name w:val="toc 2"/>
    <w:basedOn w:val="a"/>
    <w:next w:val="a"/>
    <w:uiPriority w:val="39"/>
    <w:unhideWhenUsed/>
    <w:qFormat/>
    <w:rsid w:val="008C1560"/>
    <w:pPr>
      <w:ind w:leftChars="200" w:left="420"/>
    </w:pPr>
  </w:style>
  <w:style w:type="character" w:styleId="a8">
    <w:name w:val="page number"/>
    <w:basedOn w:val="a1"/>
    <w:qFormat/>
    <w:rsid w:val="008C1560"/>
  </w:style>
  <w:style w:type="character" w:styleId="a9">
    <w:name w:val="Hyperlink"/>
    <w:basedOn w:val="a1"/>
    <w:uiPriority w:val="99"/>
    <w:unhideWhenUsed/>
    <w:qFormat/>
    <w:rsid w:val="008C1560"/>
    <w:rPr>
      <w:color w:val="0563C1" w:themeColor="hyperlink"/>
      <w:u w:val="single"/>
    </w:rPr>
  </w:style>
  <w:style w:type="character" w:customStyle="1" w:styleId="Char2">
    <w:name w:val="页眉 Char"/>
    <w:basedOn w:val="a1"/>
    <w:link w:val="a7"/>
    <w:uiPriority w:val="99"/>
    <w:qFormat/>
    <w:rsid w:val="008C1560"/>
    <w:rPr>
      <w:sz w:val="18"/>
      <w:szCs w:val="18"/>
    </w:rPr>
  </w:style>
  <w:style w:type="character" w:customStyle="1" w:styleId="Char1">
    <w:name w:val="页脚 Char"/>
    <w:basedOn w:val="a1"/>
    <w:link w:val="a6"/>
    <w:uiPriority w:val="99"/>
    <w:qFormat/>
    <w:rsid w:val="008C1560"/>
    <w:rPr>
      <w:sz w:val="18"/>
      <w:szCs w:val="18"/>
    </w:rPr>
  </w:style>
  <w:style w:type="character" w:customStyle="1" w:styleId="3Char">
    <w:name w:val="标题 3 Char"/>
    <w:basedOn w:val="a1"/>
    <w:link w:val="3"/>
    <w:uiPriority w:val="9"/>
    <w:qFormat/>
    <w:rsid w:val="008C1560"/>
    <w:rPr>
      <w:b/>
      <w:bCs/>
      <w:sz w:val="32"/>
      <w:szCs w:val="32"/>
    </w:rPr>
  </w:style>
  <w:style w:type="character" w:customStyle="1" w:styleId="Char">
    <w:name w:val="日期 Char"/>
    <w:basedOn w:val="a1"/>
    <w:link w:val="a4"/>
    <w:uiPriority w:val="99"/>
    <w:semiHidden/>
    <w:qFormat/>
    <w:rsid w:val="008C1560"/>
  </w:style>
  <w:style w:type="paragraph" w:customStyle="1" w:styleId="st-x4">
    <w:name w:val="st-x4"/>
    <w:link w:val="st-x40"/>
    <w:qFormat/>
    <w:rsid w:val="008C1560"/>
    <w:pPr>
      <w:widowControl w:val="0"/>
      <w:spacing w:line="360" w:lineRule="auto"/>
      <w:ind w:firstLineChars="200" w:firstLine="200"/>
      <w:jc w:val="both"/>
    </w:pPr>
    <w:rPr>
      <w:rFonts w:ascii="宋体" w:hAnsi="宋体" w:cs="宋体"/>
      <w:kern w:val="2"/>
      <w:sz w:val="24"/>
      <w:szCs w:val="24"/>
    </w:rPr>
  </w:style>
  <w:style w:type="character" w:customStyle="1" w:styleId="st-x40">
    <w:name w:val="st-x4 字符"/>
    <w:basedOn w:val="a1"/>
    <w:link w:val="st-x4"/>
    <w:qFormat/>
    <w:rsid w:val="008C1560"/>
    <w:rPr>
      <w:rFonts w:ascii="宋体" w:eastAsia="宋体" w:hAnsi="宋体" w:cs="宋体"/>
      <w:sz w:val="24"/>
      <w:szCs w:val="24"/>
    </w:rPr>
  </w:style>
  <w:style w:type="paragraph" w:styleId="aa">
    <w:name w:val="List Paragraph"/>
    <w:basedOn w:val="a"/>
    <w:uiPriority w:val="34"/>
    <w:qFormat/>
    <w:rsid w:val="008C1560"/>
    <w:pPr>
      <w:ind w:firstLineChars="200" w:firstLine="420"/>
    </w:pPr>
    <w:rPr>
      <w:szCs w:val="21"/>
    </w:rPr>
  </w:style>
  <w:style w:type="character" w:customStyle="1" w:styleId="1Char">
    <w:name w:val="标题 1 Char"/>
    <w:basedOn w:val="a1"/>
    <w:link w:val="1"/>
    <w:uiPriority w:val="9"/>
    <w:qFormat/>
    <w:rsid w:val="008C1560"/>
    <w:rPr>
      <w:b/>
      <w:bCs/>
      <w:kern w:val="44"/>
      <w:sz w:val="44"/>
      <w:szCs w:val="44"/>
    </w:rPr>
  </w:style>
  <w:style w:type="paragraph" w:customStyle="1" w:styleId="TOC1">
    <w:name w:val="TOC 标题1"/>
    <w:basedOn w:val="1"/>
    <w:next w:val="a"/>
    <w:uiPriority w:val="39"/>
    <w:unhideWhenUsed/>
    <w:qFormat/>
    <w:rsid w:val="008C156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Char0">
    <w:name w:val="批注框文本 Char"/>
    <w:basedOn w:val="a1"/>
    <w:link w:val="a5"/>
    <w:uiPriority w:val="99"/>
    <w:semiHidden/>
    <w:qFormat/>
    <w:rsid w:val="008C156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3905</Words>
  <Characters>22263</Characters>
  <Application>Microsoft Office Word</Application>
  <DocSecurity>0</DocSecurity>
  <Lines>185</Lines>
  <Paragraphs>52</Paragraphs>
  <ScaleCrop>false</ScaleCrop>
  <Company>Lenovo</Company>
  <LinksUpToDate>false</LinksUpToDate>
  <CharactersWithSpaces>26116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安冬云</dc:creator>
  <cp:lastModifiedBy>Windows 用户</cp:lastModifiedBy>
  <cp:revision>6</cp:revision>
  <cp:lastPrinted>2021-07-25T07:16:00Z</cp:lastPrinted>
  <dcterms:created xsi:type="dcterms:W3CDTF">2021-09-09T08:17:00Z</dcterms:created>
  <dcterms:modified xsi:type="dcterms:W3CDTF">2022-03-18T08:13:00Z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80E518848BC74668B9E2D2CACEC2CDC9</vt:lpwstr>
  </property>
</Properties>
</file>