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0"/>
        <w:rPr>
          <w:rFonts w:hint="default" w:ascii="Nimbus Roman No9 L" w:hAnsi="Nimbus Roman No9 L" w:eastAsia="黑体" w:cs="Nimbus Roman No9 L"/>
          <w:color w:val="auto"/>
          <w:sz w:val="32"/>
          <w:szCs w:val="32"/>
        </w:rPr>
      </w:pPr>
      <w:bookmarkStart w:id="41" w:name="_GoBack"/>
      <w:bookmarkEnd w:id="41"/>
      <w:r>
        <w:rPr>
          <w:rFonts w:hint="default" w:ascii="Nimbus Roman No9 L" w:hAnsi="Nimbus Roman No9 L" w:eastAsia="黑体" w:cs="Nimbus Roman No9 L"/>
          <w:color w:val="auto"/>
          <w:sz w:val="32"/>
          <w:szCs w:val="32"/>
        </w:rPr>
        <w:t>附件11</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Nimbus Roman No9 L" w:hAnsi="Nimbus Roman No9 L" w:eastAsia="方正小标宋简体" w:cs="Nimbus Roman No9 L"/>
          <w:color w:val="auto"/>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方正小标宋简体" w:cs="Nimbus Roman No9 L"/>
          <w:color w:val="auto"/>
          <w:sz w:val="44"/>
          <w:szCs w:val="44"/>
        </w:rPr>
        <w:t>天津市滨海新区中小企业发展“十四五”规划</w:t>
      </w:r>
      <w:r>
        <w:rPr>
          <w:rFonts w:hint="default" w:ascii="Nimbus Roman No9 L" w:hAnsi="Nimbus Roman No9 L" w:eastAsia="方正小标宋简体" w:cs="Nimbus Roman No9 L"/>
          <w:bCs/>
          <w:color w:val="auto"/>
          <w:sz w:val="44"/>
          <w:szCs w:val="44"/>
        </w:rPr>
        <w:br w:type="textWrapp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“十四五”时期，是滨海新区在全面建成高质量小康社会的基础上，</w:t>
      </w:r>
      <w:r>
        <w:rPr>
          <w:rFonts w:hint="default" w:ascii="Nimbus Roman No9 L" w:hAnsi="Nimbus Roman No9 L" w:eastAsia="仿宋_GB2312" w:cs="Nimbus Roman No9 L"/>
          <w:color w:val="auto"/>
          <w:sz w:val="32"/>
          <w:szCs w:val="32"/>
          <w:highlight w:val="none"/>
        </w:rPr>
        <w:t>开启全面建设社会主义现代化先行区新征程的第一个五年。</w:t>
      </w:r>
      <w:r>
        <w:rPr>
          <w:rFonts w:hint="default" w:ascii="Nimbus Roman No9 L" w:hAnsi="Nimbus Roman No9 L" w:eastAsia="仿宋_GB2312" w:cs="Nimbus Roman No9 L"/>
          <w:color w:val="auto"/>
          <w:sz w:val="32"/>
          <w:szCs w:val="32"/>
        </w:rPr>
        <w:t>科学编制并有效实施《天津市滨海新区中小企业发展“十四五”规划》，对于落实“双城”发展布局，推进“二次创业”，实现新时代高质量发展，加快建设生态、智慧、港产城融合的宜居宜业美丽滨海新城具有重要意义。本规划主要依据《中华人民共和国中小企业促进法》《关于促进中小企业健康发展的指导意见》《关于健全支持中小企业发展制度的若干意见》《天津市促进中小企业发展条例》《天津市民营经济发展十四五规划》《天津市滨海新区国民经济和社会发展第十四个五年规划和二〇三五年远景目标纲要》等制定，是指导未来五年新区中小企业发展的行动纲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Nimbus Roman No9 L" w:hAnsi="Nimbus Roman No9 L" w:eastAsia="黑体" w:cs="Nimbus Roman No9 L"/>
          <w:color w:val="auto"/>
          <w:sz w:val="32"/>
          <w:szCs w:val="32"/>
        </w:rPr>
      </w:pPr>
      <w:bookmarkStart w:id="0" w:name="_Toc771515035_WPSOffice_Level1"/>
      <w:r>
        <w:rPr>
          <w:rFonts w:hint="default" w:ascii="Nimbus Roman No9 L" w:hAnsi="Nimbus Roman No9 L" w:eastAsia="黑体" w:cs="Nimbus Roman No9 L"/>
          <w:color w:val="auto"/>
          <w:sz w:val="32"/>
          <w:szCs w:val="32"/>
        </w:rPr>
        <w:t>一、发展基础和面临形势</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1" w:name="_Toc771515035_WPSOffice_Level2"/>
      <w:r>
        <w:rPr>
          <w:rFonts w:hint="default" w:ascii="Nimbus Roman No9 L" w:hAnsi="Nimbus Roman No9 L" w:eastAsia="楷体_GB2312" w:cs="Nimbus Roman No9 L"/>
          <w:color w:val="auto"/>
          <w:sz w:val="32"/>
          <w:szCs w:val="32"/>
        </w:rPr>
        <w:t>（一）发展基础</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十三五”时期，面对错综复杂的国际环境和艰巨繁重的稳增长、促改革、调结构、惠民生、防风险任务，区委、区政府高度重视中小企业发展，逐步完善政策体系，不断加大支持力度，持续优化营商环境，中小企业在规模效益、社会贡献、创新能力、业态层次、结构优化等方面都取得突破性进展，企业活力和创造力得到进一步激发，为大力发展美丽“滨城”，加快建设生态、智慧、港产城融合的宜居宜业美丽滨海新城打下了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1.市场发展潜力显著增强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rPr>
        <w:t>2020年末，全区工商登记市场主体28万余户，其中中小微企业15万余户。全区规模以上中小工业企业1</w:t>
      </w:r>
      <w:r>
        <w:rPr>
          <w:rFonts w:hint="default" w:ascii="Nimbus Roman No9 L" w:hAnsi="Nimbus Roman No9 L" w:eastAsia="仿宋_GB2312" w:cs="Nimbus Roman No9 L"/>
          <w:color w:val="auto"/>
          <w:sz w:val="32"/>
          <w:szCs w:val="32"/>
          <w:highlight w:val="none"/>
          <w:lang w:val="en-US" w:eastAsia="zh-CN"/>
        </w:rPr>
        <w:t>183</w:t>
      </w:r>
      <w:r>
        <w:rPr>
          <w:rFonts w:hint="default" w:ascii="Nimbus Roman No9 L" w:hAnsi="Nimbus Roman No9 L" w:eastAsia="仿宋_GB2312" w:cs="Nimbus Roman No9 L"/>
          <w:color w:val="auto"/>
          <w:sz w:val="32"/>
          <w:szCs w:val="32"/>
          <w:highlight w:val="none"/>
        </w:rPr>
        <w:t>家，占规模以上工业企业数量的</w:t>
      </w:r>
      <w:r>
        <w:rPr>
          <w:rFonts w:hint="default" w:ascii="Nimbus Roman No9 L" w:hAnsi="Nimbus Roman No9 L" w:eastAsia="仿宋_GB2312" w:cs="Nimbus Roman No9 L"/>
          <w:color w:val="auto"/>
          <w:sz w:val="32"/>
          <w:szCs w:val="32"/>
          <w:highlight w:val="none"/>
          <w:lang w:val="en-US" w:eastAsia="zh-CN"/>
        </w:rPr>
        <w:t>95.1</w:t>
      </w:r>
      <w:r>
        <w:rPr>
          <w:rFonts w:hint="default" w:ascii="Nimbus Roman No9 L" w:hAnsi="Nimbus Roman No9 L" w:eastAsia="仿宋_GB2312" w:cs="Nimbus Roman No9 L"/>
          <w:color w:val="auto"/>
          <w:sz w:val="32"/>
          <w:szCs w:val="32"/>
          <w:highlight w:val="none"/>
        </w:rPr>
        <w:t>%；中小企业提供了80%以上的城镇就业岗位，成为就业主渠道</w:t>
      </w:r>
      <w:r>
        <w:rPr>
          <w:rFonts w:hint="default" w:ascii="Nimbus Roman No9 L" w:hAnsi="Nimbus Roman No9 L" w:eastAsia="仿宋_GB2312" w:cs="Nimbus Roman No9 L"/>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2.创新主体实力持续提升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创业领域不断拓宽，新业态、新模式不断涌现，累计推动中小企业实现创新转型2720家。截至2020年底，全区共有国家科技型中小企业3089家，天津市“专精特新”企业295家，国家专精特新</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小巨人</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企业20家，瞪羚企业138家，雏鹰企业1407家，全市占比均达</w:t>
      </w:r>
      <w:r>
        <w:rPr>
          <w:rFonts w:hint="default" w:ascii="Nimbus Roman No9 L" w:hAnsi="Nimbus Roman No9 L" w:eastAsia="仿宋_GB2312" w:cs="Nimbus Roman No9 L"/>
          <w:color w:val="auto"/>
          <w:sz w:val="32"/>
          <w:szCs w:val="32"/>
          <w:lang w:val="en-US" w:eastAsia="zh-CN"/>
        </w:rPr>
        <w:t>4</w:t>
      </w:r>
      <w:r>
        <w:rPr>
          <w:rFonts w:hint="default" w:ascii="Nimbus Roman No9 L" w:hAnsi="Nimbus Roman No9 L" w:eastAsia="仿宋_GB2312" w:cs="Nimbus Roman No9 L"/>
          <w:color w:val="auto"/>
          <w:sz w:val="32"/>
          <w:szCs w:val="32"/>
        </w:rPr>
        <w:t>0%左右。新业态新模式加速聚集。智能科技、生物医药、新能源、新材料产业扎实推进。智能科技产业迅速发展，初步形成了人工智能领域的智能安防、大数据、先进通信、智能网联车、工业机器人、智能终端等8条产业链。中小企业在产业链和创新链中的作用日益凸显，产业集群取得了快速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3.智能应用水平不断提高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中小企业信息化推进工程成效显著，电子商务等信息化应用不断扩展，研发、生产、财务、管理等各类软件及服务应用日益普及，两化融合进一步深化。中小企业信息化服务网络基本形成，每年开展近百余场宣传培训和应用推广等活动，参加线上线下培训的人数达万余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4.创新服务体系日趋完善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切实推动大众创业、万众创新，进一步营造中小企业的良好环境，引导和支持各类创新示范基地和平台按照新发展理念发展，培育一批基础设施完备、综合服务规范、示范带动作用强的小型微型企业创业创新示范基地和公共服务示范平台。截至2020年底，全区共有市级小型微型企业创业创新示范基地11家，其中国家级2家；市级中小企业公共服务示范平台12家，其中</w:t>
      </w:r>
      <w:r>
        <w:rPr>
          <w:rFonts w:hint="default" w:ascii="Nimbus Roman No9 L" w:hAnsi="Nimbus Roman No9 L" w:eastAsia="仿宋_GB2312" w:cs="Nimbus Roman No9 L"/>
          <w:color w:val="auto"/>
          <w:sz w:val="32"/>
          <w:szCs w:val="32"/>
          <w:lang w:eastAsia="zh-CN"/>
        </w:rPr>
        <w:t>市级</w:t>
      </w:r>
      <w:r>
        <w:rPr>
          <w:rFonts w:hint="default" w:ascii="Nimbus Roman No9 L" w:hAnsi="Nimbus Roman No9 L" w:eastAsia="仿宋_GB2312" w:cs="Nimbus Roman No9 L"/>
          <w:color w:val="auto"/>
          <w:sz w:val="32"/>
          <w:szCs w:val="32"/>
          <w:lang w:val="en-US" w:eastAsia="zh-CN"/>
        </w:rPr>
        <w:t>10</w:t>
      </w:r>
      <w:r>
        <w:rPr>
          <w:rFonts w:hint="default" w:ascii="Nimbus Roman No9 L" w:hAnsi="Nimbus Roman No9 L" w:eastAsia="仿宋_GB2312" w:cs="Nimbus Roman No9 L"/>
          <w:color w:val="auto"/>
          <w:sz w:val="32"/>
          <w:szCs w:val="32"/>
          <w:lang w:eastAsia="zh-CN"/>
        </w:rPr>
        <w:t>家，</w:t>
      </w:r>
      <w:r>
        <w:rPr>
          <w:rFonts w:hint="default" w:ascii="Nimbus Roman No9 L" w:hAnsi="Nimbus Roman No9 L" w:eastAsia="仿宋_GB2312" w:cs="Nimbus Roman No9 L"/>
          <w:color w:val="auto"/>
          <w:sz w:val="32"/>
          <w:szCs w:val="32"/>
        </w:rPr>
        <w:t>国家级7家。形成了较为完善的创新服务体系。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5.</w:t>
      </w:r>
      <w:r>
        <w:rPr>
          <w:rFonts w:hint="default" w:ascii="Nimbus Roman No9 L" w:hAnsi="Nimbus Roman No9 L" w:eastAsia="仿宋_GB2312" w:cs="Nimbus Roman No9 L"/>
          <w:b/>
          <w:color w:val="auto"/>
          <w:sz w:val="32"/>
          <w:szCs w:val="32"/>
        </w:rPr>
        <w:t>营商环境水平显著改善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在国家级新区营商环境考核评价中处于前列，“不为不办找理由、只为办好想办法”深入人心。持续深化“放管服”改革，承接市级事权622项，凡开发区能承接的全部下放，实现“滨海事滨海办”。295个审批事项全部下沉街镇，实现“滨海通办、滨海统办”。深化“一制三化”改革，政务服务事项“一网通办”“最多跑一次”成为常态。全国首创信用承诺审批分级管理，率先推行“一企一证”综合改革。法治环境明显改善。打造政企对接平台，倾听企业家心声，关爱企业家生活，帮助企业解决困难，促进政企关系亲密和谐。深入企业、深入项目一线，围绕满足企业需求服务，围绕构建“亲”“清”政商关系服务，围绕助推企业发展，提供实效服务，真心实意为企业解难题、办实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2" w:name="_Toc76348228_WPSOffice_Level2"/>
      <w:r>
        <w:rPr>
          <w:rFonts w:hint="default" w:ascii="Nimbus Roman No9 L" w:hAnsi="Nimbus Roman No9 L" w:eastAsia="楷体_GB2312" w:cs="Nimbus Roman No9 L"/>
          <w:color w:val="auto"/>
          <w:sz w:val="32"/>
          <w:szCs w:val="32"/>
        </w:rPr>
        <w:t>（二）面临形势</w:t>
      </w:r>
      <w:bookmarkEnd w:id="2"/>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十四五”时期，国内外经济发展形势依然错综复杂。从国际看，世界正经历百年未有之大变局。全球政治经济格局加速演变，国际力量对比深刻调整，新冠肺炎疫情影响广泛深远，经济全球化遭遇逆流，世界进入动荡变革期，新一轮科技革命和产业变革加速，科技革命呈现多点突破</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交叉汇聚的态势，世界科技竞争和产业竞争格局面临深刻变化。从国内看，我国正处在转变发展方式、优化经济结构、转换增长动力的关键时期，由高速增长转向高质量发展，以国内大循环为主体、国内国际双循环相互促进的新发展格局将逐步形成,中小企业发展新空间将不断扩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新常态对经济发展带来新挑战，中小企业遇到的困难和问题尤为突出。企业数量、规模与国内发达地区差距较大，街镇经济发展水平滞后，行业领军企业不多，营商环境水平有待提高，产业链不完整，产业聚集度低，科技创新能力不足，能源、环保、土地等要素成本持续维持高位，招工难、用工贵以及融资难融资贵等问题有待缓解，高端人才稀缺，存在高耗低效、产能过剩、产品同质化严重等问题，盈利能力较弱，数字化转型、智能制造等新动能拉动作用不明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十四五”时期，中小企业发展面临挑战的同时，也面临着重大机遇。中小企业发展的市场环境、政策环境和服务环境将更加优化。以互联网为核心的信息技术与各行各业深度融合，日益增长的个性化、多样化需求，不断催生新产品、新业态、新市场和新模式，为中小企业提供广阔的创新发展空间。从我市看，围绕“一基地三区”功能定位，京津冀协同发展有助于中小企业承接首都高端制造业和生产性服务业项目，建设自主创新示范区有助于中小企业集聚高端要素打造“专精特新”升级版。同时，随着我市国企混改的不断推进，有实力的中小企业深度参与国企混改的机遇凸显。</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综合判断，“十四五”时期，新区中小企业发展仍处于大有可为的重要战略机遇期。要准确把握国内外发展形势，利用好国际国内两个市场、两种资源，抓住发展机遇，转变发展方式，提高发展质量，依靠创业创新开辟发展新路径，赢得发展主动权，实现发展新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Nimbus Roman No9 L" w:hAnsi="Nimbus Roman No9 L" w:eastAsia="黑体" w:cs="Nimbus Roman No9 L"/>
          <w:b w:val="0"/>
          <w:bCs w:val="0"/>
          <w:color w:val="auto"/>
          <w:sz w:val="32"/>
          <w:szCs w:val="32"/>
        </w:rPr>
      </w:pPr>
      <w:bookmarkStart w:id="3" w:name="_Toc76348228_WPSOffice_Level1"/>
      <w:r>
        <w:rPr>
          <w:rFonts w:hint="default" w:ascii="Nimbus Roman No9 L" w:hAnsi="Nimbus Roman No9 L" w:eastAsia="黑体" w:cs="Nimbus Roman No9 L"/>
          <w:b w:val="0"/>
          <w:bCs w:val="0"/>
          <w:color w:val="auto"/>
          <w:sz w:val="32"/>
          <w:szCs w:val="32"/>
        </w:rPr>
        <w:t>二、指导思想和发展目标</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4" w:name="_Toc1984966335_WPSOffice_Level2"/>
      <w:r>
        <w:rPr>
          <w:rFonts w:hint="default" w:ascii="Nimbus Roman No9 L" w:hAnsi="Nimbus Roman No9 L" w:eastAsia="楷体_GB2312" w:cs="Nimbus Roman No9 L"/>
          <w:color w:val="auto"/>
          <w:sz w:val="32"/>
          <w:szCs w:val="32"/>
        </w:rPr>
        <w:t>（一）指导思想</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以习近平新时代中国特色社会主义思想为指导，全面贯彻党的十九大和十九届二中、三中、四中、五中全会精神，深入落实习近平总书记对天津工作提出的“三个着力”重要要求和一系列重要指示批示精神，坚持“两个毫不动摇”，坚持稳中求进工作总基调，牢固树立并切实贯彻创新、协调、绿色、开放、共享的发展理念，以供给侧机构性改革为主线，以提高发展质量和效益为中心。以“滨城”建设为统领，抢抓京津冀协同发展重大机遇，围绕“一基地三区”功能定位，坚持“创新立区”“制造强区”发展战略，构建“1+3+4”产业体系，培育新增量、新动能，提升企业市场竞争力，打造全国一流创新服务环境，为建设生态、智慧、港产城融合的宜居宜业美丽滨海新城，实现高质量发展提供产业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lang w:eastAsia="zh-CN"/>
        </w:rPr>
      </w:pPr>
      <w:r>
        <w:rPr>
          <w:rFonts w:hint="default" w:ascii="Nimbus Roman No9 L" w:hAnsi="Nimbus Roman No9 L" w:eastAsia="楷体_GB2312" w:cs="Nimbus Roman No9 L"/>
          <w:color w:val="auto"/>
          <w:sz w:val="32"/>
          <w:szCs w:val="32"/>
          <w:lang w:eastAsia="zh-CN"/>
        </w:rPr>
        <w:t>（二）基本原则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——坚持创新驱动，推动转型。以众智促创新，鼓励加快中小企业从物质要素投入为主向创新驱动为主转变，推动中小企业新旧动能转换和转型升级，增强市场竞争力。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——坚持优化结构，提质增效。促进中小企业改变粗放型发展模式和管理方式，补齐生态环境保护不足和区域发展不协调的短板，走绿色、协调和可持续发展道路，不断优化供给结构，提高发展质量和效益。</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坚持创业发展，促进就业。把推动创业兴业作为打造经济增长新引擎、培育壮大市场主体、促进就业的一项重要举措。大力扶持小微企业，扩大就业规模。以众创促创业，弘扬创业精神，培育创业主体，完善创业服务，提高创业兴业能力和吸纳就业能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坚持推进改革，营造环境。充分发挥市场在资源配置中的决定性作用，破除各类体制机制障碍，不断改进服务方式，提高政府管理与公共服务能力，降低企业成本、减轻企业负担，营造更加有利于中小企业的发展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lang w:eastAsia="zh-CN"/>
        </w:rPr>
      </w:pPr>
      <w:bookmarkStart w:id="5" w:name="_Toc1662947068_WPSOffice_Level2"/>
      <w:r>
        <w:rPr>
          <w:rFonts w:hint="default" w:ascii="Nimbus Roman No9 L" w:hAnsi="Nimbus Roman No9 L" w:eastAsia="楷体_GB2312" w:cs="Nimbus Roman No9 L"/>
          <w:color w:val="auto"/>
          <w:sz w:val="32"/>
          <w:szCs w:val="32"/>
          <w:lang w:eastAsia="zh-CN"/>
        </w:rPr>
        <w:t>（三）发展目标</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到2025年，中小企业保持平稳较快发展，创业创新活力进一步增强，产业结构布局明显优化，整体发展质量全面提升，发展环境持续改善，经济社会贡献更加突出，成为产业转型升级的主力军、社会和谐发展的稳定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bookmarkStart w:id="6" w:name="_Toc648831115_WPSOffice_Level3"/>
      <w:r>
        <w:rPr>
          <w:rFonts w:hint="default" w:ascii="Nimbus Roman No9 L" w:hAnsi="Nimbus Roman No9 L" w:eastAsia="仿宋_GB2312" w:cs="Nimbus Roman No9 L"/>
          <w:b/>
          <w:color w:val="auto"/>
          <w:sz w:val="32"/>
          <w:szCs w:val="32"/>
          <w:lang w:val="en-US" w:eastAsia="zh-CN"/>
        </w:rPr>
        <w:t>1.</w:t>
      </w:r>
      <w:r>
        <w:rPr>
          <w:rFonts w:hint="default" w:ascii="Nimbus Roman No9 L" w:hAnsi="Nimbus Roman No9 L" w:eastAsia="仿宋_GB2312" w:cs="Nimbus Roman No9 L"/>
          <w:b/>
          <w:color w:val="auto"/>
          <w:sz w:val="32"/>
          <w:szCs w:val="32"/>
        </w:rPr>
        <w:t>总量规模目标</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中小企业市场主体达20万户以上，年均增长6%，其中民营企业达18万户以上。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bookmarkStart w:id="7" w:name="_Toc1819308278_WPSOffice_Level3"/>
      <w:r>
        <w:rPr>
          <w:rFonts w:hint="default" w:ascii="Nimbus Roman No9 L" w:hAnsi="Nimbus Roman No9 L" w:eastAsia="仿宋_GB2312" w:cs="Nimbus Roman No9 L"/>
          <w:b/>
          <w:color w:val="auto"/>
          <w:sz w:val="32"/>
          <w:szCs w:val="32"/>
          <w:lang w:val="en-US" w:eastAsia="zh-CN"/>
        </w:rPr>
        <w:t>2.创业创新活力目标</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力争到2025年，培育国家和市级小型微型企业创业创新示范基地15家，入驻企业达1500家以上；国家和市级中小企业公共服务示范平台15家，服务企业达2500家以上；国家和天津市“专精特新”认定企业400家。争取国家级高新技术企业达到5800家，雏鹰企业达到2100家，瞪羚企业达到210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Nimbus Roman No9 L" w:hAnsi="Nimbus Roman No9 L" w:eastAsia="黑体" w:cs="Nimbus Roman No9 L"/>
          <w:b w:val="0"/>
          <w:bCs w:val="0"/>
          <w:color w:val="auto"/>
          <w:sz w:val="32"/>
          <w:szCs w:val="32"/>
        </w:rPr>
      </w:pPr>
      <w:bookmarkStart w:id="8" w:name="bookmark3"/>
      <w:bookmarkStart w:id="9" w:name="_Toc1984966335_WPSOffice_Level1"/>
      <w:r>
        <w:rPr>
          <w:rFonts w:hint="default" w:ascii="Nimbus Roman No9 L" w:hAnsi="Nimbus Roman No9 L" w:eastAsia="黑体" w:cs="Nimbus Roman No9 L"/>
          <w:b w:val="0"/>
          <w:bCs w:val="0"/>
          <w:color w:val="auto"/>
          <w:sz w:val="32"/>
          <w:szCs w:val="32"/>
        </w:rPr>
        <w:t>三、</w:t>
      </w:r>
      <w:bookmarkEnd w:id="8"/>
      <w:r>
        <w:rPr>
          <w:rFonts w:hint="default" w:ascii="Nimbus Roman No9 L" w:hAnsi="Nimbus Roman No9 L" w:eastAsia="黑体" w:cs="Nimbus Roman No9 L"/>
          <w:b w:val="0"/>
          <w:bCs w:val="0"/>
          <w:color w:val="auto"/>
          <w:sz w:val="32"/>
          <w:szCs w:val="32"/>
        </w:rPr>
        <w:t>主要任务</w:t>
      </w:r>
      <w:bookmarkEnd w:id="9"/>
    </w:p>
    <w:p>
      <w:pPr>
        <w:pStyle w:val="2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全面融入“1+3+4”和海洋经济为特色的产业体系，围绕高质量发展根本要求，面向中小企业创新转型升级需求，坚持内生发展、融合发展、统筹发展、开放发展，以促进生产型、贸易型、服务型、创新型、数字型等“五型产业”中小企业发展为导向，部署九大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10" w:name="_Toc747150804_WPSOffice_Level2"/>
      <w:r>
        <w:rPr>
          <w:rFonts w:hint="default" w:ascii="Nimbus Roman No9 L" w:hAnsi="Nimbus Roman No9 L" w:eastAsia="楷体_GB2312" w:cs="Nimbus Roman No9 L"/>
          <w:color w:val="auto"/>
          <w:sz w:val="32"/>
          <w:szCs w:val="32"/>
        </w:rPr>
        <w:t>（一）数字化智能化赋能企业发展</w:t>
      </w:r>
      <w:bookmarkEnd w:id="10"/>
    </w:p>
    <w:p>
      <w:pPr>
        <w:pStyle w:val="2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坚持有限聚焦、用于探索，鼓励原创性、交叉性、颠覆性创新，深入落实“数字中国”战略，全面推进天津（滨海新区）人工智能创新应用先导区建设。</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1.</w:t>
      </w:r>
      <w:r>
        <w:rPr>
          <w:rFonts w:hint="default" w:ascii="Nimbus Roman No9 L" w:hAnsi="Nimbus Roman No9 L" w:eastAsia="仿宋_GB2312" w:cs="Nimbus Roman No9 L"/>
          <w:b/>
          <w:color w:val="auto"/>
          <w:sz w:val="32"/>
          <w:szCs w:val="32"/>
        </w:rPr>
        <w:t>加速建设新型基础设施</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加快5G基础设施建设，推进5G基站建设和商用试点布局，扩大开展智能网联汽车道路测试，构建形成优良的5G产业生态。进一步部署工业互联网，引导大企业业务系统云化改造，推动中小企业业务云端迁移。完善数据中心设施建设，推动大型数据中心有序建设使用、小微型数据中心升级改造，大力发展新型智能化计算设施。加强智能感知设施建设，部署多功能一体杆、智能路网、给排水、能源、环保、防灾与安全生产等智能感知设施，推进智慧城市建设。到2025年，率先建成全国一流5G城区。</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2.助推中小企业上云用云</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引导数字化服务商面向中小企业推出云制造平台和云服务平台，支持中小企业设备上云和业务系统向云端迁移，帮助中小企业从云上获取资源和应用服务，满足中小企业研发设计、生产制造、经营管理、市场营销等业务系统云化需求。加快“云+智能”融合，帮助中小企业从云上获取更多的生产性服务。鼓励数字化服务商向中小企业和创业团队开放平台接口、数据、计算能力等数字化资源，提升中小企业二次开发能力。</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3.夯实数字化平台功能</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搭建技术水平高、集成能力强、行业应用广的数字化平台，应用物联网、大数据、边缘计算、5G、人工智能、增强现实/虚拟现实等新兴技术，集成工程设计、电子设计、建模、仿真、产品生命周期管理、制造运营管理、自动化控制等通用操作系统、软件和工具包，灵活部署通用性强、安全可靠、易二次开发的工业APP，促进中小企业生产要素数字化、生产过程柔性化及系统服务集成化。打造工业APP测试评估平台和可信区块链创新协同平台，为中小服务商和中小企业提供测试认证服务。</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4.加强数据资源共享和开发利用</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支持基于产业集群和供应链上下游企业打通不同系统间的数据联通渠道，实现数据信息畅通、制造资源共享和生产过程协同。支持发展新型数据产品和服务，鼓励探索专业化的数据采集、数据清洗、数据交换、数据标注等新商业模式，发展弹性分布式计算、数据存储等基础数据处理云服务和在线机器学习、自然语言处理、图像理解、语音识别、知识图谱、数据可视化、数字孪生等数据分析服务，帮助中小企业提升数据开发和应用水平。</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5.精准赋能中小企业创新</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持续深入开展人工智能精准赋能中小企业活动，加快模块化、低成本、易维护的人工智能技术产品与系统解决方案在中小企业普及推广、深度应用。梳理重点行业领域中小企业的人工智能应用需求清单，编制相关供给目录、需求目录和优秀对接案例集。开展线上线下宣传培训，组织应用标杆案例展览，形成中小企业利用人工智能技术进行改造升级的良好社会氛围。</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default" w:ascii="Nimbus Roman No9 L" w:hAnsi="Nimbus Roman No9 L" w:eastAsia="仿宋_GB2312" w:cs="Nimbus Roman No9 L"/>
          <w:b w:val="0"/>
          <w:bCs/>
          <w:color w:val="auto"/>
          <w:sz w:val="32"/>
          <w:szCs w:val="32"/>
        </w:rPr>
      </w:pPr>
      <w:r>
        <w:rPr>
          <w:rFonts w:hint="default" w:ascii="Nimbus Roman No9 L" w:hAnsi="Nimbus Roman No9 L" w:eastAsia="仿宋_GB2312" w:cs="Nimbus Roman No9 L"/>
          <w:b w:val="0"/>
          <w:bCs/>
          <w:color w:val="auto"/>
          <w:sz w:val="32"/>
          <w:szCs w:val="32"/>
        </w:rPr>
        <w:t>专栏1：人工智能行业赋能促进工程</w:t>
      </w:r>
    </w:p>
    <w:tbl>
      <w:tblPr>
        <w:tblStyle w:val="13"/>
        <w:tblpPr w:leftFromText="180" w:rightFromText="180" w:vertAnchor="text" w:horzAnchor="page" w:tblpX="1984"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eepNext w:val="0"/>
              <w:keepLines w:val="0"/>
              <w:pageBreakBefore w:val="0"/>
              <w:widowControl w:val="0"/>
              <w:kinsoku/>
              <w:wordWrap/>
              <w:overflowPunct/>
              <w:topLinePunct w:val="0"/>
              <w:autoSpaceDE/>
              <w:autoSpaceDN/>
              <w:bidi w:val="0"/>
              <w:adjustRightInd/>
              <w:snapToGrid/>
              <w:spacing w:line="580" w:lineRule="exact"/>
              <w:ind w:left="0" w:leftChars="0" w:firstLine="481" w:firstLineChars="200"/>
              <w:textAlignment w:val="auto"/>
              <w:rPr>
                <w:rFonts w:hint="default" w:ascii="Nimbus Roman No9 L" w:hAnsi="Nimbus Roman No9 L" w:eastAsia="仿宋_GB2312" w:cs="Nimbus Roman No9 L"/>
                <w:color w:val="auto"/>
                <w:kern w:val="0"/>
                <w:sz w:val="28"/>
                <w:szCs w:val="24"/>
              </w:rPr>
            </w:pPr>
            <w:r>
              <w:rPr>
                <w:rFonts w:hint="default" w:ascii="Nimbus Roman No9 L" w:hAnsi="Nimbus Roman No9 L" w:eastAsia="仿宋_GB2312" w:cs="Nimbus Roman No9 L"/>
                <w:b/>
                <w:color w:val="auto"/>
                <w:kern w:val="0"/>
                <w:sz w:val="24"/>
                <w:szCs w:val="24"/>
              </w:rPr>
              <w:t>打造人工智能开放平台。</w:t>
            </w:r>
            <w:r>
              <w:rPr>
                <w:rFonts w:hint="default" w:ascii="Nimbus Roman No9 L" w:hAnsi="Nimbus Roman No9 L" w:eastAsia="仿宋_GB2312" w:cs="Nimbus Roman No9 L"/>
                <w:color w:val="auto"/>
                <w:kern w:val="0"/>
                <w:sz w:val="24"/>
                <w:szCs w:val="24"/>
              </w:rPr>
              <w:t>支持龙头骨干企业聚焦数字化基础好、带动效应强的重点行业，打造一批通用化和行业性人工智能开放平台，开放智能技术能力，提供智能云服务，加速人工智能工程化落地应用。</w:t>
            </w:r>
            <w:r>
              <w:rPr>
                <w:rFonts w:hint="default" w:ascii="Nimbus Roman No9 L" w:hAnsi="Nimbus Roman No9 L" w:eastAsia="仿宋_GB2312" w:cs="Nimbus Roman No9 L"/>
                <w:b/>
                <w:color w:val="auto"/>
                <w:kern w:val="0"/>
                <w:sz w:val="24"/>
                <w:szCs w:val="24"/>
              </w:rPr>
              <w:t>建设人工智能融合赋能中心。</w:t>
            </w:r>
            <w:r>
              <w:rPr>
                <w:rFonts w:hint="default" w:ascii="Nimbus Roman No9 L" w:hAnsi="Nimbus Roman No9 L" w:eastAsia="仿宋_GB2312" w:cs="Nimbus Roman No9 L"/>
                <w:color w:val="auto"/>
                <w:kern w:val="0"/>
                <w:sz w:val="24"/>
                <w:szCs w:val="24"/>
              </w:rPr>
              <w:t>鼓励重点地区结合产业基础和特色优势，依托龙头企业、科研机构等建设一批人工智能融合赋能中心，加快应用场景释放、算法推理训练场景创新，加速地方典型应用落地推广。</w:t>
            </w:r>
            <w:r>
              <w:rPr>
                <w:rFonts w:hint="default" w:ascii="Nimbus Roman No9 L" w:hAnsi="Nimbus Roman No9 L" w:eastAsia="仿宋_GB2312" w:cs="Nimbus Roman No9 L"/>
                <w:b/>
                <w:color w:val="auto"/>
                <w:kern w:val="0"/>
                <w:sz w:val="24"/>
                <w:szCs w:val="24"/>
              </w:rPr>
              <w:t>培育应用解决方案供应商。</w:t>
            </w:r>
            <w:r>
              <w:rPr>
                <w:rFonts w:hint="default" w:ascii="Nimbus Roman No9 L" w:hAnsi="Nimbus Roman No9 L" w:eastAsia="仿宋_GB2312" w:cs="Nimbus Roman No9 L"/>
                <w:color w:val="auto"/>
                <w:kern w:val="0"/>
                <w:sz w:val="24"/>
                <w:szCs w:val="24"/>
              </w:rPr>
              <w:t>培育一批具有加强示范、带动和引领作用的通用供应商，以及一批具备细分场景技术优势和行业知识经验的专业供应商，提供专业人工智能系统集成服务。</w:t>
            </w:r>
            <w:r>
              <w:rPr>
                <w:rFonts w:hint="default" w:ascii="Nimbus Roman No9 L" w:hAnsi="Nimbus Roman No9 L" w:eastAsia="仿宋_GB2312" w:cs="Nimbus Roman No9 L"/>
                <w:b/>
                <w:color w:val="auto"/>
                <w:kern w:val="0"/>
                <w:sz w:val="24"/>
                <w:szCs w:val="24"/>
              </w:rPr>
              <w:t>制定人工智能行业融合路线图。</w:t>
            </w:r>
            <w:r>
              <w:rPr>
                <w:rFonts w:hint="default" w:ascii="Nimbus Roman No9 L" w:hAnsi="Nimbus Roman No9 L" w:eastAsia="仿宋_GB2312" w:cs="Nimbus Roman No9 L"/>
                <w:color w:val="auto"/>
                <w:kern w:val="0"/>
                <w:sz w:val="24"/>
                <w:szCs w:val="24"/>
              </w:rPr>
              <w:t>鼓励行业组织、龙头企业和解决方案提供商，针对重点细分行业需求和痛点，分行业分地区制定行业智能化路线图和参考手册，加速人工智能技术产品与解决方案应用推广。</w:t>
            </w:r>
            <w:r>
              <w:rPr>
                <w:rFonts w:hint="default" w:ascii="Nimbus Roman No9 L" w:hAnsi="Nimbus Roman No9 L" w:eastAsia="仿宋_GB2312" w:cs="Nimbus Roman No9 L"/>
                <w:b/>
                <w:color w:val="auto"/>
                <w:kern w:val="0"/>
                <w:sz w:val="24"/>
                <w:szCs w:val="24"/>
              </w:rPr>
              <w:t>打造行业标杆应用示范。</w:t>
            </w:r>
            <w:r>
              <w:rPr>
                <w:rFonts w:hint="default" w:ascii="Nimbus Roman No9 L" w:hAnsi="Nimbus Roman No9 L" w:eastAsia="仿宋_GB2312" w:cs="Nimbus Roman No9 L"/>
                <w:color w:val="auto"/>
                <w:kern w:val="0"/>
                <w:sz w:val="24"/>
                <w:szCs w:val="24"/>
              </w:rPr>
              <w:t>建设典型行业应用场景库，发布应用场景需求清单，充分调动龙头企业积极性，面向制造、交通、物流、医疗、农业、城市管理等重点行业领域，打造遴选一批人工智能深度应用标杆案例。支持打造和认定一批体系化应用人工智能技术的智能制造单元、智能生产线、智能车间、智能工厂，加大成熟经验或模式的梳理总结与复制推广力度。</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11" w:name="_Toc187000425_WPSOffice_Level2"/>
      <w:r>
        <w:rPr>
          <w:rFonts w:hint="default" w:ascii="Nimbus Roman No9 L" w:hAnsi="Nimbus Roman No9 L" w:eastAsia="楷体_GB2312" w:cs="Nimbus Roman No9 L"/>
          <w:color w:val="auto"/>
          <w:sz w:val="32"/>
          <w:szCs w:val="32"/>
        </w:rPr>
        <w:t>（二）引导中小企业提质增效</w:t>
      </w:r>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围绕“3060”碳达峰、碳中和总体目标，加速中小企业转型升级，推动先进制造业和现代服务业融合创新，提升资源能源利用水平，构建高效清洁绿色体系，培育一批跨界融合新业态，增强制造型中小企业竞争新优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1.</w:t>
      </w:r>
      <w:r>
        <w:rPr>
          <w:rFonts w:hint="default" w:ascii="Nimbus Roman No9 L" w:hAnsi="Nimbus Roman No9 L" w:eastAsia="仿宋_GB2312" w:cs="Nimbus Roman No9 L"/>
          <w:b/>
          <w:color w:val="auto"/>
          <w:sz w:val="32"/>
          <w:szCs w:val="32"/>
        </w:rPr>
        <w:t>打造两业融合发展核心区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推动两业融合发展，培育融合发展新业态新模式，打造两业融合发展核心区，增强制造业核心竞争力。鼓励服务企业向制造环节延伸，发展工业设计服务、定制化服务、供应链管理、检验检测认证服务、制造业服务外包等新模式。鼓励制造企业向增值服务环节延伸，引导研发与制造业企业嵌入式合作，围绕产品开展需求分析、创新试验服务。加快发展共享制造，推进共享制造平台建设，建设共享工厂，培育发展众包、众创、云共享等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2.完善科技创新体系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提高重大创新平台载体创新能力，加快国内和国际高端创新要素的集聚。布局国家科技战略力量，完成国家合成生物技术创新中心等一批创新平台建设，取得一系列重大核心技术突破。围绕重点领域，加强国家高新技术企业培育，构建遴选、入库、培育、认定“四个一批”工作机制，引导人才、服务、政策、资本向高新技术企业聚集，持续壮大科技型中小企业底盘。完善科技成果转化政策体系，建立技术创新的市场导向机制，破除科技与经济深度融合的体制机制障碍，推进重点产业领域的科技成果转移转化，形成科技、产业融通发展新局面。推动大学科研优势转化为中小企业发展新动能，充分发挥大学科技园成果转化、创业孵化、集聚资源、培育人才和协同创新等核心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3.高质量构建绿色制造体系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围绕资源能源利用效率水平提升，高质量构建绿色制造体系，增强制造业竞争新优势，助力实现碳达峰、碳中和。高质量推进绿色制造示范单位“五个一批”建设，开发一批绿色产品，建设一批绿色工厂，打造一批绿色供应链，培育一批绿色数据中心。强化绿色监管和服务，建立实施“有进有出”的绿色制造示范单位动态管理机制，提高中小企业绿色技术服务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4.提升资源综合利用率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以制造业绿色改造升级为重点，加强资源综合利用，减少能耗物耗水平。稳步提升工业能效，依法依规淘汰落后产能，推广应用国家工业节能技术装备及“能效之星”产品，发展能耗低、污染少的先进制造业和战略性新兴产业。加快提高工业水效，加快推广先进成熟的节水工艺、技术和装备，以石油化工、传统装备制造等行业为重点，积极开展示范创建。深入推进工业资源综合利用，建立多网融合一般固体废物回收利用体系。以电力、石油化工等行业为重点，推进余热余压及废弃综合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12" w:name="_Toc737612549_WPSOffice_Level2"/>
      <w:r>
        <w:rPr>
          <w:rFonts w:hint="default" w:ascii="Nimbus Roman No9 L" w:hAnsi="Nimbus Roman No9 L" w:eastAsia="楷体_GB2312" w:cs="Nimbus Roman No9 L"/>
          <w:color w:val="auto"/>
          <w:sz w:val="32"/>
          <w:szCs w:val="32"/>
        </w:rPr>
        <w:t>（三）构建企业梯次培育格局</w:t>
      </w:r>
      <w:bookmarkEnd w:id="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坚持“引育并重、分类培养、精准支持”，以推动中小企业高质量发展为核心，培育和集聚一批单项冠军、专精特新、瞪羚企业和独角兽企业，增强中小企业发展活力，打造层次多样、共生发展的企业群落。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eastAsia="zh-CN"/>
        </w:rPr>
      </w:pPr>
      <w:r>
        <w:rPr>
          <w:rFonts w:hint="default" w:ascii="Nimbus Roman No9 L" w:hAnsi="Nimbus Roman No9 L" w:eastAsia="仿宋_GB2312" w:cs="Nimbus Roman No9 L"/>
          <w:b/>
          <w:color w:val="auto"/>
          <w:sz w:val="32"/>
          <w:szCs w:val="32"/>
          <w:lang w:val="en-US" w:eastAsia="zh-CN"/>
        </w:rPr>
        <w:t>1.</w:t>
      </w:r>
      <w:r>
        <w:rPr>
          <w:rFonts w:hint="default" w:ascii="Nimbus Roman No9 L" w:hAnsi="Nimbus Roman No9 L" w:eastAsia="仿宋_GB2312" w:cs="Nimbus Roman No9 L"/>
          <w:b/>
          <w:color w:val="auto"/>
          <w:sz w:val="32"/>
          <w:szCs w:val="32"/>
        </w:rPr>
        <w:t>重点发展“专精特新”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val="0"/>
          <w:bCs/>
          <w:color w:val="auto"/>
          <w:sz w:val="32"/>
          <w:szCs w:val="32"/>
        </w:rPr>
      </w:pPr>
      <w:r>
        <w:rPr>
          <w:rFonts w:hint="default" w:ascii="Nimbus Roman No9 L" w:hAnsi="Nimbus Roman No9 L" w:eastAsia="仿宋_GB2312" w:cs="Nimbus Roman No9 L"/>
          <w:b w:val="0"/>
          <w:bCs/>
          <w:color w:val="auto"/>
          <w:sz w:val="32"/>
          <w:szCs w:val="32"/>
        </w:rPr>
        <w:t>围绕提升产业基础能力、产业链现代化水平，坚持培优企业与做强产业相结合，坚持创新驱动、市场带动、上下联动、持续推动，以优化环境和精准服务为保障，分层培育“专精特新”中小企业群体，分类促进企业做专、做精、做大、做强。建设“专精特新”种子企业培育库，引导主营业务突出、成长性好、发展潜力大的中小企业入库。在市级培育认定的“专精特新”中小企业及产品的基础上，继续加大专精特新“小巨人”企业培育力度，促进其技术创新能力、市场竞争力和品牌影响力得到明显提升，在产业链供应链上的地位作用得到明显提升。将入选工信部专精特新</w:t>
      </w:r>
      <w:r>
        <w:rPr>
          <w:rFonts w:hint="default" w:ascii="Nimbus Roman No9 L" w:hAnsi="Nimbus Roman No9 L" w:eastAsia="仿宋_GB2312" w:cs="Nimbus Roman No9 L"/>
          <w:b w:val="0"/>
          <w:bCs/>
          <w:color w:val="auto"/>
          <w:sz w:val="32"/>
          <w:szCs w:val="32"/>
          <w:lang w:eastAsia="zh-CN"/>
        </w:rPr>
        <w:t>“</w:t>
      </w:r>
      <w:r>
        <w:rPr>
          <w:rFonts w:hint="default" w:ascii="Nimbus Roman No9 L" w:hAnsi="Nimbus Roman No9 L" w:eastAsia="仿宋_GB2312" w:cs="Nimbus Roman No9 L"/>
          <w:b w:val="0"/>
          <w:bCs/>
          <w:color w:val="auto"/>
          <w:sz w:val="32"/>
          <w:szCs w:val="32"/>
        </w:rPr>
        <w:t>小巨人</w:t>
      </w:r>
      <w:r>
        <w:rPr>
          <w:rFonts w:hint="default" w:ascii="Nimbus Roman No9 L" w:hAnsi="Nimbus Roman No9 L" w:eastAsia="仿宋_GB2312" w:cs="Nimbus Roman No9 L"/>
          <w:b w:val="0"/>
          <w:bCs/>
          <w:color w:val="auto"/>
          <w:sz w:val="32"/>
          <w:szCs w:val="32"/>
          <w:lang w:eastAsia="zh-CN"/>
        </w:rPr>
        <w:t>”</w:t>
      </w:r>
      <w:r>
        <w:rPr>
          <w:rFonts w:hint="default" w:ascii="Nimbus Roman No9 L" w:hAnsi="Nimbus Roman No9 L" w:eastAsia="仿宋_GB2312" w:cs="Nimbus Roman No9 L"/>
          <w:b w:val="0"/>
          <w:bCs/>
          <w:color w:val="auto"/>
          <w:sz w:val="32"/>
          <w:szCs w:val="32"/>
        </w:rPr>
        <w:t>企业列为财政项目优先支持对象，推动企业专业化、精细化、特色化、新颖化发展。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2.引培高成长型企业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val="0"/>
          <w:bCs/>
          <w:color w:val="auto"/>
          <w:sz w:val="32"/>
          <w:szCs w:val="32"/>
          <w:lang w:val="en-US" w:eastAsia="zh-CN"/>
        </w:rPr>
      </w:pPr>
      <w:r>
        <w:rPr>
          <w:rFonts w:hint="default" w:ascii="Nimbus Roman No9 L" w:hAnsi="Nimbus Roman No9 L" w:eastAsia="仿宋_GB2312" w:cs="Nimbus Roman No9 L"/>
          <w:b w:val="0"/>
          <w:bCs/>
          <w:color w:val="auto"/>
          <w:sz w:val="32"/>
          <w:szCs w:val="32"/>
          <w:lang w:val="en-US" w:eastAsia="zh-CN"/>
        </w:rPr>
        <w:t>强化中小企业创新主体地位，全面增强企业自主研发能力，引导创新要素向企业集聚，支持中小企业组织创新联合体，承担重大科研项目，推动企业成为技术创新决策、研发投入、科研组织和成果转化的主体。建立“雏鹰-瞪羚-领军”梯度培育机制，培育一批雏鹰企业，鼓励大学生、科研人员和龙头企业等有资源的人创新创业。支持瞪羚企业发展壮大，在应用场景、数据支持、评价奖励等方面给予支持，为瞪羚企业提供人才、技术、资金等全面资源链接服务，实现瞪羚企业高质量发展。鼓励企业加大研发投入、通过鼓励社会化融资、认定研发后补助等方式，分类精准施策，助推企业梯次壮大，培育一批细分领域“单项冠军”和“隐形冠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val="en-US" w:eastAsia="zh-CN"/>
        </w:rPr>
      </w:pPr>
      <w:r>
        <w:rPr>
          <w:rFonts w:hint="default" w:ascii="Nimbus Roman No9 L" w:hAnsi="Nimbus Roman No9 L" w:eastAsia="仿宋_GB2312" w:cs="Nimbus Roman No9 L"/>
          <w:b/>
          <w:color w:val="auto"/>
          <w:sz w:val="32"/>
          <w:szCs w:val="32"/>
          <w:lang w:val="en-US" w:eastAsia="zh-CN"/>
        </w:rPr>
        <w:t>3.深化混合所有制改革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val="0"/>
          <w:bCs/>
          <w:color w:val="auto"/>
          <w:sz w:val="32"/>
          <w:szCs w:val="32"/>
        </w:rPr>
      </w:pPr>
      <w:r>
        <w:rPr>
          <w:rFonts w:hint="default" w:ascii="Nimbus Roman No9 L" w:hAnsi="Nimbus Roman No9 L" w:eastAsia="仿宋_GB2312" w:cs="Nimbus Roman No9 L"/>
          <w:b w:val="0"/>
          <w:bCs/>
          <w:color w:val="auto"/>
          <w:sz w:val="32"/>
          <w:szCs w:val="32"/>
        </w:rPr>
        <w:t>积极参与国有企业混合所有制改革，坚持以“混”促“改”，积极稳妥分层分类深化重点领域混合所有制改革。鼓励有条件的中小企业按照完善治理、强化激励、突出主业、提高效率的要求，通过出资入股、收购股权、认购可转债、股权置换等形式深度参与国有企业改制重组、合资经营和混合所有制改革，促进行业上下游和企业内部生产要素有效整合，加快提升新区中小企业规模和市场竞争力。突出目标导向、问题导向、政策导向，全面推进工业企业“小升规、规改股、股上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13" w:name="_Toc658488777_WPSOffice_Level2"/>
      <w:r>
        <w:rPr>
          <w:rFonts w:hint="default" w:ascii="Nimbus Roman No9 L" w:hAnsi="Nimbus Roman No9 L" w:eastAsia="楷体_GB2312" w:cs="Nimbus Roman No9 L"/>
          <w:color w:val="auto"/>
          <w:sz w:val="32"/>
          <w:szCs w:val="32"/>
        </w:rPr>
        <w:t>（四）提升产业集群竞争力</w:t>
      </w:r>
      <w:bookmarkEnd w:id="13"/>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1.强化串链补链强链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围绕滨海新区现代工业体系，优选重点产业链，实施串补强链工程，提升产业链供应链现代化水平。做优“强链”，做强新一代信息技术、生物医药、动力电池、汽车和新能源汽车等具有较高竞争力的产业链，打造一批引领高质量发展的特色产业链。做大“新链”，发展壮大智能网联汽车、氢能等新兴产业链，构建一批引领现代化发展的新兴产业链。延长“短链”，补齐石油化工、航空航天等存在短板和薄弱环节的产业链条，形成一批引领竞争力提升的优势产业链。培育形成一批链主企业，整合产业链上下游资源，进一步串联关键环节，补齐薄弱环节，强化优势环节，提升产业链整体竞争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2.</w:t>
      </w:r>
      <w:r>
        <w:rPr>
          <w:rFonts w:hint="default" w:ascii="Nimbus Roman No9 L" w:hAnsi="Nimbus Roman No9 L" w:eastAsia="仿宋_GB2312" w:cs="Nimbus Roman No9 L"/>
          <w:b/>
          <w:color w:val="auto"/>
          <w:sz w:val="32"/>
          <w:szCs w:val="32"/>
        </w:rPr>
        <w:t>夯实产业基础能力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聚焦产业链供应链短板，以实现自主可控为目标，实施新五基强化工程，着力提升产品和技术竞争力。推动核心基础零部件和元器件自主化，实施重点产品一条龙计划、重点产业一揽子计划，实现产业化。加快关键基础材料核心技术攻关，着力建设高质量发展承载体，增强关键基础材料自主保障能力。加强先进基础工艺创新能力，组建产学研协同创新联盟，加强研发数字化、智能化发展。加快工业基础软件研发创新，突破高端工业软件核心技术，开发工业平台软件和应用软件，推动产业化应用。推进产业技术基础公共服务平台建设，为技术创新和产业发展提供支撑和服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3.</w:t>
      </w:r>
      <w:r>
        <w:rPr>
          <w:rFonts w:hint="default" w:ascii="Nimbus Roman No9 L" w:hAnsi="Nimbus Roman No9 L" w:eastAsia="仿宋_GB2312" w:cs="Nimbus Roman No9 L"/>
          <w:b/>
          <w:color w:val="auto"/>
          <w:sz w:val="32"/>
          <w:szCs w:val="32"/>
        </w:rPr>
        <w:t>培育优势产业集群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对标世界制造业先进水平，坚持扩大优势，探索构建“一集群一机构”产业服务体系，着力培育全国领先的先进制造业集群。积极参加国家先进制造业集群竞赛，在各开发区重点布局一批细分领域新兴产业集群，谋划打造1-2个先进制造业产业集群。举全区之力打造世界级的产业集聚区，打造新一代信息技术、生物医药、装备制造、新能源新材料、航空航天五大集群。发展区域特色名片产业，充分发挥各开发区产业优势，鼓励壮大集群规模，培育经开区汽车特色产业、经开区（南港工业区）石油化工特色产业、保税区海洋特色产业、高新区信息安全与服务特色产业四大特色产业集群。</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4.</w:t>
      </w:r>
      <w:r>
        <w:rPr>
          <w:rFonts w:hint="default" w:ascii="Nimbus Roman No9 L" w:hAnsi="Nimbus Roman No9 L" w:eastAsia="仿宋_GB2312" w:cs="Nimbus Roman No9 L"/>
          <w:b/>
          <w:color w:val="auto"/>
          <w:sz w:val="32"/>
          <w:szCs w:val="32"/>
        </w:rPr>
        <w:t>提升协同创新能力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鼓励和支持集群企业与高校、科研机构建立产学研用协同创新网络，采用联合组建产业联盟或研发联盟等新型合作模式，推动共性技术研发和推广应用，引导创新资源向集群集聚。推动建立集群龙头企业与配套企业专业化协作体系，带动集群内中小企业发展。加强技术创新、智能制造等的公共技术服务平台建设，为集群产业链的延伸完善和中小企业创业创新提供支撑。强化产业集群知识产权服务机制，鼓励引导企业技术创新、产品创新和商业模式创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14" w:name="_Toc257442793_WPSOffice_Level2"/>
      <w:r>
        <w:rPr>
          <w:rFonts w:hint="default" w:ascii="Nimbus Roman No9 L" w:hAnsi="Nimbus Roman No9 L" w:eastAsia="楷体_GB2312" w:cs="Nimbus Roman No9 L"/>
          <w:color w:val="auto"/>
          <w:sz w:val="32"/>
          <w:szCs w:val="32"/>
        </w:rPr>
        <w:t>（五）</w:t>
      </w:r>
      <w:r>
        <w:rPr>
          <w:rFonts w:hint="default" w:ascii="Nimbus Roman No9 L" w:hAnsi="Nimbus Roman No9 L" w:eastAsia="楷体_GB2312" w:cs="Nimbus Roman No9 L"/>
          <w:color w:val="auto"/>
          <w:sz w:val="32"/>
          <w:szCs w:val="32"/>
          <w:lang w:eastAsia="zh-Hans"/>
        </w:rPr>
        <w:t>打造</w:t>
      </w:r>
      <w:r>
        <w:rPr>
          <w:rFonts w:hint="default" w:ascii="Nimbus Roman No9 L" w:hAnsi="Nimbus Roman No9 L" w:eastAsia="楷体_GB2312" w:cs="Nimbus Roman No9 L"/>
          <w:color w:val="auto"/>
          <w:sz w:val="32"/>
          <w:szCs w:val="32"/>
        </w:rPr>
        <w:t>中小企业特色载体</w:t>
      </w:r>
      <w:r>
        <w:rPr>
          <w:rFonts w:hint="default" w:ascii="Nimbus Roman No9 L" w:hAnsi="Nimbus Roman No9 L" w:eastAsia="楷体_GB2312" w:cs="Nimbus Roman No9 L"/>
          <w:color w:val="auto"/>
          <w:sz w:val="32"/>
          <w:szCs w:val="32"/>
          <w:lang w:eastAsia="zh-Hans"/>
        </w:rPr>
        <w:t>建设</w:t>
      </w:r>
      <w:bookmarkEnd w:id="14"/>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lang w:eastAsia="zh-CN"/>
        </w:rPr>
      </w:pPr>
      <w:r>
        <w:rPr>
          <w:rFonts w:hint="default" w:ascii="Nimbus Roman No9 L" w:hAnsi="Nimbus Roman No9 L" w:eastAsia="仿宋_GB2312" w:cs="Nimbus Roman No9 L"/>
          <w:b/>
          <w:color w:val="auto"/>
          <w:sz w:val="32"/>
          <w:szCs w:val="32"/>
        </w:rPr>
        <w:t>1.打造滨海特色主题园区</w:t>
      </w:r>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落实《党建引领共同缔造美丽“滨城”的指导意见》要求，积极推广园区共同缔造理事会管理模式，聚焦智能科技、生物医药、新能源、新材料等领域，推进重点产业向重点园区聚集、重点园区向特色产业聚焦，建设一批有主题、有灵魂的产业生态园。按照新主体、新功能、新服务、新基建、新治理的“五新”发展方向以及绿色安全发展要求，建设高品质、高能级的现代产业园区。集聚一批主业突出、自主创新能力强、品牌优势明显、带动作用强的领军型企业。强化创新引领，大力培育创新型高成长科技企业、“专精特新”企业、制造业单项冠军企业，培育若干创新引领的排头兵企业。发挥创新资源集聚优势，强化产业技术研究院、企业创新中心等新型研发机构创新主体和市场主体地位，引领先进制造业高端发展。</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default" w:ascii="Nimbus Roman No9 L" w:hAnsi="Nimbus Roman No9 L" w:eastAsia="仿宋_GB2312" w:cs="Nimbus Roman No9 L"/>
          <w:b w:val="0"/>
          <w:bCs/>
          <w:color w:val="auto"/>
          <w:sz w:val="32"/>
          <w:szCs w:val="32"/>
        </w:rPr>
      </w:pPr>
      <w:bookmarkStart w:id="15" w:name="_Toc8531"/>
      <w:bookmarkStart w:id="16" w:name="_Toc184031534_WPSOffice_Level3"/>
      <w:bookmarkStart w:id="17" w:name="_Toc2077751802_WPSOffice_Level3"/>
      <w:r>
        <w:rPr>
          <w:rFonts w:hint="default" w:ascii="Nimbus Roman No9 L" w:hAnsi="Nimbus Roman No9 L" w:eastAsia="仿宋_GB2312" w:cs="Nimbus Roman No9 L"/>
          <w:b w:val="0"/>
          <w:bCs/>
          <w:color w:val="auto"/>
          <w:sz w:val="32"/>
          <w:szCs w:val="32"/>
        </w:rPr>
        <w:t>专栏2  滨海新区特色</w:t>
      </w:r>
      <w:bookmarkEnd w:id="15"/>
      <w:r>
        <w:rPr>
          <w:rFonts w:hint="default" w:ascii="Nimbus Roman No9 L" w:hAnsi="Nimbus Roman No9 L" w:eastAsia="仿宋_GB2312" w:cs="Nimbus Roman No9 L"/>
          <w:b w:val="0"/>
          <w:bCs/>
          <w:color w:val="auto"/>
          <w:sz w:val="32"/>
          <w:szCs w:val="32"/>
        </w:rPr>
        <w:t>主题园区</w:t>
      </w:r>
      <w:bookmarkEnd w:id="16"/>
      <w:bookmarkEnd w:id="17"/>
    </w:p>
    <w:tbl>
      <w:tblPr>
        <w:tblStyle w:val="14"/>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0" w:type="dxa"/>
          </w:tcPr>
          <w:p>
            <w:pPr>
              <w:keepNext w:val="0"/>
              <w:keepLines w:val="0"/>
              <w:pageBreakBefore w:val="0"/>
              <w:widowControl w:val="0"/>
              <w:kinsoku/>
              <w:wordWrap/>
              <w:overflowPunct/>
              <w:topLinePunct w:val="0"/>
              <w:autoSpaceDE/>
              <w:autoSpaceDN/>
              <w:bidi w:val="0"/>
              <w:adjustRightInd w:val="0"/>
              <w:snapToGrid w:val="0"/>
              <w:spacing w:line="540" w:lineRule="exact"/>
              <w:ind w:firstLine="481" w:firstLineChars="200"/>
              <w:textAlignment w:val="auto"/>
              <w:outlineLvl w:val="3"/>
              <w:rPr>
                <w:rFonts w:hint="default" w:ascii="Nimbus Roman No9 L" w:hAnsi="Nimbus Roman No9 L" w:eastAsia="仿宋_GB2312" w:cs="Nimbus Roman No9 L"/>
                <w:b/>
                <w:bCs/>
                <w:color w:val="auto"/>
                <w:kern w:val="0"/>
                <w:sz w:val="24"/>
                <w:szCs w:val="24"/>
                <w:lang w:val="zh-TW" w:eastAsia="zh-TW"/>
              </w:rPr>
            </w:pPr>
            <w:r>
              <w:rPr>
                <w:rFonts w:hint="default" w:ascii="Nimbus Roman No9 L" w:hAnsi="Nimbus Roman No9 L" w:eastAsia="仿宋_GB2312" w:cs="Nimbus Roman No9 L"/>
                <w:b/>
                <w:bCs/>
                <w:color w:val="auto"/>
                <w:kern w:val="0"/>
                <w:sz w:val="24"/>
                <w:szCs w:val="24"/>
              </w:rPr>
              <w:t>1.</w:t>
            </w:r>
            <w:r>
              <w:rPr>
                <w:rFonts w:hint="default" w:ascii="Nimbus Roman No9 L" w:hAnsi="Nimbus Roman No9 L" w:eastAsia="仿宋_GB2312" w:cs="Nimbus Roman No9 L"/>
                <w:b/>
                <w:bCs/>
                <w:color w:val="auto"/>
                <w:kern w:val="0"/>
                <w:sz w:val="24"/>
                <w:szCs w:val="24"/>
                <w:lang w:val="zh-TW" w:eastAsia="zh-TW"/>
              </w:rPr>
              <w:t>中国信创谷</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default" w:ascii="Nimbus Roman No9 L" w:hAnsi="Nimbus Roman No9 L" w:eastAsia="仿宋_GB2312" w:cs="Nimbus Roman No9 L"/>
                <w:color w:val="auto"/>
                <w:kern w:val="0"/>
                <w:sz w:val="24"/>
                <w:szCs w:val="24"/>
                <w:lang w:val="zh-TW"/>
              </w:rPr>
            </w:pPr>
            <w:r>
              <w:rPr>
                <w:rFonts w:hint="default" w:ascii="Nimbus Roman No9 L" w:hAnsi="Nimbus Roman No9 L" w:eastAsia="仿宋_GB2312" w:cs="Nimbus Roman No9 L"/>
                <w:color w:val="auto"/>
                <w:kern w:val="0"/>
                <w:sz w:val="24"/>
                <w:szCs w:val="24"/>
                <w:lang w:val="zh-TW"/>
              </w:rPr>
              <w:t>由高新区牵头，以海洋片区为核心承载区，聚力打造“中国信创谷”。全力突破一批关键技术、引聚一批高水平企业、建成一批高能级平台、落户一批高附加值产业项目，打造“代表天津、引领中国、走向全球”的世界级信创产业集群。一是构建“311”信息技术应用创新产业体系。做大做强硬件链、软件链、服务链三大信创核心三链；做实“信息安全”一大保障；做精“军民融合”一大特色。二是强化核心承载区建设。构建“北产能、南动能、东孵化、中聚核”三区一核的空间结构，建设“生产、生活、生态”融合的多功能高品质的生活空间，形成创意交流、纵横通畅、配套完善、丰富有趣的社交空间，打造“信创理想城”。三是实施“主体引聚、平台搭建、场景驱动、金融赋能、群体突破”五大工程，构建政产学研用金服一体化联合创新生态，搭建信创领域自主可控兼容适配平台，支撑打造自主算力引擎的国家级领航区，形成高端、高新、高价值信创产业集聚中心，输出中国技术、中国标准、中国方案。</w:t>
            </w:r>
          </w:p>
          <w:p>
            <w:pPr>
              <w:keepNext w:val="0"/>
              <w:keepLines w:val="0"/>
              <w:pageBreakBefore w:val="0"/>
              <w:widowControl w:val="0"/>
              <w:kinsoku/>
              <w:wordWrap/>
              <w:overflowPunct/>
              <w:topLinePunct w:val="0"/>
              <w:autoSpaceDE/>
              <w:autoSpaceDN/>
              <w:bidi w:val="0"/>
              <w:adjustRightInd w:val="0"/>
              <w:snapToGrid w:val="0"/>
              <w:spacing w:line="540" w:lineRule="exact"/>
              <w:ind w:firstLine="481" w:firstLineChars="200"/>
              <w:textAlignment w:val="auto"/>
              <w:outlineLvl w:val="3"/>
              <w:rPr>
                <w:rFonts w:hint="default" w:ascii="Nimbus Roman No9 L" w:hAnsi="Nimbus Roman No9 L" w:eastAsia="仿宋_GB2312" w:cs="Nimbus Roman No9 L"/>
                <w:b/>
                <w:bCs/>
                <w:color w:val="auto"/>
                <w:kern w:val="0"/>
                <w:sz w:val="24"/>
                <w:szCs w:val="24"/>
                <w:lang w:val="zh-TW"/>
              </w:rPr>
            </w:pPr>
            <w:r>
              <w:rPr>
                <w:rFonts w:hint="default" w:ascii="Nimbus Roman No9 L" w:hAnsi="Nimbus Roman No9 L" w:eastAsia="仿宋_GB2312" w:cs="Nimbus Roman No9 L"/>
                <w:b/>
                <w:bCs/>
                <w:color w:val="auto"/>
                <w:kern w:val="0"/>
                <w:sz w:val="24"/>
                <w:szCs w:val="24"/>
              </w:rPr>
              <w:t>2.</w:t>
            </w:r>
            <w:r>
              <w:rPr>
                <w:rFonts w:hint="default" w:ascii="Nimbus Roman No9 L" w:hAnsi="Nimbus Roman No9 L" w:eastAsia="仿宋_GB2312" w:cs="Nimbus Roman No9 L"/>
                <w:b/>
                <w:bCs/>
                <w:color w:val="auto"/>
                <w:kern w:val="0"/>
                <w:sz w:val="24"/>
                <w:szCs w:val="24"/>
                <w:lang w:val="zh-TW"/>
              </w:rPr>
              <w:t>京津冀特色“细胞谷”</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3"/>
              <w:rPr>
                <w:rFonts w:hint="default" w:ascii="Nimbus Roman No9 L" w:hAnsi="Nimbus Roman No9 L" w:eastAsia="仿宋_GB2312" w:cs="Nimbus Roman No9 L"/>
                <w:color w:val="auto"/>
                <w:kern w:val="0"/>
                <w:sz w:val="24"/>
                <w:szCs w:val="24"/>
              </w:rPr>
            </w:pPr>
            <w:r>
              <w:rPr>
                <w:rFonts w:hint="default" w:ascii="Nimbus Roman No9 L" w:hAnsi="Nimbus Roman No9 L" w:eastAsia="仿宋_GB2312" w:cs="Nimbus Roman No9 L"/>
                <w:color w:val="auto"/>
                <w:kern w:val="0"/>
                <w:sz w:val="24"/>
                <w:szCs w:val="24"/>
              </w:rPr>
              <w:t>由经开区和高新区分别牵头，打造“细胞谷”试验区，充分发挥国家干细胞工厂技术研究中心、实验血液学国家重点实验室等创新平台的引领带动作用，依托核心企业研发技术优势，突破干细胞、CAR-T免疫细胞、基因治疗、疫苗抗体、重组蛋白、核苷核酸等领域核心关键技术；整合天津市第五中心医院、泰达国际心血管病医院等医疗机构的临床研究能力，建设国家级一类创新药医学研究与试验平台；联合行业龙头企业与医疗机构、研究机构共同建设第三方细胞产品质控研究评价中心及药前临床前研究平台，强化质量控制体系；建设细胞存储-制备-生产平台、研发外包服务平台、医疗大数据服务平台；依托天津国际生物医药联合研究院、中科院天津工业生物技术研究所、中英医疗健康产业基地、九州通健康产业园等平台，加强细胞产业孵化转化及产业化。</w:t>
            </w:r>
          </w:p>
          <w:p>
            <w:pPr>
              <w:keepNext w:val="0"/>
              <w:keepLines w:val="0"/>
              <w:pageBreakBefore w:val="0"/>
              <w:widowControl w:val="0"/>
              <w:kinsoku/>
              <w:wordWrap/>
              <w:overflowPunct/>
              <w:topLinePunct w:val="0"/>
              <w:autoSpaceDE/>
              <w:autoSpaceDN/>
              <w:bidi w:val="0"/>
              <w:adjustRightInd w:val="0"/>
              <w:snapToGrid w:val="0"/>
              <w:spacing w:line="540" w:lineRule="exact"/>
              <w:ind w:firstLine="481" w:firstLineChars="200"/>
              <w:textAlignment w:val="auto"/>
              <w:outlineLvl w:val="3"/>
              <w:rPr>
                <w:rFonts w:hint="default" w:ascii="Nimbus Roman No9 L" w:hAnsi="Nimbus Roman No9 L" w:eastAsia="仿宋_GB2312" w:cs="Nimbus Roman No9 L"/>
                <w:b/>
                <w:bCs/>
                <w:color w:val="auto"/>
                <w:kern w:val="0"/>
                <w:sz w:val="24"/>
                <w:szCs w:val="24"/>
              </w:rPr>
            </w:pPr>
            <w:r>
              <w:rPr>
                <w:rFonts w:hint="default" w:ascii="Nimbus Roman No9 L" w:hAnsi="Nimbus Roman No9 L" w:eastAsia="仿宋_GB2312" w:cs="Nimbus Roman No9 L"/>
                <w:b/>
                <w:bCs/>
                <w:color w:val="auto"/>
                <w:kern w:val="0"/>
                <w:sz w:val="24"/>
                <w:szCs w:val="24"/>
              </w:rPr>
              <w:t>3.</w:t>
            </w:r>
            <w:r>
              <w:rPr>
                <w:rFonts w:hint="default" w:ascii="Nimbus Roman No9 L" w:hAnsi="Nimbus Roman No9 L" w:eastAsia="仿宋_GB2312" w:cs="Nimbus Roman No9 L"/>
                <w:b/>
                <w:bCs/>
                <w:color w:val="auto"/>
                <w:kern w:val="0"/>
                <w:sz w:val="24"/>
                <w:szCs w:val="24"/>
                <w:lang w:val="zh-TW"/>
              </w:rPr>
              <w:t>生物制造谷</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3"/>
              <w:rPr>
                <w:rFonts w:hint="default" w:ascii="Nimbus Roman No9 L" w:hAnsi="Nimbus Roman No9 L" w:eastAsia="仿宋_GB2312" w:cs="Nimbus Roman No9 L"/>
                <w:color w:val="auto"/>
                <w:kern w:val="0"/>
                <w:sz w:val="24"/>
                <w:szCs w:val="24"/>
              </w:rPr>
            </w:pPr>
            <w:r>
              <w:rPr>
                <w:rFonts w:hint="default" w:ascii="Nimbus Roman No9 L" w:hAnsi="Nimbus Roman No9 L" w:eastAsia="仿宋_GB2312" w:cs="Nimbus Roman No9 L"/>
                <w:color w:val="auto"/>
                <w:kern w:val="0"/>
                <w:sz w:val="24"/>
                <w:szCs w:val="24"/>
              </w:rPr>
              <w:t>由保税区牵头，充分发挥中科院天津工业生物技术研究所和国家合成生物技术创新中心的引领带动作用，聚焦攻关提升生物制造前沿核心技术能力，构建生物制造自主创新产业体系，形成生物制造“技术创新-成果转化-产业应用-反哺创新”的融通发展格局。布局合成生物底层共性技术，布局基因合成、生物制造、合成医疗、合成农业、环境健康与生物安全等攻关方向，重点突破工业发酵菌种、化药生物合成、人工本草、</w:t>
            </w:r>
            <w:r>
              <w:rPr>
                <w:rFonts w:hint="default" w:ascii="Nimbus Roman No9 L" w:hAnsi="Nimbus Roman No9 L" w:cs="Nimbus Roman No9 L"/>
                <w:lang w:val="en-US" w:eastAsia="zh-CN"/>
              </w:rPr>
              <w:t>CO</w:t>
            </w:r>
            <w:r>
              <w:rPr>
                <w:rFonts w:hint="default" w:ascii="Nimbus Roman No9 L" w:hAnsi="Nimbus Roman No9 L" w:cs="Nimbus Roman No9 L"/>
                <w:sz w:val="21"/>
                <w:vertAlign w:val="subscript"/>
                <w:lang w:val="en-US" w:eastAsia="zh-CN"/>
              </w:rPr>
              <w:t>2</w:t>
            </w:r>
            <w:r>
              <w:rPr>
                <w:rFonts w:hint="default" w:ascii="Nimbus Roman No9 L" w:hAnsi="Nimbus Roman No9 L" w:eastAsia="仿宋_GB2312" w:cs="Nimbus Roman No9 L"/>
                <w:color w:val="auto"/>
                <w:kern w:val="0"/>
                <w:sz w:val="24"/>
                <w:szCs w:val="24"/>
              </w:rPr>
              <w:t>生物转化、未来食品、秸秆转化与未来化工等产业关键核心技术，推进合成生物在产业领域的应用。重点强化新型酶制剂、生物制造装备、健康糖和医药中间体四大基础产业链，壮大生物医药制造、生物农业与食品制造、生物基材料制造三大核心应用产业链，构建全链条协同发展的产业体系，开展国际合作技术攻关、产能合作，打造全球生物制造产业的技术创新高地。</w:t>
            </w:r>
          </w:p>
          <w:p>
            <w:pPr>
              <w:keepNext w:val="0"/>
              <w:keepLines w:val="0"/>
              <w:pageBreakBefore w:val="0"/>
              <w:widowControl w:val="0"/>
              <w:kinsoku/>
              <w:wordWrap/>
              <w:overflowPunct/>
              <w:topLinePunct w:val="0"/>
              <w:autoSpaceDE/>
              <w:autoSpaceDN/>
              <w:bidi w:val="0"/>
              <w:adjustRightInd w:val="0"/>
              <w:snapToGrid w:val="0"/>
              <w:spacing w:line="540" w:lineRule="exact"/>
              <w:ind w:firstLine="481" w:firstLineChars="200"/>
              <w:textAlignment w:val="auto"/>
              <w:outlineLvl w:val="3"/>
              <w:rPr>
                <w:rFonts w:hint="default" w:ascii="Nimbus Roman No9 L" w:hAnsi="Nimbus Roman No9 L" w:eastAsia="仿宋_GB2312" w:cs="Nimbus Roman No9 L"/>
                <w:b/>
                <w:bCs/>
                <w:color w:val="auto"/>
                <w:kern w:val="0"/>
                <w:sz w:val="24"/>
                <w:szCs w:val="24"/>
                <w:lang w:val="zh-TW"/>
              </w:rPr>
            </w:pPr>
            <w:r>
              <w:rPr>
                <w:rFonts w:hint="default" w:ascii="Nimbus Roman No9 L" w:hAnsi="Nimbus Roman No9 L" w:eastAsia="仿宋_GB2312" w:cs="Nimbus Roman No9 L"/>
                <w:b/>
                <w:bCs/>
                <w:color w:val="auto"/>
                <w:kern w:val="0"/>
                <w:sz w:val="24"/>
                <w:szCs w:val="24"/>
              </w:rPr>
              <w:t>4.</w:t>
            </w:r>
            <w:r>
              <w:rPr>
                <w:rFonts w:hint="default" w:ascii="Nimbus Roman No9 L" w:hAnsi="Nimbus Roman No9 L" w:eastAsia="仿宋_GB2312" w:cs="Nimbus Roman No9 L"/>
                <w:b/>
                <w:bCs/>
                <w:color w:val="auto"/>
                <w:kern w:val="0"/>
                <w:sz w:val="24"/>
                <w:szCs w:val="24"/>
                <w:lang w:val="zh-TW"/>
              </w:rPr>
              <w:t>北方声谷</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default" w:ascii="Nimbus Roman No9 L" w:hAnsi="Nimbus Roman No9 L" w:eastAsia="仿宋_GB2312" w:cs="Nimbus Roman No9 L"/>
                <w:color w:val="auto"/>
                <w:kern w:val="0"/>
                <w:sz w:val="24"/>
                <w:szCs w:val="24"/>
              </w:rPr>
            </w:pPr>
            <w:r>
              <w:rPr>
                <w:rFonts w:hint="default" w:ascii="Nimbus Roman No9 L" w:hAnsi="Nimbus Roman No9 L" w:eastAsia="仿宋_GB2312" w:cs="Nimbus Roman No9 L"/>
                <w:color w:val="auto"/>
                <w:kern w:val="0"/>
                <w:sz w:val="24"/>
                <w:szCs w:val="24"/>
                <w:lang w:val="zh-TW"/>
              </w:rPr>
              <w:t>由保税区牵头，依托智汇谷平台，重点布局智能语音识别、工业机器人等领域，吸引语义识别、语音技术解决方案、远场语音交互等领域的重点企业落户，打造国内领先的人工智能产业发展高地。依托讯飞国家新一代人工智能开放创新平台天津中心，落地一批人工智能领域国内外顶尖的开发者、创业者，打造集智能语音、图像识别、自然语言处理等为一体的人工智能创新创业</w:t>
            </w:r>
            <w:r>
              <w:rPr>
                <w:rFonts w:hint="default" w:ascii="Nimbus Roman No9 L" w:hAnsi="Nimbus Roman No9 L" w:eastAsia="仿宋_GB2312" w:cs="Nimbus Roman No9 L"/>
                <w:color w:val="auto"/>
                <w:kern w:val="0"/>
                <w:sz w:val="24"/>
                <w:szCs w:val="24"/>
              </w:rPr>
              <w:t>服务平台。</w:t>
            </w:r>
          </w:p>
          <w:p>
            <w:pPr>
              <w:keepNext w:val="0"/>
              <w:keepLines w:val="0"/>
              <w:pageBreakBefore w:val="0"/>
              <w:widowControl w:val="0"/>
              <w:kinsoku/>
              <w:wordWrap/>
              <w:overflowPunct/>
              <w:topLinePunct w:val="0"/>
              <w:autoSpaceDE/>
              <w:autoSpaceDN/>
              <w:bidi w:val="0"/>
              <w:adjustRightInd w:val="0"/>
              <w:snapToGrid w:val="0"/>
              <w:spacing w:line="540" w:lineRule="exact"/>
              <w:ind w:firstLine="481" w:firstLineChars="200"/>
              <w:textAlignment w:val="auto"/>
              <w:outlineLvl w:val="2"/>
              <w:rPr>
                <w:rFonts w:hint="default" w:ascii="Nimbus Roman No9 L" w:hAnsi="Nimbus Roman No9 L" w:eastAsia="仿宋_GB2312" w:cs="Nimbus Roman No9 L"/>
                <w:b/>
                <w:bCs/>
                <w:color w:val="auto"/>
                <w:kern w:val="0"/>
                <w:sz w:val="24"/>
                <w:szCs w:val="24"/>
                <w:lang w:val="zh-TW" w:eastAsia="zh-TW"/>
              </w:rPr>
            </w:pPr>
            <w:bookmarkStart w:id="18" w:name="_Toc8885"/>
            <w:bookmarkStart w:id="19" w:name="_Toc30485"/>
            <w:bookmarkStart w:id="20" w:name="_Toc26851"/>
            <w:bookmarkStart w:id="21" w:name="_Toc10671"/>
            <w:r>
              <w:rPr>
                <w:rFonts w:hint="default" w:ascii="Nimbus Roman No9 L" w:hAnsi="Nimbus Roman No9 L" w:eastAsia="仿宋_GB2312" w:cs="Nimbus Roman No9 L"/>
                <w:b/>
                <w:bCs/>
                <w:color w:val="auto"/>
                <w:kern w:val="0"/>
                <w:sz w:val="24"/>
                <w:szCs w:val="24"/>
              </w:rPr>
              <w:t>5.</w:t>
            </w:r>
            <w:r>
              <w:rPr>
                <w:rFonts w:hint="default" w:ascii="Nimbus Roman No9 L" w:hAnsi="Nimbus Roman No9 L" w:eastAsia="仿宋_GB2312" w:cs="Nimbus Roman No9 L"/>
                <w:b/>
                <w:bCs/>
                <w:color w:val="auto"/>
                <w:kern w:val="0"/>
                <w:sz w:val="24"/>
                <w:szCs w:val="24"/>
                <w:lang w:val="zh-TW"/>
              </w:rPr>
              <w:t>化工</w:t>
            </w:r>
            <w:r>
              <w:rPr>
                <w:rFonts w:hint="default" w:ascii="Nimbus Roman No9 L" w:hAnsi="Nimbus Roman No9 L" w:eastAsia="仿宋_GB2312" w:cs="Nimbus Roman No9 L"/>
                <w:b/>
                <w:bCs/>
                <w:color w:val="auto"/>
                <w:kern w:val="0"/>
                <w:sz w:val="24"/>
                <w:szCs w:val="24"/>
                <w:lang w:val="zh-TW" w:eastAsia="zh-TW"/>
              </w:rPr>
              <w:t>新材料</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default" w:ascii="Nimbus Roman No9 L" w:hAnsi="Nimbus Roman No9 L" w:eastAsia="仿宋_GB2312" w:cs="Nimbus Roman No9 L"/>
                <w:color w:val="auto"/>
                <w:kern w:val="0"/>
                <w:sz w:val="24"/>
                <w:szCs w:val="24"/>
              </w:rPr>
            </w:pPr>
            <w:r>
              <w:rPr>
                <w:rFonts w:hint="default" w:ascii="Nimbus Roman No9 L" w:hAnsi="Nimbus Roman No9 L" w:eastAsia="仿宋_GB2312" w:cs="Nimbus Roman No9 L"/>
                <w:color w:val="auto"/>
                <w:kern w:val="0"/>
                <w:sz w:val="24"/>
                <w:szCs w:val="24"/>
                <w:lang w:val="zh-TW"/>
              </w:rPr>
              <w:t>由经开区牵头，</w:t>
            </w:r>
            <w:r>
              <w:rPr>
                <w:rFonts w:hint="default" w:ascii="Nimbus Roman No9 L" w:hAnsi="Nimbus Roman No9 L" w:eastAsia="仿宋_GB2312" w:cs="Nimbus Roman No9 L"/>
                <w:color w:val="auto"/>
                <w:kern w:val="0"/>
                <w:sz w:val="24"/>
                <w:szCs w:val="24"/>
                <w:lang w:val="zh-TW" w:eastAsia="zh-TW"/>
              </w:rPr>
              <w:t>依托北化院、石科院、中石化工程院等专业研发机构以及</w:t>
            </w:r>
            <w:r>
              <w:rPr>
                <w:rFonts w:hint="default" w:ascii="Nimbus Roman No9 L" w:hAnsi="Nimbus Roman No9 L" w:eastAsia="仿宋_GB2312" w:cs="Nimbus Roman No9 L"/>
                <w:color w:val="auto"/>
                <w:kern w:val="0"/>
                <w:sz w:val="24"/>
                <w:szCs w:val="24"/>
                <w:lang w:val="zh-TW"/>
              </w:rPr>
              <w:t>相关领域龙头企业，以抗老化剂产品、膜材料、高性能工程塑料等功能性化学品、化工新材料为发展重点，</w:t>
            </w:r>
            <w:r>
              <w:rPr>
                <w:rFonts w:hint="default" w:ascii="Nimbus Roman No9 L" w:hAnsi="Nimbus Roman No9 L" w:eastAsia="仿宋_GB2312" w:cs="Nimbus Roman No9 L"/>
                <w:color w:val="auto"/>
                <w:kern w:val="0"/>
                <w:sz w:val="24"/>
                <w:szCs w:val="24"/>
              </w:rPr>
              <w:t>打造从油气开采、基础化工原料、合成材料到高技术含量、高附加值中下游产品、精细化工等化工新材料全产业链。</w:t>
            </w:r>
            <w:r>
              <w:rPr>
                <w:rFonts w:hint="default" w:ascii="Nimbus Roman No9 L" w:hAnsi="Nimbus Roman No9 L" w:eastAsia="仿宋_GB2312" w:cs="Nimbus Roman No9 L"/>
                <w:color w:val="auto"/>
                <w:kern w:val="0"/>
                <w:sz w:val="24"/>
                <w:szCs w:val="24"/>
                <w:lang w:val="zh-TW" w:eastAsia="zh-TW"/>
              </w:rPr>
              <w:t>形成优势专业协同和创新链、人才链、产业链、金融链协同，打造</w:t>
            </w:r>
            <w:r>
              <w:rPr>
                <w:rFonts w:hint="default" w:ascii="Nimbus Roman No9 L" w:hAnsi="Nimbus Roman No9 L" w:eastAsia="仿宋_GB2312" w:cs="Nimbus Roman No9 L"/>
                <w:color w:val="auto"/>
                <w:kern w:val="0"/>
                <w:sz w:val="24"/>
                <w:szCs w:val="24"/>
                <w:lang w:val="zh-TW"/>
              </w:rPr>
              <w:t>南港</w:t>
            </w:r>
            <w:r>
              <w:rPr>
                <w:rFonts w:hint="default" w:ascii="Nimbus Roman No9 L" w:hAnsi="Nimbus Roman No9 L" w:eastAsia="仿宋_GB2312" w:cs="Nimbus Roman No9 L"/>
                <w:color w:val="auto"/>
                <w:kern w:val="0"/>
                <w:sz w:val="24"/>
                <w:szCs w:val="24"/>
                <w:lang w:val="zh-TW" w:eastAsia="zh-TW"/>
              </w:rPr>
              <w:t>化工新材料</w:t>
            </w:r>
            <w:r>
              <w:rPr>
                <w:rFonts w:hint="default" w:ascii="Nimbus Roman No9 L" w:hAnsi="Nimbus Roman No9 L" w:eastAsia="仿宋_GB2312" w:cs="Nimbus Roman No9 L"/>
                <w:color w:val="auto"/>
                <w:kern w:val="0"/>
                <w:sz w:val="24"/>
                <w:szCs w:val="24"/>
                <w:lang w:val="zh-TW"/>
              </w:rPr>
              <w:t>基地，构建有特色的新材料产业生态体系</w:t>
            </w:r>
            <w:r>
              <w:rPr>
                <w:rFonts w:hint="default" w:ascii="Nimbus Roman No9 L" w:hAnsi="Nimbus Roman No9 L" w:eastAsia="仿宋_GB2312" w:cs="Nimbus Roman No9 L"/>
                <w:color w:val="auto"/>
                <w:kern w:val="0"/>
                <w:sz w:val="24"/>
                <w:szCs w:val="24"/>
                <w:lang w:val="zh-TW" w:eastAsia="zh-TW"/>
              </w:rPr>
              <w:t>。</w:t>
            </w:r>
            <w:r>
              <w:rPr>
                <w:rFonts w:hint="default" w:ascii="Nimbus Roman No9 L" w:hAnsi="Nimbus Roman No9 L" w:eastAsia="仿宋_GB2312" w:cs="Nimbus Roman No9 L"/>
                <w:color w:val="auto"/>
                <w:kern w:val="0"/>
                <w:sz w:val="24"/>
                <w:szCs w:val="24"/>
              </w:rPr>
              <w:t>聚焦先进制造和绿色发展需求，打造汽车轻量化材料、高端装备材料、电子信息材料、新能源关键材料、绿色可降解材料、节能环保材料和生物医用材料等为代表的新材料产业集群。</w:t>
            </w:r>
          </w:p>
          <w:p>
            <w:pPr>
              <w:keepNext w:val="0"/>
              <w:keepLines w:val="0"/>
              <w:pageBreakBefore w:val="0"/>
              <w:widowControl w:val="0"/>
              <w:kinsoku/>
              <w:wordWrap/>
              <w:overflowPunct/>
              <w:topLinePunct w:val="0"/>
              <w:autoSpaceDE/>
              <w:autoSpaceDN/>
              <w:bidi w:val="0"/>
              <w:adjustRightInd w:val="0"/>
              <w:snapToGrid w:val="0"/>
              <w:spacing w:line="540" w:lineRule="exact"/>
              <w:ind w:firstLine="481" w:firstLineChars="200"/>
              <w:textAlignment w:val="auto"/>
              <w:outlineLvl w:val="2"/>
              <w:rPr>
                <w:rFonts w:hint="default" w:ascii="Nimbus Roman No9 L" w:hAnsi="Nimbus Roman No9 L" w:eastAsia="仿宋_GB2312" w:cs="Nimbus Roman No9 L"/>
                <w:b/>
                <w:bCs/>
                <w:color w:val="auto"/>
                <w:kern w:val="0"/>
                <w:sz w:val="24"/>
                <w:szCs w:val="24"/>
                <w:lang w:val="zh-TW"/>
              </w:rPr>
            </w:pPr>
            <w:bookmarkStart w:id="22" w:name="_Toc13614"/>
            <w:bookmarkStart w:id="23" w:name="_Toc8586"/>
            <w:bookmarkStart w:id="24" w:name="_Toc5777"/>
            <w:bookmarkStart w:id="25" w:name="_Toc18606"/>
            <w:r>
              <w:rPr>
                <w:rFonts w:hint="default" w:ascii="Nimbus Roman No9 L" w:hAnsi="Nimbus Roman No9 L" w:eastAsia="仿宋_GB2312" w:cs="Nimbus Roman No9 L"/>
                <w:b/>
                <w:bCs/>
                <w:color w:val="auto"/>
                <w:kern w:val="0"/>
                <w:sz w:val="24"/>
                <w:szCs w:val="24"/>
              </w:rPr>
              <w:t>6.</w:t>
            </w:r>
            <w:r>
              <w:rPr>
                <w:rFonts w:hint="default" w:ascii="Nimbus Roman No9 L" w:hAnsi="Nimbus Roman No9 L" w:eastAsia="仿宋_GB2312" w:cs="Nimbus Roman No9 L"/>
                <w:b/>
                <w:bCs/>
                <w:color w:val="auto"/>
                <w:kern w:val="0"/>
                <w:sz w:val="24"/>
                <w:szCs w:val="24"/>
                <w:lang w:val="zh-TW" w:eastAsia="zh-TW"/>
              </w:rPr>
              <w:t>海洋</w:t>
            </w:r>
            <w:bookmarkEnd w:id="22"/>
            <w:bookmarkEnd w:id="23"/>
            <w:bookmarkEnd w:id="24"/>
            <w:bookmarkEnd w:id="25"/>
            <w:r>
              <w:rPr>
                <w:rFonts w:hint="default" w:ascii="Nimbus Roman No9 L" w:hAnsi="Nimbus Roman No9 L" w:eastAsia="仿宋_GB2312" w:cs="Nimbus Roman No9 L"/>
                <w:b/>
                <w:bCs/>
                <w:color w:val="auto"/>
                <w:kern w:val="0"/>
                <w:sz w:val="24"/>
                <w:szCs w:val="24"/>
                <w:lang w:val="zh-TW"/>
              </w:rPr>
              <w:t>装备</w:t>
            </w:r>
          </w:p>
          <w:p>
            <w:pPr>
              <w:pStyle w:val="25"/>
              <w:keepNext w:val="0"/>
              <w:keepLines w:val="0"/>
              <w:pageBreakBefore w:val="0"/>
              <w:widowControl w:val="0"/>
              <w:kinsoku/>
              <w:wordWrap/>
              <w:overflowPunct/>
              <w:topLinePunct w:val="0"/>
              <w:autoSpaceDE/>
              <w:autoSpaceDN/>
              <w:bidi w:val="0"/>
              <w:adjustRightInd w:val="0"/>
              <w:snapToGrid w:val="0"/>
              <w:spacing w:line="540" w:lineRule="exact"/>
              <w:ind w:firstLine="560"/>
              <w:textAlignment w:val="auto"/>
              <w:rPr>
                <w:rFonts w:hint="default" w:ascii="Nimbus Roman No9 L" w:hAnsi="Nimbus Roman No9 L" w:cs="Nimbus Roman No9 L"/>
                <w:color w:val="auto"/>
                <w:kern w:val="0"/>
              </w:rPr>
            </w:pPr>
            <w:r>
              <w:rPr>
                <w:rFonts w:hint="default" w:ascii="Nimbus Roman No9 L" w:hAnsi="Nimbus Roman No9 L" w:eastAsia="仿宋_GB2312" w:cs="Nimbus Roman No9 L"/>
                <w:color w:val="auto"/>
                <w:kern w:val="2"/>
                <w:sz w:val="24"/>
                <w:szCs w:val="24"/>
                <w:lang w:val="zh-CN" w:eastAsia="zh-TW"/>
              </w:rPr>
              <w:t>由保税区牵头，依托海水淡化与综合利用研究所、临港海水淡化与综合利用示范基地、海水淡化产业（人才）联盟等，探索建设海水淡化试验场、国家海水资源利用技术创新中心等科技创新平台，加快突破海水淡化与综合利用领域卡脖子关键技术，构建集研发设计、整机制造、关键材料部件、药剂生产、工程总包等于一体的海水淡化产业链，形成“一中心、一基地、一区、一联盟”的国家级海水淡化产业集群。依托海洋装备领域龙头企业，以海洋油气开采和储运装备、海工关键配套设备、航道疏浚工程装备、海洋环保与监测探测仪器设备为重点，打造海洋高端装备制造业基地。提升船舶产业发展水平，促进船舶配套业由设备加工制造向系统集成转变，优化提升散货船、油船等传统船舶地制造维修，增加高技术船舶的种类和数量。积极促进海洋生物医药、保健品产业发展，积极探索深海科技。</w:t>
            </w:r>
          </w:p>
        </w:tc>
      </w:tr>
    </w:tbl>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lang w:eastAsia="zh-CN"/>
        </w:rPr>
      </w:pPr>
      <w:r>
        <w:rPr>
          <w:rFonts w:hint="default" w:ascii="Nimbus Roman No9 L" w:hAnsi="Nimbus Roman No9 L" w:eastAsia="仿宋_GB2312" w:cs="Nimbus Roman No9 L"/>
          <w:b/>
          <w:color w:val="auto"/>
          <w:sz w:val="32"/>
          <w:szCs w:val="32"/>
          <w:lang w:val="en-US" w:eastAsia="zh-CN"/>
        </w:rPr>
        <w:t>2.</w:t>
      </w:r>
      <w:r>
        <w:rPr>
          <w:rFonts w:hint="default" w:ascii="Nimbus Roman No9 L" w:hAnsi="Nimbus Roman No9 L" w:eastAsia="仿宋_GB2312" w:cs="Nimbus Roman No9 L"/>
          <w:b/>
          <w:color w:val="auto"/>
          <w:sz w:val="32"/>
          <w:szCs w:val="32"/>
        </w:rPr>
        <w:t>创新楼宇经济发展理念</w:t>
      </w:r>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以总部经济发展为支持，围绕楼宇经济空间布局，加大特色楼宇集群培育力度，重点打造科技研发中心、金融创投中心、文化创意中心。引导楼宇经济长效发展，走差异化发展道路，实现错位发展。从城市规划入手，以商圈、特色街区建设等为示范引领，提升城市功能，促进楼宇经济内生发展。不断提升管理和运营水平，通过升级改造、腾笼换鸟、服务提升、品牌打造、树立标杆等途径，培育各具行业特色的专业楼宇，引导中小企业按专业特色、产业链关系集聚。</w:t>
      </w:r>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3.</w:t>
      </w:r>
      <w:r>
        <w:rPr>
          <w:rFonts w:hint="default" w:ascii="Nimbus Roman No9 L" w:hAnsi="Nimbus Roman No9 L" w:eastAsia="仿宋_GB2312" w:cs="Nimbus Roman No9 L"/>
          <w:b/>
          <w:color w:val="auto"/>
          <w:sz w:val="32"/>
          <w:szCs w:val="32"/>
        </w:rPr>
        <w:t>加强创业创新载体建设</w:t>
      </w:r>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充分利用已有的各类园区，打造中小企业创业创新基地，为创业主体获得生产经营场所提供便利。发展新型众创空间，形成线上与线下、孵化与投资相结合的开放式综合服务载体，为中小企业创业兴业提供低成本、便利化、全要素服务。</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b w:val="0"/>
          <w:bCs/>
          <w:color w:val="auto"/>
          <w:sz w:val="32"/>
          <w:szCs w:val="32"/>
        </w:rPr>
        <w:t>（1）培育和支持小型微型企业创业创新基地建设。</w:t>
      </w:r>
      <w:r>
        <w:rPr>
          <w:rFonts w:hint="default" w:ascii="Nimbus Roman No9 L" w:hAnsi="Nimbus Roman No9 L" w:eastAsia="仿宋_GB2312" w:cs="Nimbus Roman No9 L"/>
          <w:color w:val="auto"/>
          <w:sz w:val="32"/>
          <w:szCs w:val="32"/>
        </w:rPr>
        <w:t>巩固增强中小企业市场创新主体地位，支持各地利用闲置厂房、楼宇，各类园区、产业集群、孵化基地等，开展小型微型企业创业创新基地建设。培育一批国家和市级示范基地，引导基地向平台化、智慧化和生态化方向发展。在先进制造业、现代服务业和战略性新兴产业等产业新体系重点领域培育形成一批高成长性“专精特新”中小企业</w:t>
      </w:r>
      <w:r>
        <w:rPr>
          <w:rFonts w:hint="default" w:ascii="Nimbus Roman No9 L" w:hAnsi="Nimbus Roman No9 L" w:eastAsia="仿宋_GB2312" w:cs="Nimbus Roman No9 L"/>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val="0"/>
          <w:bCs/>
          <w:color w:val="auto"/>
          <w:sz w:val="32"/>
          <w:szCs w:val="32"/>
        </w:rPr>
        <w:t>（2）推动中小企业公共服务平台网络有效运转。</w:t>
      </w:r>
      <w:r>
        <w:rPr>
          <w:rFonts w:hint="default" w:ascii="Nimbus Roman No9 L" w:hAnsi="Nimbus Roman No9 L" w:eastAsia="仿宋_GB2312" w:cs="Nimbus Roman No9 L"/>
          <w:color w:val="auto"/>
          <w:sz w:val="32"/>
          <w:szCs w:val="32"/>
        </w:rPr>
        <w:t>发挥平台网络资源共享、服务协同优势，以中小企业集聚区或行业为重点，为中小企业提供创业培训、知识产权保护、信息咨询、信用服务、市场营销、项目开发、投资融资、财会税务、产权交易、技术支持、人力资源、对外合作、法律咨询等服务推动平台网络组织带动优质专业服务资源开展专业化、特色化服务，提高服务的及时性和有效性，增强平台网络品牌知名度和社会影响力，探索市场化运营模式，促进平台网络可持续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val="0"/>
          <w:bCs/>
          <w:color w:val="auto"/>
          <w:sz w:val="32"/>
          <w:szCs w:val="32"/>
        </w:rPr>
        <w:t>（3）完善“众创空间—孵化器—科技园区”全链条孵化体系。</w:t>
      </w:r>
      <w:r>
        <w:rPr>
          <w:rFonts w:hint="default" w:ascii="Nimbus Roman No9 L" w:hAnsi="Nimbus Roman No9 L" w:eastAsia="仿宋_GB2312" w:cs="Nimbus Roman No9 L"/>
          <w:color w:val="auto"/>
          <w:sz w:val="32"/>
          <w:szCs w:val="32"/>
        </w:rPr>
        <w:t>支持双创载体围绕特色优势产业领域深耕细作、专业化发展。提升双创载体专业化运营管理水平，鼓励孵化器市场化转型，支持双创载体引入有经验的第三方市场化运营团队，探索“创业导师+持股孵化”、“天使投资+创新产品”等新型孵化模式，提升孵化器运营能力。深化双创载体创业服务功能，持续推动双创载体的专业化发展，支持双创载体组建创业导师团队，开展技术指导和商业模式辅导等。支持专业化双创载体配置共享实验室、共享小试、中试车间和生产线，协助创业企业实现产品从创意到小批量生产的突破。推动政务服务向创业广场延伸，打造低成本创业街区。开展多种形式科技双创周、双创大赛、双创论坛、双创公开课等活动，营造创新创业氛围，集聚创客资源。</w:t>
      </w:r>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4.促进大中小企业融通发展</w:t>
      </w:r>
    </w:p>
    <w:p>
      <w:pPr>
        <w:pStyle w:val="22"/>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以构建大企业与中小企业协同创新、共享资源、融合发展的产业生态为目标，着力挖掘和推广融通发展模式。通过夯实融通载体、完善融通环境，发挥大企业引领支撑作用，提高中小企业专业化水平，培育经济增长新动能，支撑制造业创新，助力实体经济发展。构建大中小企业深度协同、融通发展的新型产业组织模式，提高供应链运行效率。发挥龙头骨干对供应链的引领带动作用，推动建立联合培训、标准共享的协同管理体系；打造多方共赢、可持续发展的供应体系，带动上下游中小企业协同发展。推动基于融通模式的区域产业生态。鼓励高校、科研单位向中小企业开放仪器设备和实验室。鼓励建立龙头骨干带动的专业化配套集群。探索建立产学研协同区域创新网络，推动大中小企业针对产业、区域的共性技术需求展开联合攻关，加快共性技术研发和应用。打通区域内外企业信息链和资金链，加速区域内外大中小企业创新能力、生产能力、市场能力的有效对接，推动资源能力的跨行业、跨区域融合互补，提升产业协同效率。强化品牌意识，制定区域品牌发展战略，探索共建共享区域品牌的路径和方式，促进企业品牌与区域品牌互动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26" w:name="_Toc1233520595_WPSOffice_Level2"/>
      <w:r>
        <w:rPr>
          <w:rFonts w:hint="default" w:ascii="Nimbus Roman No9 L" w:hAnsi="Nimbus Roman No9 L" w:eastAsia="楷体_GB2312" w:cs="Nimbus Roman No9 L"/>
          <w:color w:val="auto"/>
          <w:sz w:val="32"/>
          <w:szCs w:val="32"/>
        </w:rPr>
        <w:t>（六）健全中小企业投融资机制</w:t>
      </w:r>
      <w:bookmarkEnd w:id="26"/>
    </w:p>
    <w:p>
      <w:pPr>
        <w:pStyle w:val="2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1.完善中小企业融资担保体系</w:t>
      </w:r>
    </w:p>
    <w:p>
      <w:pPr>
        <w:pStyle w:val="2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健全政府性融资担保体系，发挥国家融资担保基金作用，落实小微企业融资担保降费奖补政策，引导政府性融资担保机构扩大小微企业融资担保业务规模、降低担保费率水平。着力发挥中央财政资金引导撬动作用，为金融机构</w:t>
      </w:r>
      <w:r>
        <w:rPr>
          <w:rFonts w:hint="default" w:ascii="Nimbus Roman No9 L" w:hAnsi="Nimbus Roman No9 L" w:eastAsia="仿宋_GB2312" w:cs="Nimbus Roman No9 L"/>
          <w:color w:val="auto"/>
          <w:sz w:val="32"/>
          <w:szCs w:val="32"/>
          <w:lang w:eastAsia="zh-Hans"/>
        </w:rPr>
        <w:t>特别是中小银行</w:t>
      </w:r>
      <w:r>
        <w:rPr>
          <w:rFonts w:hint="default" w:ascii="Nimbus Roman No9 L" w:hAnsi="Nimbus Roman No9 L" w:eastAsia="仿宋_GB2312" w:cs="Nimbus Roman No9 L"/>
          <w:color w:val="auto"/>
          <w:sz w:val="32"/>
          <w:szCs w:val="32"/>
        </w:rPr>
        <w:t>提供贷款补偿或担保代偿，推动其改善与提升金融信贷支持与服务水平。鼓励银行业金融机构加大与政府性融资担保机构合作，合理确定风险分担比例和担保贷款风险权重，提高小微企业融资可获得性。</w:t>
      </w:r>
    </w:p>
    <w:p>
      <w:pPr>
        <w:pStyle w:val="2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2.</w:t>
      </w:r>
      <w:r>
        <w:rPr>
          <w:rFonts w:hint="default" w:ascii="Nimbus Roman No9 L" w:hAnsi="Nimbus Roman No9 L" w:eastAsia="仿宋_GB2312" w:cs="Nimbus Roman No9 L"/>
          <w:b/>
          <w:color w:val="auto"/>
          <w:sz w:val="32"/>
          <w:szCs w:val="32"/>
        </w:rPr>
        <w:t>搭建银企融资综合服务平台</w:t>
      </w:r>
    </w:p>
    <w:p>
      <w:pPr>
        <w:pStyle w:val="2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建立</w:t>
      </w:r>
      <w:r>
        <w:rPr>
          <w:rFonts w:hint="default" w:ascii="Nimbus Roman No9 L" w:hAnsi="Nimbus Roman No9 L" w:eastAsia="仿宋_GB2312" w:cs="Nimbus Roman No9 L"/>
          <w:color w:val="auto"/>
          <w:sz w:val="32"/>
          <w:szCs w:val="32"/>
          <w:lang w:eastAsia="zh-Hans"/>
        </w:rPr>
        <w:t>金融机构信用体系，继续拓宽企业和个人征信系统信用范围，完善中小企业信用征信数据库，实施信用风险分级管理和联合奖惩。</w:t>
      </w:r>
      <w:r>
        <w:rPr>
          <w:rFonts w:hint="default" w:ascii="Nimbus Roman No9 L" w:hAnsi="Nimbus Roman No9 L" w:eastAsia="仿宋_GB2312" w:cs="Nimbus Roman No9 L"/>
          <w:color w:val="auto"/>
          <w:sz w:val="32"/>
          <w:szCs w:val="32"/>
        </w:rPr>
        <w:t>优化完善大数据普惠金融应用，建立完善支持中小企业融资综合信用服务平台、银税互动等平台。加快“金融超市”应用建设进度，实现各类普惠金融业务一键查询、精准匹配，深度融合政府、企业、银行资源，打造金融微生态，提高中小企业融资服务效率和覆盖面。鼓励金融机构创新产品和服务，发展便利续贷业务和信用贷款，增加小微企业首贷、中长期贷款、知识产权质押贷款等，开展供应链金融、应收账款融资，加强银税互动。推动金融科技赋能金融机构服务中小企业。降低小微企业综合性融资成本。  </w:t>
      </w:r>
    </w:p>
    <w:p>
      <w:pPr>
        <w:pStyle w:val="2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3.</w:t>
      </w:r>
      <w:r>
        <w:rPr>
          <w:rFonts w:hint="default" w:ascii="Nimbus Roman No9 L" w:hAnsi="Nimbus Roman No9 L" w:eastAsia="仿宋_GB2312" w:cs="Nimbus Roman No9 L"/>
          <w:b/>
          <w:color w:val="auto"/>
          <w:sz w:val="32"/>
          <w:szCs w:val="32"/>
        </w:rPr>
        <w:t>鼓励中小企业直接融资</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kern w:val="2"/>
          <w:sz w:val="32"/>
          <w:szCs w:val="32"/>
          <w:lang w:val="en-US" w:eastAsia="zh-CN" w:bidi="ar-SA"/>
        </w:rPr>
        <w:t>引导天使投资人群体、私募股权、创业投资等扩大中小企业股权融资，更多地投长、投早、投小、投创新。加大对小升规、规改股、股上市企业的支持，完善中小企业上市培育机制，落实企业上市挂牌专项资金奖补政策。</w:t>
      </w:r>
      <w:r>
        <w:rPr>
          <w:rFonts w:hint="default" w:ascii="Nimbus Roman No9 L" w:hAnsi="Nimbus Roman No9 L" w:eastAsia="仿宋_GB2312" w:cs="Nimbus Roman No9 L"/>
          <w:color w:val="auto"/>
          <w:kern w:val="2"/>
          <w:sz w:val="32"/>
          <w:szCs w:val="32"/>
          <w:lang w:val="en-US" w:eastAsia="zh-Hans" w:bidi="ar-SA"/>
        </w:rPr>
        <w:t>积极</w:t>
      </w:r>
      <w:r>
        <w:rPr>
          <w:rFonts w:hint="default" w:ascii="Nimbus Roman No9 L" w:hAnsi="Nimbus Roman No9 L" w:eastAsia="仿宋_GB2312" w:cs="Nimbus Roman No9 L"/>
          <w:color w:val="auto"/>
          <w:kern w:val="2"/>
          <w:sz w:val="32"/>
          <w:szCs w:val="32"/>
          <w:lang w:val="en-US" w:eastAsia="zh-CN" w:bidi="ar-SA"/>
        </w:rPr>
        <w:t>扩大区域性股权交易市</w:t>
      </w:r>
      <w:r>
        <w:rPr>
          <w:rFonts w:hint="default" w:ascii="Nimbus Roman No9 L" w:hAnsi="Nimbus Roman No9 L" w:eastAsia="仿宋_GB2312" w:cs="Nimbus Roman No9 L"/>
          <w:color w:val="auto"/>
          <w:kern w:val="2"/>
          <w:sz w:val="32"/>
          <w:szCs w:val="32"/>
          <w:lang w:val="en-US" w:eastAsia="zh-Hans" w:bidi="ar-SA"/>
        </w:rPr>
        <w:t>场规模，</w:t>
      </w:r>
      <w:r>
        <w:rPr>
          <w:rFonts w:hint="default" w:ascii="Nimbus Roman No9 L" w:hAnsi="Nimbus Roman No9 L" w:eastAsia="仿宋_GB2312" w:cs="Nimbus Roman No9 L"/>
          <w:color w:val="auto"/>
          <w:kern w:val="2"/>
          <w:sz w:val="32"/>
          <w:szCs w:val="32"/>
          <w:lang w:val="en-US" w:eastAsia="zh-CN" w:bidi="ar-SA"/>
        </w:rPr>
        <w:t>把区域性股权市场打造成为专业、高效、安全的中小企业直接投融资市场。提高股权交易市场的交易流动性，帮助非上市挂牌中小企业快速获得股权融资。加大优质中小企业债券融资，通过市场化机制开发更多适合中小企业的债券品种，完善中小企业债券融资增信机制，扩大债券融资规模。 </w:t>
      </w:r>
      <w:r>
        <w:rPr>
          <w:rFonts w:hint="default" w:ascii="Nimbus Roman No9 L" w:hAnsi="Nimbus Roman No9 L" w:eastAsia="仿宋_GB2312" w:cs="Nimbus Roman No9 L"/>
          <w:color w:val="auto"/>
          <w:sz w:val="32"/>
          <w:szCs w:val="32"/>
        </w:rPr>
        <w:t>      </w:t>
      </w:r>
      <w:bookmarkStart w:id="27" w:name="_Toc64906435"/>
    </w:p>
    <w:bookmarkEnd w:id="27"/>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28" w:name="_Toc1450532574_WPSOffice_Level2"/>
      <w:bookmarkStart w:id="29" w:name="bookmark4"/>
      <w:r>
        <w:rPr>
          <w:rFonts w:hint="default" w:ascii="Nimbus Roman No9 L" w:hAnsi="Nimbus Roman No9 L" w:eastAsia="楷体_GB2312" w:cs="Nimbus Roman No9 L"/>
          <w:color w:val="auto"/>
          <w:sz w:val="32"/>
          <w:szCs w:val="32"/>
        </w:rPr>
        <w:t>（七）提升中小企业人才服务水平</w:t>
      </w:r>
      <w:bookmarkEnd w:id="28"/>
    </w:p>
    <w:p>
      <w:pPr>
        <w:pStyle w:val="2"/>
        <w:keepNext w:val="0"/>
        <w:keepLines w:val="0"/>
        <w:pageBreakBefore w:val="0"/>
        <w:widowControl w:val="0"/>
        <w:kinsoku/>
        <w:wordWrap/>
        <w:overflowPunct/>
        <w:topLinePunct w:val="0"/>
        <w:autoSpaceDE/>
        <w:autoSpaceDN/>
        <w:bidi w:val="0"/>
        <w:adjustRightInd/>
        <w:snapToGrid/>
        <w:spacing w:before="0" w:line="580" w:lineRule="exact"/>
        <w:ind w:firstLine="642" w:firstLineChars="200"/>
        <w:jc w:val="both"/>
        <w:textAlignment w:val="auto"/>
        <w:rPr>
          <w:rFonts w:hint="default" w:ascii="Nimbus Roman No9 L" w:hAnsi="Nimbus Roman No9 L" w:cs="Nimbus Roman No9 L"/>
          <w:b/>
          <w:color w:val="auto"/>
          <w:sz w:val="32"/>
          <w:szCs w:val="32"/>
        </w:rPr>
      </w:pPr>
      <w:r>
        <w:rPr>
          <w:rFonts w:hint="default" w:ascii="Nimbus Roman No9 L" w:hAnsi="Nimbus Roman No9 L" w:cs="Nimbus Roman No9 L"/>
          <w:b/>
          <w:color w:val="auto"/>
          <w:sz w:val="32"/>
          <w:szCs w:val="32"/>
        </w:rPr>
        <w:t>1.加强人才培养和引进</w:t>
      </w:r>
    </w:p>
    <w:p>
      <w:pPr>
        <w:pStyle w:val="2"/>
        <w:keepNext w:val="0"/>
        <w:keepLines w:val="0"/>
        <w:pageBreakBefore w:val="0"/>
        <w:widowControl w:val="0"/>
        <w:kinsoku/>
        <w:wordWrap/>
        <w:overflowPunct/>
        <w:topLinePunct w:val="0"/>
        <w:autoSpaceDE/>
        <w:autoSpaceDN/>
        <w:bidi w:val="0"/>
        <w:adjustRightInd/>
        <w:snapToGrid/>
        <w:spacing w:before="0" w:line="580" w:lineRule="exact"/>
        <w:ind w:firstLine="640" w:firstLineChars="200"/>
        <w:jc w:val="both"/>
        <w:textAlignment w:val="auto"/>
        <w:rPr>
          <w:rFonts w:hint="default" w:ascii="Nimbus Roman No9 L" w:hAnsi="Nimbus Roman No9 L" w:cs="Nimbus Roman No9 L"/>
          <w:color w:val="auto"/>
          <w:sz w:val="32"/>
          <w:szCs w:val="32"/>
        </w:rPr>
      </w:pPr>
      <w:r>
        <w:rPr>
          <w:rFonts w:hint="default" w:ascii="Nimbus Roman No9 L" w:hAnsi="Nimbus Roman No9 L" w:cs="Nimbus Roman No9 L"/>
          <w:color w:val="auto"/>
          <w:sz w:val="32"/>
          <w:szCs w:val="32"/>
        </w:rPr>
        <w:t>推动一批重点产业（人才）联盟建设，营造“政府搭台、人才主角、产业发展”的人才与产业融合发展的良好生态环境。高效对接政府、企业、人才，高标准运营产业（人才）联盟，发挥联盟在政产学研用等各个环节的沟通纽带作用。充分利用市“海河英才”行动计划，落实以企业需求为主导的定制化政策，放宽青年和紧缺人才落户通道。加强高层次人才引育，发挥天津（滨海）海外人才离岸创新创业基地等项目作用，发挥“世界智能大会”“津洽会”“华博会”“全国技能大赛”等平台作用，加强人才的对接及引进。突出“项目+团队”引进方式，鼓励领军人物打包人才团队、技术专利等资源“带土移植”，集聚一批高端科技项目和领军人才团队。加强高技能人才培养，全面推动“海河工匠”建设，鼓励企业、行业协会等开展职业技能培训。结合全国中小企业网上百日招聘高校毕业生活动，积极开展“订单式”培养，推动高校人才培养更好地服务中小企业发展。</w:t>
      </w:r>
    </w:p>
    <w:p>
      <w:pPr>
        <w:pStyle w:val="2"/>
        <w:keepNext w:val="0"/>
        <w:keepLines w:val="0"/>
        <w:pageBreakBefore w:val="0"/>
        <w:widowControl w:val="0"/>
        <w:kinsoku/>
        <w:wordWrap/>
        <w:overflowPunct/>
        <w:topLinePunct w:val="0"/>
        <w:autoSpaceDE/>
        <w:autoSpaceDN/>
        <w:bidi w:val="0"/>
        <w:adjustRightInd/>
        <w:snapToGrid/>
        <w:spacing w:before="0" w:line="580" w:lineRule="exact"/>
        <w:ind w:firstLine="642" w:firstLineChars="200"/>
        <w:jc w:val="both"/>
        <w:textAlignment w:val="auto"/>
        <w:rPr>
          <w:rFonts w:hint="default" w:ascii="Nimbus Roman No9 L" w:hAnsi="Nimbus Roman No9 L" w:cs="Nimbus Roman No9 L"/>
          <w:b/>
          <w:color w:val="auto"/>
          <w:sz w:val="32"/>
          <w:szCs w:val="32"/>
        </w:rPr>
      </w:pPr>
      <w:r>
        <w:rPr>
          <w:rFonts w:hint="default" w:ascii="Nimbus Roman No9 L" w:hAnsi="Nimbus Roman No9 L" w:cs="Nimbus Roman No9 L"/>
          <w:b/>
          <w:color w:val="auto"/>
          <w:sz w:val="32"/>
          <w:szCs w:val="32"/>
          <w:lang w:val="en-US" w:eastAsia="zh-CN"/>
        </w:rPr>
        <w:t>2.</w:t>
      </w:r>
      <w:r>
        <w:rPr>
          <w:rFonts w:hint="default" w:ascii="Nimbus Roman No9 L" w:hAnsi="Nimbus Roman No9 L" w:cs="Nimbus Roman No9 L"/>
          <w:b/>
          <w:color w:val="auto"/>
          <w:sz w:val="32"/>
          <w:szCs w:val="32"/>
        </w:rPr>
        <w:t>重视培育企业家队伍</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围绕企业生产经营、资本运作、创业创新、转型升级等主题，构建多领域、多层次、线上线下相结合的中小企业培训体系，做好中小企业经营管理领军人才培训，提升中小企业经营管理水平。强化企业管理规范经营，引导中小企业自觉规范经营行为，坚持依法办企、公平竞争、诚信经营。鼓励企业科学决策，在发展壮大过程中聚焦实业、做精主业，弘扬工匠精神，不断提高行业竞争力。构建亲清政商关系，推动企业家参与制定涉企政策，充分听取企业家意见建议。树立优秀企业家典型，大力弘扬企业家精神。</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30" w:name="_Toc956357877_WPSOffice_Level2"/>
      <w:r>
        <w:rPr>
          <w:rFonts w:hint="default" w:ascii="Nimbus Roman No9 L" w:hAnsi="Nimbus Roman No9 L" w:eastAsia="楷体_GB2312" w:cs="Nimbus Roman No9 L"/>
          <w:color w:val="auto"/>
          <w:sz w:val="32"/>
          <w:szCs w:val="32"/>
        </w:rPr>
        <w:t>（</w:t>
      </w:r>
      <w:r>
        <w:rPr>
          <w:rFonts w:hint="default" w:ascii="Nimbus Roman No9 L" w:hAnsi="Nimbus Roman No9 L" w:eastAsia="楷体_GB2312" w:cs="Nimbus Roman No9 L"/>
          <w:color w:val="auto"/>
          <w:sz w:val="32"/>
          <w:szCs w:val="32"/>
          <w:lang w:eastAsia="zh-CN"/>
        </w:rPr>
        <w:t>八</w:t>
      </w:r>
      <w:r>
        <w:rPr>
          <w:rFonts w:hint="default" w:ascii="Nimbus Roman No9 L" w:hAnsi="Nimbus Roman No9 L" w:eastAsia="楷体_GB2312" w:cs="Nimbus Roman No9 L"/>
          <w:color w:val="auto"/>
          <w:sz w:val="32"/>
          <w:szCs w:val="32"/>
        </w:rPr>
        <w:t>）完善中小企业发展营商环境</w:t>
      </w:r>
      <w:bookmarkEnd w:id="30"/>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eastAsia="zh-CN"/>
        </w:rPr>
      </w:pPr>
      <w:r>
        <w:rPr>
          <w:rFonts w:hint="default" w:ascii="Nimbus Roman No9 L" w:hAnsi="Nimbus Roman No9 L" w:eastAsia="仿宋_GB2312" w:cs="Nimbus Roman No9 L"/>
          <w:b/>
          <w:color w:val="auto"/>
          <w:sz w:val="32"/>
          <w:szCs w:val="32"/>
        </w:rPr>
        <w:t>1.优化公平竞争的市场环境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全面实施市场准入负面清单制度，公正公平对待中小企业，破除不合理门槛和限制，实现大中小企业和各种所有制经济权利平等、机会平等、规则平等。全面落实公平竞争审查制度，完善审查流程和标准，建立健全公平竞争审查投诉、公示、抽查制度。加强和改进反垄断和反不正当竞争执法，维护市场竞争秩序。鼓励中小企业依法进入市政公用事业、国防科技、节能环保等相关领域，推动石油化工、电力、天然气等产业的竞争性业务领域向社会资本释放更大发展空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lang w:eastAsia="zh-CN"/>
        </w:rPr>
      </w:pPr>
      <w:r>
        <w:rPr>
          <w:rFonts w:hint="default" w:ascii="Nimbus Roman No9 L" w:hAnsi="Nimbus Roman No9 L" w:eastAsia="仿宋_GB2312" w:cs="Nimbus Roman No9 L"/>
          <w:b/>
          <w:color w:val="auto"/>
          <w:sz w:val="32"/>
          <w:szCs w:val="32"/>
          <w:lang w:val="en-US" w:eastAsia="zh-CN"/>
        </w:rPr>
        <w:t>2.</w:t>
      </w:r>
      <w:r>
        <w:rPr>
          <w:rFonts w:hint="default" w:ascii="Nimbus Roman No9 L" w:hAnsi="Nimbus Roman No9 L" w:eastAsia="仿宋_GB2312" w:cs="Nimbus Roman No9 L"/>
          <w:b/>
          <w:color w:val="auto"/>
          <w:sz w:val="32"/>
          <w:szCs w:val="32"/>
        </w:rPr>
        <w:t>完善便捷高效的</w:t>
      </w:r>
      <w:r>
        <w:rPr>
          <w:rFonts w:hint="default" w:ascii="Nimbus Roman No9 L" w:hAnsi="Nimbus Roman No9 L" w:eastAsia="仿宋_GB2312" w:cs="Nimbus Roman No9 L"/>
          <w:b/>
          <w:color w:val="auto"/>
          <w:sz w:val="32"/>
          <w:szCs w:val="32"/>
          <w:lang w:eastAsia="zh-CN"/>
        </w:rPr>
        <w:t>政务</w:t>
      </w:r>
      <w:r>
        <w:rPr>
          <w:rFonts w:hint="default" w:ascii="Nimbus Roman No9 L" w:hAnsi="Nimbus Roman No9 L" w:eastAsia="仿宋_GB2312" w:cs="Nimbus Roman No9 L"/>
          <w:b/>
          <w:color w:val="auto"/>
          <w:sz w:val="32"/>
          <w:szCs w:val="32"/>
        </w:rPr>
        <w:t>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深入贯彻落实国家《优化营商环境条例》和《天津市优化营商环境条例》，进一步增强服务意识，切实转变工作作风，为市场主体提供规范、便捷、高效的政务服务。深化“放管服”改革，</w:t>
      </w:r>
      <w:r>
        <w:rPr>
          <w:rFonts w:hint="default" w:ascii="Nimbus Roman No9 L" w:hAnsi="Nimbus Roman No9 L" w:eastAsia="仿宋_GB2312" w:cs="Nimbus Roman No9 L"/>
          <w:color w:val="auto"/>
          <w:sz w:val="32"/>
          <w:szCs w:val="32"/>
          <w:lang w:eastAsia="zh-CN"/>
        </w:rPr>
        <w:t>提高审批改革水平</w:t>
      </w:r>
      <w:r>
        <w:rPr>
          <w:rFonts w:hint="default" w:ascii="Nimbus Roman No9 L" w:hAnsi="Nimbus Roman No9 L" w:eastAsia="仿宋_GB2312" w:cs="Nimbus Roman No9 L"/>
          <w:color w:val="auto"/>
          <w:sz w:val="32"/>
          <w:szCs w:val="32"/>
        </w:rPr>
        <w:t>，深化审管联动机制创新，深化“证照分离”改革，加快实施“互联网+政务服务”，</w:t>
      </w:r>
      <w:r>
        <w:rPr>
          <w:rFonts w:hint="default" w:ascii="Nimbus Roman No9 L" w:hAnsi="Nimbus Roman No9 L" w:eastAsia="仿宋_GB2312" w:cs="Nimbus Roman No9 L"/>
          <w:color w:val="auto"/>
          <w:sz w:val="32"/>
          <w:szCs w:val="32"/>
          <w:lang w:eastAsia="zh-CN"/>
        </w:rPr>
        <w:t>按照“应进尽进”“应办进办”的要求，推动政务服务事项</w:t>
      </w:r>
      <w:r>
        <w:rPr>
          <w:rFonts w:hint="default" w:ascii="Nimbus Roman No9 L" w:hAnsi="Nimbus Roman No9 L" w:eastAsia="仿宋_GB2312" w:cs="Nimbus Roman No9 L"/>
          <w:color w:val="auto"/>
          <w:sz w:val="32"/>
          <w:szCs w:val="32"/>
        </w:rPr>
        <w:t>“只进一扇门”和“网上可办”</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积极承接市级下放管理权限</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主动承接规划建设、生态环境、金融创新等方面市级经济管理权限，积极承接市级委托或直接下放的权力事项，推动各开发区按需承接。积极开展事权下放效果评估工作，促进下放事项发挥更大功效。建立跟踪服务机制，为中小企业提供覆盖全生命周期的服务，促进政府与企业、行业协会、商会等联系沟通常态化。深入推进政务服务标准化，巩固完善“好差评”制度，及时监督政务服务行为</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营造办事方便、法治良好、成本竞争力强、生态宜居的一流营商环境。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3.</w:t>
      </w:r>
      <w:r>
        <w:rPr>
          <w:rFonts w:hint="default" w:ascii="Nimbus Roman No9 L" w:hAnsi="Nimbus Roman No9 L" w:eastAsia="仿宋_GB2312" w:cs="Nimbus Roman No9 L"/>
          <w:b/>
          <w:color w:val="auto"/>
          <w:sz w:val="32"/>
          <w:szCs w:val="32"/>
        </w:rPr>
        <w:t>营造司法公正的法治环境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加强法治建设，保障中小企业依法平等使用资源要素，公开公平公正参与市场竞争。坚持执法、司法等各环节依法、平等、全方位保护中小企业产权和中小企业家的人身、财产合法权益。依法平等保护企业、职工合法权益。整合律师、公证、司法鉴定、调解、仲裁等公共法律服务资源，全面提升公共法律服务水平和质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bookmarkStart w:id="31" w:name="_Toc13737"/>
      <w:r>
        <w:rPr>
          <w:rFonts w:hint="default" w:ascii="Nimbus Roman No9 L" w:hAnsi="Nimbus Roman No9 L" w:eastAsia="仿宋_GB2312" w:cs="Nimbus Roman No9 L"/>
          <w:b/>
          <w:color w:val="auto"/>
          <w:sz w:val="32"/>
          <w:szCs w:val="32"/>
          <w:lang w:val="en-US" w:eastAsia="zh-CN"/>
        </w:rPr>
        <w:t>4.</w:t>
      </w:r>
      <w:r>
        <w:rPr>
          <w:rFonts w:hint="default" w:ascii="Nimbus Roman No9 L" w:hAnsi="Nimbus Roman No9 L" w:eastAsia="仿宋_GB2312" w:cs="Nimbus Roman No9 L"/>
          <w:b/>
          <w:color w:val="auto"/>
          <w:sz w:val="32"/>
          <w:szCs w:val="32"/>
        </w:rPr>
        <w:t>构建高水平知识产权服务体系</w:t>
      </w:r>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运用互联网、大数据等手段，通过源头追溯、实时监测、在线识别等强化知识产权保护，加快建立侵权惩罚性赔偿制度，提高违法成本，保护中小企业创新研发成果。组织实施中小企业知识产权战略推进工程，开展专利导航，助推中小企业技术研发布局，推广知识产权辅导、预警、代理、托管等服务。加强对知识产权服务机构的招商力度，充分发挥中国（天津）知识产权保护中心、中国（滨海新区）知识产权保护中心作用，完善快速预审机制。引进一批高端知识产权服务机构，培育发展专利风险识别与控制、专利预警分析、竞争对手专利地图绘制、企业知识产权战略规划等高端知识产权服务。组建知识产权专家智库，整合保护中心、知识产权服务机构、知识产权密集型企业等多方资源，面对新区知识创造、运用、保护提供智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rPr>
      </w:pPr>
      <w:bookmarkStart w:id="32" w:name="_Toc1326692305_WPSOffice_Level2"/>
      <w:bookmarkStart w:id="33" w:name="bookmark7"/>
      <w:r>
        <w:rPr>
          <w:rFonts w:hint="default" w:ascii="Nimbus Roman No9 L" w:hAnsi="Nimbus Roman No9 L" w:eastAsia="楷体_GB2312" w:cs="Nimbus Roman No9 L"/>
          <w:color w:val="auto"/>
          <w:sz w:val="32"/>
          <w:szCs w:val="32"/>
        </w:rPr>
        <w:t>（九）构建双循环新发展格局</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1.深度融入区域发展战略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鼓励支持有实力的中小企业深度参与京津冀协同发展、长江经济带发展、长江三角洲区域一体化发展、粤港澳大湾区建设等国家重大区域战略。积极参与非首都功能疏解产业承接转移，充分利用滨海中关村科技园作为综合承接平台，重点承接科技创新和研发转化、企业总部等项目资源，形成协同创新发展共赢。创新工作机制，全面对接中小企业发展领先地区，积极开展科技、金融、民生、基础设施等重点领域合作，加强产业链上下游要素协同发展，积极融入“国内大循环”新发展格局。引导中小企业紧抓“津城”“滨城”双城发展布局和乡村振兴战略机遇，积极参与补齐交通等基础设施和教育、医疗等公共服务短板领域建设，为建设生态、智慧、港产城融合的宜居宜业美丽“滨城”贡献力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US" w:eastAsia="zh-CN"/>
        </w:rPr>
        <w:t>2.</w:t>
      </w:r>
      <w:r>
        <w:rPr>
          <w:rFonts w:hint="default" w:ascii="Nimbus Roman No9 L" w:hAnsi="Nimbus Roman No9 L" w:eastAsia="仿宋_GB2312" w:cs="Nimbus Roman No9 L"/>
          <w:b/>
          <w:color w:val="auto"/>
          <w:sz w:val="32"/>
          <w:szCs w:val="32"/>
        </w:rPr>
        <w:t>促进中小企业国际交流合作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探索建设中小企业海外服务体系，探索中小企业国际化发展服务机制，在国际商务法务咨询、知识产权保护、技术性贸易措施、质量认证等方面为中小企业提供帮助。借力天津港建设世界一流港口契机，加快实施以天津港为枢纽的启运港退税、中转集拼政策，鼓励跨境电商等新业态发展，探索建立B2B出口监管制度，支持跨境电商优进优出。鼓励有条件的中小企业到境外建立原材料基地、研发设计基地和营销网络，支持中小企业收购境外先进技术和最新科研成果，并购、参股境外创新型中小企业，支持中小企业技术、品牌、营销、服务“走出去”，支持中小企业参加境内外展览展销活动。深度融入“一带一路”建设，全面融入全球产业链供应链大循环。加强与国际创新高地资源链接，聚焦新兴领域，发挥天津自贸试验区、天津自创区制度优势，开展多渠道、多层次的国际交流与合作。支持国际产能合作，加快推进天津意大利中小企业产业园等建设进度，积极引入国外有竞争力的装备和生产线、先进技术、管理经验。</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0" w:firstLineChars="0"/>
        <w:jc w:val="center"/>
        <w:textAlignment w:val="auto"/>
        <w:rPr>
          <w:rFonts w:hint="default" w:ascii="Nimbus Roman No9 L" w:hAnsi="Nimbus Roman No9 L" w:eastAsia="仿宋_GB2312" w:cs="Nimbus Roman No9 L"/>
          <w:b w:val="0"/>
          <w:bCs/>
          <w:color w:val="auto"/>
          <w:sz w:val="32"/>
          <w:szCs w:val="32"/>
        </w:rPr>
      </w:pPr>
      <w:bookmarkStart w:id="34" w:name="_Toc512384776_WPSOffice_Level3"/>
      <w:bookmarkStart w:id="35" w:name="_Toc1465512398_WPSOffice_Level3"/>
      <w:r>
        <w:rPr>
          <w:rFonts w:hint="default" w:ascii="Nimbus Roman No9 L" w:hAnsi="Nimbus Roman No9 L" w:eastAsia="仿宋_GB2312" w:cs="Nimbus Roman No9 L"/>
          <w:b w:val="0"/>
          <w:bCs/>
          <w:color w:val="auto"/>
          <w:sz w:val="32"/>
          <w:szCs w:val="32"/>
        </w:rPr>
        <w:t>专栏3：试点建设中外合作产业园区</w:t>
      </w:r>
      <w:bookmarkEnd w:id="34"/>
      <w:bookmarkEnd w:id="35"/>
    </w:p>
    <w:tbl>
      <w:tblPr>
        <w:tblStyle w:val="14"/>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33"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hint="default" w:ascii="Nimbus Roman No9 L" w:hAnsi="Nimbus Roman No9 L" w:eastAsia="楷体_GB2312" w:cs="Nimbus Roman No9 L"/>
                <w:b/>
                <w:color w:val="auto"/>
                <w:kern w:val="0"/>
                <w:sz w:val="28"/>
                <w:szCs w:val="28"/>
              </w:rPr>
            </w:pPr>
            <w:r>
              <w:rPr>
                <w:rFonts w:hint="default" w:ascii="Nimbus Roman No9 L" w:hAnsi="Nimbus Roman No9 L" w:eastAsia="仿宋_GB2312" w:cs="Nimbus Roman No9 L"/>
                <w:color w:val="auto"/>
                <w:kern w:val="0"/>
                <w:sz w:val="24"/>
                <w:szCs w:val="24"/>
              </w:rPr>
              <w:t>天津意大利中小企业产业园。重点围绕“智能科技”、“大健康”、“设计创意”三大产业板块，持续深化推动中意科技合作，重点支持中意科技创新合作服务平台建设，持续推动意大利优质资源落地天津意大利中小企业产业园，助力中意科技合作迈向新高度。天津意大利中小企业产业园将建设成符合意大利中小企业生产经营需求、适合员工生活的特色园区，为意大利中小企业提供务实、开放、高效的营商环境，为中意经贸合作、文化交流、产业深度融合提供服务保障，支持意大利中小企业立足天津，面向全国，开拓亚洲市场。</w:t>
            </w:r>
          </w:p>
        </w:tc>
      </w:tr>
      <w:bookmarkEnd w:id="33"/>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Nimbus Roman No9 L" w:hAnsi="Nimbus Roman No9 L" w:eastAsia="黑体" w:cs="Nimbus Roman No9 L"/>
          <w:color w:val="auto"/>
          <w:sz w:val="32"/>
          <w:szCs w:val="32"/>
        </w:rPr>
      </w:pPr>
      <w:bookmarkStart w:id="36" w:name="_Toc1662947068_WPSOffice_Level1"/>
      <w:r>
        <w:rPr>
          <w:rFonts w:hint="default" w:ascii="Nimbus Roman No9 L" w:hAnsi="Nimbus Roman No9 L" w:eastAsia="黑体" w:cs="Nimbus Roman No9 L"/>
          <w:color w:val="auto"/>
          <w:sz w:val="32"/>
          <w:szCs w:val="32"/>
        </w:rPr>
        <w:t>四、保障措施</w:t>
      </w:r>
      <w:bookmarkEnd w:id="3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lang w:val="en"/>
        </w:rPr>
      </w:pPr>
      <w:bookmarkStart w:id="37" w:name="_Toc1673635658_WPSOffice_Level2"/>
      <w:r>
        <w:rPr>
          <w:rFonts w:hint="default" w:ascii="Nimbus Roman No9 L" w:hAnsi="Nimbus Roman No9 L" w:eastAsia="楷体_GB2312" w:cs="Nimbus Roman No9 L"/>
          <w:color w:val="auto"/>
          <w:sz w:val="32"/>
          <w:szCs w:val="32"/>
          <w:lang w:val="en"/>
        </w:rPr>
        <w:t>（</w:t>
      </w:r>
      <w:r>
        <w:rPr>
          <w:rFonts w:hint="default" w:ascii="Nimbus Roman No9 L" w:hAnsi="Nimbus Roman No9 L" w:eastAsia="楷体_GB2312" w:cs="Nimbus Roman No9 L"/>
          <w:color w:val="auto"/>
          <w:sz w:val="32"/>
          <w:szCs w:val="32"/>
          <w:lang w:val="en" w:eastAsia="zh-CN"/>
        </w:rPr>
        <w:t>一</w:t>
      </w:r>
      <w:r>
        <w:rPr>
          <w:rFonts w:hint="default" w:ascii="Nimbus Roman No9 L" w:hAnsi="Nimbus Roman No9 L" w:eastAsia="楷体_GB2312" w:cs="Nimbus Roman No9 L"/>
          <w:color w:val="auto"/>
          <w:sz w:val="32"/>
          <w:szCs w:val="32"/>
          <w:lang w:val="en"/>
        </w:rPr>
        <w:t>）加强组织领导</w:t>
      </w:r>
      <w:bookmarkEnd w:id="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充分发挥滨海新区促进中小企业发展领导小组作用，完善跨部门协调联动工作机制，明确任务分工，强化责任考核，统筹政策、整合资源、协同创新。加强中小企业主管部门队伍建设，促进</w:t>
      </w:r>
      <w:r>
        <w:rPr>
          <w:rFonts w:hint="default" w:ascii="Nimbus Roman No9 L" w:hAnsi="Nimbus Roman No9 L" w:eastAsia="仿宋_GB2312" w:cs="Nimbus Roman No9 L"/>
          <w:color w:val="auto"/>
          <w:sz w:val="32"/>
          <w:szCs w:val="32"/>
        </w:rPr>
        <w:fldChar w:fldCharType="begin"/>
      </w:r>
      <w:r>
        <w:rPr>
          <w:rFonts w:hint="default" w:ascii="Nimbus Roman No9 L" w:hAnsi="Nimbus Roman No9 L" w:eastAsia="仿宋_GB2312" w:cs="Nimbus Roman No9 L"/>
          <w:color w:val="auto"/>
          <w:sz w:val="32"/>
          <w:szCs w:val="32"/>
        </w:rPr>
        <w:instrText xml:space="preserve"> HYPERLINK "https://baike.baidu.com/item/%E4%B8%AD%E5%B0%8F%E4%BC%81%E4%B8%9A%E6%94%BF%E7%AD%96/3769678" \t "_blank" </w:instrText>
      </w:r>
      <w:r>
        <w:rPr>
          <w:rFonts w:hint="default" w:ascii="Nimbus Roman No9 L" w:hAnsi="Nimbus Roman No9 L" w:eastAsia="仿宋_GB2312" w:cs="Nimbus Roman No9 L"/>
          <w:color w:val="auto"/>
          <w:sz w:val="32"/>
          <w:szCs w:val="32"/>
        </w:rPr>
        <w:fldChar w:fldCharType="separate"/>
      </w:r>
      <w:r>
        <w:rPr>
          <w:rFonts w:hint="default" w:ascii="Nimbus Roman No9 L" w:hAnsi="Nimbus Roman No9 L" w:eastAsia="仿宋_GB2312" w:cs="Nimbus Roman No9 L"/>
          <w:color w:val="auto"/>
          <w:sz w:val="32"/>
          <w:szCs w:val="32"/>
        </w:rPr>
        <w:t>中小企业政策</w:t>
      </w:r>
      <w:r>
        <w:rPr>
          <w:rFonts w:hint="default" w:ascii="Nimbus Roman No9 L" w:hAnsi="Nimbus Roman No9 L" w:eastAsia="仿宋_GB2312" w:cs="Nimbus Roman No9 L"/>
          <w:color w:val="auto"/>
          <w:sz w:val="32"/>
          <w:szCs w:val="32"/>
        </w:rPr>
        <w:fldChar w:fldCharType="end"/>
      </w:r>
      <w:r>
        <w:rPr>
          <w:rFonts w:hint="default" w:ascii="Nimbus Roman No9 L" w:hAnsi="Nimbus Roman No9 L" w:eastAsia="仿宋_GB2312" w:cs="Nimbus Roman No9 L"/>
          <w:color w:val="auto"/>
          <w:sz w:val="32"/>
          <w:szCs w:val="32"/>
        </w:rPr>
        <w:t>制定和服务工作迈上新台阶。加强规划宣传和工作指导，形成规划实施合力。积极调动行业协会、商会等社会服务组织积极性，充分发挥其整合资源、服务企业的桥梁纽带作用，引导各类协会、商会加强自身建设，主动服务新区改革发展稳定大局，依法依规开展活动，积极承接政府职能转移，在宣传政策、开拓市场、提供服务、反映诉求、维护权益、加强自律等方面积极发挥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lang w:val="en"/>
        </w:rPr>
      </w:pPr>
      <w:bookmarkStart w:id="38" w:name="_Toc573010371_WPSOffice_Level2"/>
      <w:r>
        <w:rPr>
          <w:rFonts w:hint="default" w:ascii="Nimbus Roman No9 L" w:hAnsi="Nimbus Roman No9 L" w:eastAsia="楷体_GB2312" w:cs="Nimbus Roman No9 L"/>
          <w:color w:val="auto"/>
          <w:sz w:val="32"/>
          <w:szCs w:val="32"/>
          <w:lang w:val="en"/>
        </w:rPr>
        <w:t>（二）提升公共服务水平</w:t>
      </w:r>
      <w:bookmarkEnd w:id="3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规范中介机构行为，提升会计、律师、资产评估、信息等各方面中介服务质量水平，优先为中小企业提供优质高效的信息咨询、创业辅导、技术支持、投资融资、知识产权、财会税务、法律咨询等服务。以市场化服务为主，以“互联网+”为特征，强化线上线下服务相结合，突出协同服务、精准服务，着力形成广覆盖、有特色、服务优的滨海新区中小企业服务体系，为中小企业提供公益性服务和增值性服务。引导社会化的力量参与平台网络建设，坚持政府引导与市场化发展相结合，推进与生产力促进、科技成果转化、创业就业培训、普惠金融政策支持等社会化服务机构的协同与合作。完善“政策云计算”应用功能，搭建跨部门的中小企业政策信息搜索引擎，开发“滨海政企通”APP，及时汇集涉及中小企业的法律法规、创新创业、财税金融、权益保护等各类政策，实现政府线上服务功能，为中小企业提供一站式服务。大力宣传促进中小企业发展的方针政策与法律法规，组织实施“政策翻译官”企业万家行活动，形成有利于中小企业健康发展的良好社会舆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lang w:val="en"/>
        </w:rPr>
      </w:pPr>
      <w:bookmarkStart w:id="39" w:name="_Toc559510018_WPSOffice_Level2"/>
      <w:r>
        <w:rPr>
          <w:rFonts w:hint="default" w:ascii="Nimbus Roman No9 L" w:hAnsi="Nimbus Roman No9 L" w:eastAsia="楷体_GB2312" w:cs="Nimbus Roman No9 L"/>
          <w:color w:val="auto"/>
          <w:sz w:val="32"/>
          <w:szCs w:val="32"/>
          <w:lang w:val="en"/>
        </w:rPr>
        <w:t>（三）落实中小企业政策法规</w:t>
      </w:r>
      <w:bookmarkEnd w:id="39"/>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全面贯彻落实《中华人民共和国中小企业促进法》</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color w:val="auto"/>
          <w:sz w:val="32"/>
          <w:szCs w:val="32"/>
          <w:lang w:eastAsia="zh-CN"/>
        </w:rPr>
        <w:t>天津市促进中小企业发展条例</w:t>
      </w:r>
      <w:r>
        <w:rPr>
          <w:rFonts w:hint="default" w:ascii="Nimbus Roman No9 L" w:hAnsi="Nimbus Roman No9 L" w:eastAsia="仿宋_GB2312" w:cs="Nimbus Roman No9 L"/>
          <w:color w:val="auto"/>
          <w:sz w:val="32"/>
          <w:szCs w:val="32"/>
        </w:rPr>
        <w:t>》等政策法规。发挥中小企业维权服务机构作用，支持中小企业服务机构帮助中小企业提高维权的意识和能力。规范市场主体交易行为，落实《保障中小企业款项支付条例》，预防和化解机关、事业单位和大型企业拖欠中小企业账款问题，用法律手段根除拖欠中小企业账款的症结，防止政府部门和大企业等利用市场优势地位侵害中小企业权益，保护中小企业的生存和发展，维护中小企业的合法权益，完善政府采购支持中小企业的政策。为中小企业开展政府采购项下融资业务提供便利，依法及时公开政府采购合同等信息。采取预算预留、消除门槛、评审优惠等手段，落实政府采购促进中小企业发展政策。在政府采购活动中，向</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专精特新</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中小企业倾斜。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color w:val="auto"/>
          <w:sz w:val="32"/>
          <w:szCs w:val="32"/>
          <w:lang w:val="en"/>
        </w:rPr>
      </w:pPr>
      <w:bookmarkStart w:id="40" w:name="_Toc1611539280_WPSOffice_Level2"/>
      <w:r>
        <w:rPr>
          <w:rFonts w:hint="default" w:ascii="Nimbus Roman No9 L" w:hAnsi="Nimbus Roman No9 L" w:eastAsia="楷体_GB2312" w:cs="Nimbus Roman No9 L"/>
          <w:color w:val="auto"/>
          <w:sz w:val="32"/>
          <w:szCs w:val="32"/>
          <w:lang w:val="en"/>
        </w:rPr>
        <w:t>（四）建立中小企业信息公开共享机制</w:t>
      </w:r>
      <w:bookmarkEnd w:id="40"/>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推动市场监管、金融、税务等有关部门数据开放共享，推动建立和完善中小企业数据库、中小企业分类统计、监测、分析和发布体系，逐步建立中小企业市场监测、风险防范和预警机制。利用互联网、大数据等手段，及时了解中小企业运行和发展情况，对中小企业发展态势及时进行研判、科学预警，为研究制定和完善促进中小企业发展的政策和决策提供基础支撑。</w:t>
      </w:r>
    </w:p>
    <w:p>
      <w:pPr>
        <w:keepNext w:val="0"/>
        <w:keepLines w:val="0"/>
        <w:pageBreakBefore w:val="0"/>
        <w:kinsoku/>
        <w:wordWrap/>
        <w:overflowPunct/>
        <w:topLinePunct w:val="0"/>
        <w:autoSpaceDE/>
        <w:autoSpaceDN/>
        <w:bidi w:val="0"/>
        <w:spacing w:line="580" w:lineRule="exact"/>
        <w:ind w:firstLine="420" w:firstLineChars="200"/>
        <w:textAlignment w:val="auto"/>
        <w:rPr>
          <w:rFonts w:hint="default" w:ascii="Nimbus Roman No9 L" w:hAnsi="Nimbus Roman No9 L" w:cs="Nimbus Roman No9 L"/>
          <w:color w:val="auto"/>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MingLiU">
    <w:altName w:val="Droid Sans Japanese"/>
    <w:panose1 w:val="02010609000101010101"/>
    <w:charset w:val="88"/>
    <w:family w:val="modern"/>
    <w:pitch w:val="default"/>
    <w:sig w:usb0="00000000" w:usb1="00000000" w:usb2="00000010" w:usb3="00000000" w:csb0="00100000" w:csb1="00000000"/>
  </w:font>
  <w:font w:name="AngsanaUPC">
    <w:altName w:val="FreeSerif"/>
    <w:panose1 w:val="00000000000000000000"/>
    <w:charset w:val="00"/>
    <w:family w:val="roman"/>
    <w:pitch w:val="default"/>
    <w:sig w:usb0="00000000" w:usb1="00000000" w:usb2="00000000" w:usb3="00000000" w:csb0="00010001"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2"/>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137795</wp:posOffset>
              </wp:positionV>
              <wp:extent cx="787400" cy="37909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87400" cy="379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32"/>
                              <w:szCs w:val="32"/>
                            </w:rPr>
                            <w:id w:val="2105529029"/>
                            <w:docPartObj>
                              <w:docPartGallery w:val="autotext"/>
                            </w:docPartObj>
                          </w:sdtPr>
                          <w:sdtEndPr>
                            <w:rPr>
                              <w:sz w:val="32"/>
                              <w:szCs w:val="32"/>
                            </w:rPr>
                          </w:sdtEndPr>
                          <w:sdtContent>
                            <w:p>
                              <w:pPr>
                                <w:pStyle w:val="2"/>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pPr>
                            <w:pStyle w:val="2"/>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0.85pt;height:29.85pt;width:62pt;mso-position-horizontal:outside;mso-position-horizontal-relative:margin;z-index:251658240;mso-width-relative:page;mso-height-relative:page;" filled="f" stroked="f" coordsize="21600,21600" o:gfxdata="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p4MhPVAAAABgEAAA8AAAAAAAAAAQAgAAAAOAAAAGRycy9kb3ducmV2&#10;LnhtbFBLAQIUABQAAAAIAIdO4kDuXQZ/IgIAACkEAAAOAAAAAAAAAAEAIAAAADoBAABkcnMvZTJv&#10;RG9jLnhtbFBLBQYAAAAABgAGAFkBAADOBQAAAAA=&#10;">
              <v:fill on="f" focussize="0,0"/>
              <v:stroke on="f" weight="0.5pt"/>
              <v:imagedata o:title=""/>
              <o:lock v:ext="edit" aspectratio="f"/>
              <v:textbox inset="0mm,0mm,0mm,0mm">
                <w:txbxContent>
                  <w:sdt>
                    <w:sdtPr>
                      <w:rPr>
                        <w:sz w:val="32"/>
                        <w:szCs w:val="32"/>
                      </w:rPr>
                      <w:id w:val="2105529029"/>
                      <w:docPartObj>
                        <w:docPartGallery w:val="autotext"/>
                      </w:docPartObj>
                    </w:sdtPr>
                    <w:sdtEndPr>
                      <w:rPr>
                        <w:sz w:val="32"/>
                        <w:szCs w:val="32"/>
                      </w:rPr>
                    </w:sdtEndPr>
                    <w:sdtContent>
                      <w:p>
                        <w:pPr>
                          <w:pStyle w:val="2"/>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pPr>
                      <w:pStyle w:val="2"/>
                    </w:pPr>
                  </w:p>
                </w:txbxContent>
              </v:textbox>
            </v:shape>
          </w:pict>
        </mc:Fallback>
      </mc:AlternateContent>
    </w:r>
  </w:p>
  <w:p>
    <w:pPr>
      <w:pStyle w:val="2"/>
    </w:pPr>
  </w:p>
  <w:p>
    <w:pPr>
      <w:pStyle w:val="8"/>
      <w:tabs>
        <w:tab w:val="left" w:pos="2361"/>
        <w:tab w:val="center" w:pos="4213"/>
      </w:tabs>
      <w:jc w:val="left"/>
    </w:pPr>
    <w:r>
      <w:rPr>
        <w:sz w:val="18"/>
        <w:lang w:val="en"/>
      </w:rPr>
      <w:tab/>
    </w:r>
    <w:r>
      <w:rPr>
        <w:lang w:val="en"/>
      </w:rPr>
      <w:tab/>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9C"/>
    <w:rsid w:val="00006639"/>
    <w:rsid w:val="00013CE0"/>
    <w:rsid w:val="0001436F"/>
    <w:rsid w:val="00014A55"/>
    <w:rsid w:val="00015583"/>
    <w:rsid w:val="000248C7"/>
    <w:rsid w:val="0004177E"/>
    <w:rsid w:val="00051EAC"/>
    <w:rsid w:val="00076B9D"/>
    <w:rsid w:val="000830AD"/>
    <w:rsid w:val="00084314"/>
    <w:rsid w:val="0009217D"/>
    <w:rsid w:val="00097F57"/>
    <w:rsid w:val="000A1909"/>
    <w:rsid w:val="000B3C84"/>
    <w:rsid w:val="000C0220"/>
    <w:rsid w:val="000C4B7A"/>
    <w:rsid w:val="000C52ED"/>
    <w:rsid w:val="000C5C9A"/>
    <w:rsid w:val="000E13DB"/>
    <w:rsid w:val="000E3D8A"/>
    <w:rsid w:val="000E5B82"/>
    <w:rsid w:val="000E79B5"/>
    <w:rsid w:val="000F1F1A"/>
    <w:rsid w:val="000F216C"/>
    <w:rsid w:val="000F6F3E"/>
    <w:rsid w:val="00104496"/>
    <w:rsid w:val="001161F0"/>
    <w:rsid w:val="00125804"/>
    <w:rsid w:val="0013493A"/>
    <w:rsid w:val="001626BF"/>
    <w:rsid w:val="001720C6"/>
    <w:rsid w:val="001738C3"/>
    <w:rsid w:val="00180663"/>
    <w:rsid w:val="001866CB"/>
    <w:rsid w:val="001B682A"/>
    <w:rsid w:val="001C6311"/>
    <w:rsid w:val="001C6F2D"/>
    <w:rsid w:val="001F011D"/>
    <w:rsid w:val="001F3221"/>
    <w:rsid w:val="0020687B"/>
    <w:rsid w:val="0021095E"/>
    <w:rsid w:val="00215DB8"/>
    <w:rsid w:val="00217215"/>
    <w:rsid w:val="00235755"/>
    <w:rsid w:val="002511E3"/>
    <w:rsid w:val="00264BF4"/>
    <w:rsid w:val="0027416C"/>
    <w:rsid w:val="00284DE9"/>
    <w:rsid w:val="002853A0"/>
    <w:rsid w:val="002868A4"/>
    <w:rsid w:val="00291D38"/>
    <w:rsid w:val="002A3C32"/>
    <w:rsid w:val="002B7071"/>
    <w:rsid w:val="002B78B0"/>
    <w:rsid w:val="002C4197"/>
    <w:rsid w:val="002D00F7"/>
    <w:rsid w:val="002D577D"/>
    <w:rsid w:val="002F1EB7"/>
    <w:rsid w:val="00315544"/>
    <w:rsid w:val="003244B6"/>
    <w:rsid w:val="00325ED1"/>
    <w:rsid w:val="00331608"/>
    <w:rsid w:val="003321F9"/>
    <w:rsid w:val="003361DD"/>
    <w:rsid w:val="00341086"/>
    <w:rsid w:val="0035448E"/>
    <w:rsid w:val="00355F55"/>
    <w:rsid w:val="00374D4E"/>
    <w:rsid w:val="00377A4D"/>
    <w:rsid w:val="0038231E"/>
    <w:rsid w:val="003866CB"/>
    <w:rsid w:val="0039262C"/>
    <w:rsid w:val="003A2E10"/>
    <w:rsid w:val="003B0641"/>
    <w:rsid w:val="003C0E11"/>
    <w:rsid w:val="003C2127"/>
    <w:rsid w:val="003D55EB"/>
    <w:rsid w:val="003D6FAA"/>
    <w:rsid w:val="003E019C"/>
    <w:rsid w:val="00400039"/>
    <w:rsid w:val="00414ED7"/>
    <w:rsid w:val="00415ACE"/>
    <w:rsid w:val="004207AC"/>
    <w:rsid w:val="00437116"/>
    <w:rsid w:val="00441A43"/>
    <w:rsid w:val="0044587E"/>
    <w:rsid w:val="004512DC"/>
    <w:rsid w:val="004658DF"/>
    <w:rsid w:val="00474548"/>
    <w:rsid w:val="00475237"/>
    <w:rsid w:val="00480644"/>
    <w:rsid w:val="0048146D"/>
    <w:rsid w:val="004815C3"/>
    <w:rsid w:val="00485C79"/>
    <w:rsid w:val="00486223"/>
    <w:rsid w:val="0049235C"/>
    <w:rsid w:val="004A0A80"/>
    <w:rsid w:val="004A283D"/>
    <w:rsid w:val="004A6267"/>
    <w:rsid w:val="004C2314"/>
    <w:rsid w:val="004D128E"/>
    <w:rsid w:val="004E0C4F"/>
    <w:rsid w:val="005133B5"/>
    <w:rsid w:val="0051404B"/>
    <w:rsid w:val="00514926"/>
    <w:rsid w:val="00516F1A"/>
    <w:rsid w:val="005300D8"/>
    <w:rsid w:val="00531147"/>
    <w:rsid w:val="005333DA"/>
    <w:rsid w:val="005366AF"/>
    <w:rsid w:val="00544CDA"/>
    <w:rsid w:val="00557B80"/>
    <w:rsid w:val="00560323"/>
    <w:rsid w:val="005617DB"/>
    <w:rsid w:val="005669B4"/>
    <w:rsid w:val="00573737"/>
    <w:rsid w:val="00574B4D"/>
    <w:rsid w:val="00575690"/>
    <w:rsid w:val="00577938"/>
    <w:rsid w:val="0058049F"/>
    <w:rsid w:val="00586BCC"/>
    <w:rsid w:val="00593F9B"/>
    <w:rsid w:val="005A2FE4"/>
    <w:rsid w:val="005A3655"/>
    <w:rsid w:val="005A42F4"/>
    <w:rsid w:val="005A47BA"/>
    <w:rsid w:val="005B6CC4"/>
    <w:rsid w:val="005C4312"/>
    <w:rsid w:val="005C7F3B"/>
    <w:rsid w:val="005D39A8"/>
    <w:rsid w:val="005E0670"/>
    <w:rsid w:val="005E5A9E"/>
    <w:rsid w:val="005E6500"/>
    <w:rsid w:val="005E716A"/>
    <w:rsid w:val="005F0B2C"/>
    <w:rsid w:val="005F5196"/>
    <w:rsid w:val="006233DD"/>
    <w:rsid w:val="00626C6B"/>
    <w:rsid w:val="006306A8"/>
    <w:rsid w:val="00633D7E"/>
    <w:rsid w:val="00637920"/>
    <w:rsid w:val="00637F91"/>
    <w:rsid w:val="00660975"/>
    <w:rsid w:val="00661D3D"/>
    <w:rsid w:val="006656A3"/>
    <w:rsid w:val="006827BC"/>
    <w:rsid w:val="00695753"/>
    <w:rsid w:val="0069792E"/>
    <w:rsid w:val="006A1DF0"/>
    <w:rsid w:val="006A5F21"/>
    <w:rsid w:val="006D699B"/>
    <w:rsid w:val="006D6B76"/>
    <w:rsid w:val="006E0EEE"/>
    <w:rsid w:val="006E30B8"/>
    <w:rsid w:val="006E4C5A"/>
    <w:rsid w:val="006F2B3E"/>
    <w:rsid w:val="006F7021"/>
    <w:rsid w:val="00704913"/>
    <w:rsid w:val="00706745"/>
    <w:rsid w:val="00715059"/>
    <w:rsid w:val="0073048C"/>
    <w:rsid w:val="00737AD0"/>
    <w:rsid w:val="00741CA0"/>
    <w:rsid w:val="00745E44"/>
    <w:rsid w:val="00752598"/>
    <w:rsid w:val="007678C2"/>
    <w:rsid w:val="00774797"/>
    <w:rsid w:val="0077699E"/>
    <w:rsid w:val="007868FC"/>
    <w:rsid w:val="007914E0"/>
    <w:rsid w:val="00793DDF"/>
    <w:rsid w:val="007A2642"/>
    <w:rsid w:val="007A6688"/>
    <w:rsid w:val="007B28EB"/>
    <w:rsid w:val="007B315A"/>
    <w:rsid w:val="007C2973"/>
    <w:rsid w:val="007D0435"/>
    <w:rsid w:val="00804B41"/>
    <w:rsid w:val="008449B2"/>
    <w:rsid w:val="008453B3"/>
    <w:rsid w:val="008500C8"/>
    <w:rsid w:val="00856619"/>
    <w:rsid w:val="00862720"/>
    <w:rsid w:val="0086401D"/>
    <w:rsid w:val="0087117B"/>
    <w:rsid w:val="0087243D"/>
    <w:rsid w:val="008828E6"/>
    <w:rsid w:val="00883000"/>
    <w:rsid w:val="0088372C"/>
    <w:rsid w:val="00897267"/>
    <w:rsid w:val="00897D41"/>
    <w:rsid w:val="008A2B80"/>
    <w:rsid w:val="008A37D2"/>
    <w:rsid w:val="008A4C56"/>
    <w:rsid w:val="008B637E"/>
    <w:rsid w:val="008C31E2"/>
    <w:rsid w:val="008D1EFA"/>
    <w:rsid w:val="008D3178"/>
    <w:rsid w:val="008D673F"/>
    <w:rsid w:val="00912106"/>
    <w:rsid w:val="00916A50"/>
    <w:rsid w:val="009222F8"/>
    <w:rsid w:val="009229C9"/>
    <w:rsid w:val="00922AA7"/>
    <w:rsid w:val="00926CA3"/>
    <w:rsid w:val="00927449"/>
    <w:rsid w:val="00930475"/>
    <w:rsid w:val="009424FE"/>
    <w:rsid w:val="009437FB"/>
    <w:rsid w:val="00950C89"/>
    <w:rsid w:val="00954D93"/>
    <w:rsid w:val="009633C7"/>
    <w:rsid w:val="00964DDC"/>
    <w:rsid w:val="009673F4"/>
    <w:rsid w:val="009726EB"/>
    <w:rsid w:val="00975191"/>
    <w:rsid w:val="00976D39"/>
    <w:rsid w:val="00982BE4"/>
    <w:rsid w:val="009913A7"/>
    <w:rsid w:val="009940BE"/>
    <w:rsid w:val="009B7968"/>
    <w:rsid w:val="009C6810"/>
    <w:rsid w:val="009D3EE7"/>
    <w:rsid w:val="009D526E"/>
    <w:rsid w:val="009D7DE7"/>
    <w:rsid w:val="009E2F1F"/>
    <w:rsid w:val="009E5ADE"/>
    <w:rsid w:val="009E5B42"/>
    <w:rsid w:val="009E7C88"/>
    <w:rsid w:val="009F30A6"/>
    <w:rsid w:val="00A03A6A"/>
    <w:rsid w:val="00A220DA"/>
    <w:rsid w:val="00A251B3"/>
    <w:rsid w:val="00A50875"/>
    <w:rsid w:val="00A60DE5"/>
    <w:rsid w:val="00A74346"/>
    <w:rsid w:val="00A827A3"/>
    <w:rsid w:val="00A84384"/>
    <w:rsid w:val="00A970DF"/>
    <w:rsid w:val="00A97371"/>
    <w:rsid w:val="00AA0BC5"/>
    <w:rsid w:val="00AA1980"/>
    <w:rsid w:val="00AA1B16"/>
    <w:rsid w:val="00AA4169"/>
    <w:rsid w:val="00AC4BD8"/>
    <w:rsid w:val="00AD50AA"/>
    <w:rsid w:val="00AE17A8"/>
    <w:rsid w:val="00AE2EAF"/>
    <w:rsid w:val="00AE7999"/>
    <w:rsid w:val="00AE7C1B"/>
    <w:rsid w:val="00AF2E5C"/>
    <w:rsid w:val="00AF5F43"/>
    <w:rsid w:val="00AF69DA"/>
    <w:rsid w:val="00B12834"/>
    <w:rsid w:val="00B141E6"/>
    <w:rsid w:val="00B15F27"/>
    <w:rsid w:val="00B16E06"/>
    <w:rsid w:val="00B3789E"/>
    <w:rsid w:val="00B67D7A"/>
    <w:rsid w:val="00B73501"/>
    <w:rsid w:val="00B744CF"/>
    <w:rsid w:val="00B85848"/>
    <w:rsid w:val="00B96961"/>
    <w:rsid w:val="00BB0563"/>
    <w:rsid w:val="00BB5416"/>
    <w:rsid w:val="00BD79C0"/>
    <w:rsid w:val="00BE4CAF"/>
    <w:rsid w:val="00BE731A"/>
    <w:rsid w:val="00C04F12"/>
    <w:rsid w:val="00C16E50"/>
    <w:rsid w:val="00C215DF"/>
    <w:rsid w:val="00C31336"/>
    <w:rsid w:val="00C417BC"/>
    <w:rsid w:val="00C44B46"/>
    <w:rsid w:val="00C505FF"/>
    <w:rsid w:val="00C55DA1"/>
    <w:rsid w:val="00C72B6B"/>
    <w:rsid w:val="00C8145E"/>
    <w:rsid w:val="00C81686"/>
    <w:rsid w:val="00C97314"/>
    <w:rsid w:val="00CA2B0A"/>
    <w:rsid w:val="00CB6256"/>
    <w:rsid w:val="00CC2E7E"/>
    <w:rsid w:val="00CC5557"/>
    <w:rsid w:val="00CC7090"/>
    <w:rsid w:val="00CD5292"/>
    <w:rsid w:val="00CE0474"/>
    <w:rsid w:val="00CE7A9C"/>
    <w:rsid w:val="00D0063F"/>
    <w:rsid w:val="00D05343"/>
    <w:rsid w:val="00D059F2"/>
    <w:rsid w:val="00D14BBF"/>
    <w:rsid w:val="00D16B01"/>
    <w:rsid w:val="00D32180"/>
    <w:rsid w:val="00D4520E"/>
    <w:rsid w:val="00D470AF"/>
    <w:rsid w:val="00D57AC1"/>
    <w:rsid w:val="00D73091"/>
    <w:rsid w:val="00D813EC"/>
    <w:rsid w:val="00D8369E"/>
    <w:rsid w:val="00D84383"/>
    <w:rsid w:val="00D912EF"/>
    <w:rsid w:val="00DA2353"/>
    <w:rsid w:val="00DB21E5"/>
    <w:rsid w:val="00DB55C5"/>
    <w:rsid w:val="00DB59F5"/>
    <w:rsid w:val="00DB6393"/>
    <w:rsid w:val="00DB77EA"/>
    <w:rsid w:val="00DC3E7E"/>
    <w:rsid w:val="00DD6773"/>
    <w:rsid w:val="00DD7B83"/>
    <w:rsid w:val="00DF07EB"/>
    <w:rsid w:val="00E004D1"/>
    <w:rsid w:val="00E04FA8"/>
    <w:rsid w:val="00E11E41"/>
    <w:rsid w:val="00E24849"/>
    <w:rsid w:val="00E32AAA"/>
    <w:rsid w:val="00E34BDF"/>
    <w:rsid w:val="00E534FD"/>
    <w:rsid w:val="00E71439"/>
    <w:rsid w:val="00E74133"/>
    <w:rsid w:val="00E83BC7"/>
    <w:rsid w:val="00EA1A09"/>
    <w:rsid w:val="00EA49A7"/>
    <w:rsid w:val="00EB34E3"/>
    <w:rsid w:val="00EB41E0"/>
    <w:rsid w:val="00EB4E7B"/>
    <w:rsid w:val="00EB5404"/>
    <w:rsid w:val="00ED52D8"/>
    <w:rsid w:val="00ED5D84"/>
    <w:rsid w:val="00ED74CF"/>
    <w:rsid w:val="00EE5007"/>
    <w:rsid w:val="00EF0827"/>
    <w:rsid w:val="00EF7EB4"/>
    <w:rsid w:val="00F04D78"/>
    <w:rsid w:val="00F052B6"/>
    <w:rsid w:val="00F07E9E"/>
    <w:rsid w:val="00F2035E"/>
    <w:rsid w:val="00F245BB"/>
    <w:rsid w:val="00F33BAC"/>
    <w:rsid w:val="00F42AE8"/>
    <w:rsid w:val="00F44985"/>
    <w:rsid w:val="00F62BF8"/>
    <w:rsid w:val="00F8301C"/>
    <w:rsid w:val="00F85168"/>
    <w:rsid w:val="00F963CC"/>
    <w:rsid w:val="00F96549"/>
    <w:rsid w:val="00FB2B0B"/>
    <w:rsid w:val="00FC377A"/>
    <w:rsid w:val="00FC4818"/>
    <w:rsid w:val="00FD71B0"/>
    <w:rsid w:val="00FE0EA4"/>
    <w:rsid w:val="00FE2722"/>
    <w:rsid w:val="00FF3A43"/>
    <w:rsid w:val="00FF4328"/>
    <w:rsid w:val="00FF4D42"/>
    <w:rsid w:val="00FF6A10"/>
    <w:rsid w:val="0F37AD99"/>
    <w:rsid w:val="0FDB0DC1"/>
    <w:rsid w:val="0FFF2375"/>
    <w:rsid w:val="13FDFA60"/>
    <w:rsid w:val="15B31804"/>
    <w:rsid w:val="15DF2B0C"/>
    <w:rsid w:val="17F9CC3B"/>
    <w:rsid w:val="1CFF9B28"/>
    <w:rsid w:val="1D3ABAF8"/>
    <w:rsid w:val="1DFED72D"/>
    <w:rsid w:val="1F45B0DB"/>
    <w:rsid w:val="1FFA8596"/>
    <w:rsid w:val="27DF59AF"/>
    <w:rsid w:val="2AE711BA"/>
    <w:rsid w:val="2F7B9904"/>
    <w:rsid w:val="2FB7D984"/>
    <w:rsid w:val="2FEDF113"/>
    <w:rsid w:val="31FFA325"/>
    <w:rsid w:val="32FBD2F1"/>
    <w:rsid w:val="33F67530"/>
    <w:rsid w:val="35D7B105"/>
    <w:rsid w:val="37FE9733"/>
    <w:rsid w:val="39ED70A1"/>
    <w:rsid w:val="3ABF590C"/>
    <w:rsid w:val="3B6B7715"/>
    <w:rsid w:val="3B7FDACD"/>
    <w:rsid w:val="3CF5764C"/>
    <w:rsid w:val="3E67D80E"/>
    <w:rsid w:val="3E75ABF8"/>
    <w:rsid w:val="3EF7E703"/>
    <w:rsid w:val="3F5FA96B"/>
    <w:rsid w:val="3F7A33B3"/>
    <w:rsid w:val="3FB60D55"/>
    <w:rsid w:val="3FDFA613"/>
    <w:rsid w:val="3FFE26E3"/>
    <w:rsid w:val="40FFD7A8"/>
    <w:rsid w:val="49DDA47B"/>
    <w:rsid w:val="4DFD40CA"/>
    <w:rsid w:val="4FDB1F33"/>
    <w:rsid w:val="4FFFC7DF"/>
    <w:rsid w:val="51EF659D"/>
    <w:rsid w:val="539720A4"/>
    <w:rsid w:val="55FAB236"/>
    <w:rsid w:val="56CC18B4"/>
    <w:rsid w:val="57DDE49E"/>
    <w:rsid w:val="59FC9504"/>
    <w:rsid w:val="5AD71294"/>
    <w:rsid w:val="5BBFC05C"/>
    <w:rsid w:val="5BC73BF4"/>
    <w:rsid w:val="5BED934D"/>
    <w:rsid w:val="5BFF8B5D"/>
    <w:rsid w:val="5DCF313B"/>
    <w:rsid w:val="5E9D439D"/>
    <w:rsid w:val="5EB117BE"/>
    <w:rsid w:val="5EBF1CED"/>
    <w:rsid w:val="5EEAE744"/>
    <w:rsid w:val="5FCD315C"/>
    <w:rsid w:val="5FEF7EB0"/>
    <w:rsid w:val="5FF63064"/>
    <w:rsid w:val="5FF9A6A2"/>
    <w:rsid w:val="64FFF634"/>
    <w:rsid w:val="666E7CFF"/>
    <w:rsid w:val="673BB70B"/>
    <w:rsid w:val="67F2DD26"/>
    <w:rsid w:val="6B179774"/>
    <w:rsid w:val="6B7E959E"/>
    <w:rsid w:val="6BCAE3CD"/>
    <w:rsid w:val="6BEF9F86"/>
    <w:rsid w:val="6F5FE73C"/>
    <w:rsid w:val="6FA7663F"/>
    <w:rsid w:val="6FBB3D8C"/>
    <w:rsid w:val="6FE97DD9"/>
    <w:rsid w:val="6FEF9DC5"/>
    <w:rsid w:val="6FF67121"/>
    <w:rsid w:val="6FFBFAEB"/>
    <w:rsid w:val="6FFD2D8E"/>
    <w:rsid w:val="71FF9521"/>
    <w:rsid w:val="72373EC9"/>
    <w:rsid w:val="735D02AD"/>
    <w:rsid w:val="753D363A"/>
    <w:rsid w:val="7557723C"/>
    <w:rsid w:val="75F7AA61"/>
    <w:rsid w:val="76FB92A7"/>
    <w:rsid w:val="77216211"/>
    <w:rsid w:val="77E9045F"/>
    <w:rsid w:val="77EF4482"/>
    <w:rsid w:val="77FEB81E"/>
    <w:rsid w:val="78BD27D6"/>
    <w:rsid w:val="7917462A"/>
    <w:rsid w:val="79BFD8CF"/>
    <w:rsid w:val="79FFE285"/>
    <w:rsid w:val="7A7B57AC"/>
    <w:rsid w:val="7B77D33C"/>
    <w:rsid w:val="7B9F3290"/>
    <w:rsid w:val="7BAF2839"/>
    <w:rsid w:val="7BBEC095"/>
    <w:rsid w:val="7BBF825A"/>
    <w:rsid w:val="7BD5BFD4"/>
    <w:rsid w:val="7BDF41BA"/>
    <w:rsid w:val="7BE7D988"/>
    <w:rsid w:val="7BFFE31E"/>
    <w:rsid w:val="7CEF37E4"/>
    <w:rsid w:val="7CFDFDF4"/>
    <w:rsid w:val="7D7F3B89"/>
    <w:rsid w:val="7DBDD55D"/>
    <w:rsid w:val="7DFC0D69"/>
    <w:rsid w:val="7E57652D"/>
    <w:rsid w:val="7E75C89B"/>
    <w:rsid w:val="7EEF72BB"/>
    <w:rsid w:val="7EFFF8D2"/>
    <w:rsid w:val="7F4E1D94"/>
    <w:rsid w:val="7F7E33D6"/>
    <w:rsid w:val="7F7E77B8"/>
    <w:rsid w:val="7F821B6E"/>
    <w:rsid w:val="7FA671E0"/>
    <w:rsid w:val="7FB3D85B"/>
    <w:rsid w:val="7FBF8899"/>
    <w:rsid w:val="7FBF94AF"/>
    <w:rsid w:val="7FBFF504"/>
    <w:rsid w:val="7FD9419D"/>
    <w:rsid w:val="7FDE4C67"/>
    <w:rsid w:val="7FDFF56C"/>
    <w:rsid w:val="7FEF6335"/>
    <w:rsid w:val="7FFCB40E"/>
    <w:rsid w:val="7FFF5495"/>
    <w:rsid w:val="8BE9FD83"/>
    <w:rsid w:val="8BFFF170"/>
    <w:rsid w:val="9BFF4D15"/>
    <w:rsid w:val="9EDF6220"/>
    <w:rsid w:val="9F7B5D17"/>
    <w:rsid w:val="9F7CB82F"/>
    <w:rsid w:val="9FA7ADD4"/>
    <w:rsid w:val="ABFE72AA"/>
    <w:rsid w:val="ADB73D69"/>
    <w:rsid w:val="AEED357E"/>
    <w:rsid w:val="AFE74CCB"/>
    <w:rsid w:val="B3F9577F"/>
    <w:rsid w:val="B65F34AF"/>
    <w:rsid w:val="B6BF211D"/>
    <w:rsid w:val="B75D1B32"/>
    <w:rsid w:val="B7E37DBA"/>
    <w:rsid w:val="B7FB692E"/>
    <w:rsid w:val="BB5D3614"/>
    <w:rsid w:val="BBEE70A9"/>
    <w:rsid w:val="BDBEAD96"/>
    <w:rsid w:val="BE7E383F"/>
    <w:rsid w:val="BFB14C8C"/>
    <w:rsid w:val="BFBD4CF3"/>
    <w:rsid w:val="BFDF3657"/>
    <w:rsid w:val="C7FFC108"/>
    <w:rsid w:val="CBEFED00"/>
    <w:rsid w:val="CEFBF7DF"/>
    <w:rsid w:val="D6BB9289"/>
    <w:rsid w:val="D6DF0406"/>
    <w:rsid w:val="DB6E012F"/>
    <w:rsid w:val="DED89FAD"/>
    <w:rsid w:val="DEDF1BD6"/>
    <w:rsid w:val="DEE79337"/>
    <w:rsid w:val="DF93810E"/>
    <w:rsid w:val="DF9C3164"/>
    <w:rsid w:val="DFA5AC13"/>
    <w:rsid w:val="E7F7E1B1"/>
    <w:rsid w:val="EA7C862F"/>
    <w:rsid w:val="EBED93B9"/>
    <w:rsid w:val="EBF71A04"/>
    <w:rsid w:val="ED5F1713"/>
    <w:rsid w:val="EDFF8BBB"/>
    <w:rsid w:val="EF08FAB5"/>
    <w:rsid w:val="EF6F149C"/>
    <w:rsid w:val="EFB1BD32"/>
    <w:rsid w:val="EFBE964B"/>
    <w:rsid w:val="EFC7F216"/>
    <w:rsid w:val="EFE65644"/>
    <w:rsid w:val="EFFF648C"/>
    <w:rsid w:val="EFFFFDB1"/>
    <w:rsid w:val="F2DA4CD5"/>
    <w:rsid w:val="F3896402"/>
    <w:rsid w:val="F7CED9ED"/>
    <w:rsid w:val="F7D4F0F9"/>
    <w:rsid w:val="F7DBC064"/>
    <w:rsid w:val="F7ED9813"/>
    <w:rsid w:val="F7EF2E7A"/>
    <w:rsid w:val="F7F48998"/>
    <w:rsid w:val="F7FDCB42"/>
    <w:rsid w:val="F7FFEF77"/>
    <w:rsid w:val="F8EF4B5C"/>
    <w:rsid w:val="F9974D81"/>
    <w:rsid w:val="F9E6DC87"/>
    <w:rsid w:val="FA57E9E9"/>
    <w:rsid w:val="FB3CAB40"/>
    <w:rsid w:val="FB6F35AC"/>
    <w:rsid w:val="FB8F5120"/>
    <w:rsid w:val="FBA7ABE1"/>
    <w:rsid w:val="FBA9FC43"/>
    <w:rsid w:val="FBCE2E4F"/>
    <w:rsid w:val="FBCEF383"/>
    <w:rsid w:val="FCD62E32"/>
    <w:rsid w:val="FCFD5A94"/>
    <w:rsid w:val="FD759056"/>
    <w:rsid w:val="FD8DD1EB"/>
    <w:rsid w:val="FDE77439"/>
    <w:rsid w:val="FDFECF83"/>
    <w:rsid w:val="FE5D6404"/>
    <w:rsid w:val="FE8D1545"/>
    <w:rsid w:val="FEBD7BC5"/>
    <w:rsid w:val="FED98924"/>
    <w:rsid w:val="FEE39FE3"/>
    <w:rsid w:val="FEFB4C55"/>
    <w:rsid w:val="FEFB92A1"/>
    <w:rsid w:val="FF3B5CE4"/>
    <w:rsid w:val="FF7C9A08"/>
    <w:rsid w:val="FF7E8A81"/>
    <w:rsid w:val="FF87D966"/>
    <w:rsid w:val="FF8DE7AE"/>
    <w:rsid w:val="FF8E30FC"/>
    <w:rsid w:val="FFED4680"/>
    <w:rsid w:val="FFED6B12"/>
    <w:rsid w:val="FFEF4B73"/>
    <w:rsid w:val="FFEF7E14"/>
    <w:rsid w:val="FFF63706"/>
    <w:rsid w:val="FFF75C58"/>
    <w:rsid w:val="FFF9130E"/>
    <w:rsid w:val="FFFD5C6F"/>
    <w:rsid w:val="FFFE51A1"/>
    <w:rsid w:val="FFFE7ADE"/>
    <w:rsid w:val="FFFF6226"/>
    <w:rsid w:val="FFFF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unhideWhenUsed/>
    <w:qFormat/>
    <w:uiPriority w:val="0"/>
    <w:pPr>
      <w:keepLines/>
      <w:outlineLvl w:val="2"/>
    </w:pPr>
    <w:rPr>
      <w:rFonts w:ascii="Times New Roman" w:hAnsi="Times New Roman" w:eastAsia="仿宋_GB2312"/>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pPr>
      <w:spacing w:before="100" w:line="360" w:lineRule="exact"/>
      <w:jc w:val="center"/>
    </w:pPr>
    <w:rPr>
      <w:rFonts w:ascii="仿宋_GB2312" w:hAnsi="华文中宋" w:eastAsia="仿宋_GB2312" w:cs="Times New Roman"/>
      <w:szCs w:val="24"/>
    </w:rPr>
  </w:style>
  <w:style w:type="paragraph" w:styleId="6">
    <w:name w:val="toc 3"/>
    <w:basedOn w:val="1"/>
    <w:next w:val="1"/>
    <w:qFormat/>
    <w:uiPriority w:val="39"/>
    <w:pPr>
      <w:ind w:left="840" w:leftChars="400"/>
    </w:pPr>
    <w:rPr>
      <w:rFonts w:ascii="Times New Roman" w:hAnsi="Times New Roman" w:eastAsia="宋体" w:cs="Times New Roman"/>
      <w:szCs w:val="24"/>
    </w:r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ind w:firstLine="200" w:firstLineChars="200"/>
    </w:pPr>
    <w:rPr>
      <w:rFonts w:eastAsia="仿宋_GB2312"/>
      <w:sz w:val="32"/>
      <w:szCs w:val="24"/>
    </w:rPr>
  </w:style>
  <w:style w:type="paragraph" w:styleId="11">
    <w:name w:val="toc 2"/>
    <w:basedOn w:val="1"/>
    <w:next w:val="1"/>
    <w:qFormat/>
    <w:uiPriority w:val="39"/>
    <w:pPr>
      <w:ind w:left="420" w:leftChars="200"/>
    </w:pPr>
    <w:rPr>
      <w:rFonts w:ascii="Times New Roman" w:hAnsi="Times New Roman" w:eastAsia="宋体" w:cs="Times New Roman"/>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页眉或页脚 + MingLiU"/>
    <w:basedOn w:val="15"/>
    <w:qFormat/>
    <w:uiPriority w:val="0"/>
    <w:rPr>
      <w:rFonts w:ascii="MingLiU" w:hAnsi="MingLiU" w:eastAsia="MingLiU" w:cs="MingLiU"/>
      <w:color w:val="000000"/>
      <w:spacing w:val="20"/>
      <w:w w:val="100"/>
      <w:position w:val="0"/>
      <w:sz w:val="32"/>
      <w:szCs w:val="32"/>
      <w:u w:val="none"/>
      <w:lang w:val="zh-TW" w:eastAsia="zh-TW" w:bidi="zh-TW"/>
    </w:rPr>
  </w:style>
  <w:style w:type="character" w:customStyle="1" w:styleId="21">
    <w:name w:val="页眉或页脚"/>
    <w:basedOn w:val="15"/>
    <w:qFormat/>
    <w:uiPriority w:val="0"/>
    <w:rPr>
      <w:rFonts w:ascii="AngsanaUPC" w:hAnsi="AngsanaUPC" w:eastAsia="AngsanaUPC" w:cs="AngsanaUPC"/>
      <w:color w:val="000000"/>
      <w:spacing w:val="0"/>
      <w:w w:val="100"/>
      <w:position w:val="0"/>
      <w:sz w:val="40"/>
      <w:szCs w:val="40"/>
      <w:u w:val="none"/>
      <w:lang w:val="zh-TW" w:eastAsia="zh-TW" w:bidi="zh-TW"/>
    </w:rPr>
  </w:style>
  <w:style w:type="paragraph" w:customStyle="1" w:styleId="22">
    <w:name w:val="列出段落1"/>
    <w:basedOn w:val="1"/>
    <w:qFormat/>
    <w:uiPriority w:val="34"/>
    <w:pPr>
      <w:ind w:firstLine="420" w:firstLineChars="200"/>
    </w:pPr>
  </w:style>
  <w:style w:type="paragraph" w:styleId="23">
    <w:name w:val="List Paragraph"/>
    <w:basedOn w:val="1"/>
    <w:qFormat/>
    <w:uiPriority w:val="34"/>
    <w:pPr>
      <w:ind w:firstLine="420" w:firstLineChars="200"/>
    </w:pPr>
  </w:style>
  <w:style w:type="character" w:customStyle="1" w:styleId="24">
    <w:name w:val="正文文本 Char"/>
    <w:basedOn w:val="15"/>
    <w:link w:val="2"/>
    <w:qFormat/>
    <w:uiPriority w:val="0"/>
    <w:rPr>
      <w:rFonts w:ascii="仿宋_GB2312" w:hAnsi="华文中宋" w:eastAsia="仿宋_GB2312" w:cs="Times New Roman"/>
      <w:szCs w:val="24"/>
    </w:rPr>
  </w:style>
  <w:style w:type="paragraph" w:customStyle="1" w:styleId="25">
    <w:name w:val="gei正文"/>
    <w:basedOn w:val="1"/>
    <w:qFormat/>
    <w:uiPriority w:val="0"/>
    <w:pPr>
      <w:spacing w:line="560" w:lineRule="exact"/>
      <w:ind w:firstLine="200" w:firstLineChars="200"/>
    </w:pPr>
    <w:rPr>
      <w:rFonts w:ascii="仿宋_GB2312" w:hAnsi="Times New Roman" w:eastAsia="仿宋_GB2312" w:cs="Times New Roman"/>
      <w:sz w:val="32"/>
      <w:szCs w:val="28"/>
    </w:rPr>
  </w:style>
  <w:style w:type="character" w:customStyle="1" w:styleId="26">
    <w:name w:val="标题 3 Char"/>
    <w:basedOn w:val="15"/>
    <w:link w:val="5"/>
    <w:qFormat/>
    <w:uiPriority w:val="0"/>
    <w:rPr>
      <w:rFonts w:ascii="Times New Roman" w:hAnsi="Times New Roman" w:eastAsia="仿宋_GB2312"/>
      <w:b/>
      <w:bCs/>
      <w:sz w:val="32"/>
      <w:szCs w:val="32"/>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批注框文本 Char"/>
    <w:basedOn w:val="15"/>
    <w:link w:val="7"/>
    <w:semiHidden/>
    <w:qFormat/>
    <w:uiPriority w:val="99"/>
    <w:rPr>
      <w:sz w:val="18"/>
      <w:szCs w:val="18"/>
    </w:rPr>
  </w:style>
  <w:style w:type="character" w:customStyle="1" w:styleId="29">
    <w:name w:val="标题 1 Char"/>
    <w:basedOn w:val="15"/>
    <w:link w:val="3"/>
    <w:qFormat/>
    <w:uiPriority w:val="9"/>
    <w:rPr>
      <w:b/>
      <w:bCs/>
      <w:kern w:val="44"/>
      <w:sz w:val="44"/>
      <w:szCs w:val="44"/>
    </w:rPr>
  </w:style>
  <w:style w:type="paragraph" w:customStyle="1" w:styleId="30">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paragraph" w:customStyle="1" w:styleId="3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3246</Words>
  <Characters>18508</Characters>
  <Lines>154</Lines>
  <Paragraphs>43</Paragraphs>
  <TotalTime>9</TotalTime>
  <ScaleCrop>false</ScaleCrop>
  <LinksUpToDate>false</LinksUpToDate>
  <CharactersWithSpaces>21711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2021-06-30T04:14:00Z</dcterms:created>
  <dc:creator>Administrator</dc:creator>
  <cp:lastModifiedBy>建文排版</cp:lastModifiedBy>
  <dcterms:modified xsi:type="dcterms:W3CDTF">2021-09-22T08:46:22Z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