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C63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宋体" w:eastAsia="仿宋_GB2312" w:cs="Times New Roman"/>
          <w:snapToGrid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Times New Roman"/>
          <w:snapToGrid/>
          <w:color w:val="auto"/>
          <w:kern w:val="0"/>
          <w:sz w:val="31"/>
          <w:szCs w:val="31"/>
          <w:lang w:val="en-US" w:eastAsia="zh-CN" w:bidi="ar"/>
        </w:rPr>
        <w:t>附件3</w:t>
      </w:r>
    </w:p>
    <w:p w14:paraId="523A3F94"/>
    <w:p w14:paraId="48520398"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Times New Roman"/>
          <w:i w:val="0"/>
          <w:iCs w:val="0"/>
          <w:snapToGrid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i w:val="0"/>
          <w:iCs w:val="0"/>
          <w:snapToGrid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天津港保税区职工公寓考评奖励资金使用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i w:val="0"/>
          <w:iCs w:val="0"/>
          <w:snapToGrid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管理规范</w:t>
      </w:r>
    </w:p>
    <w:p w14:paraId="5DC87AF7"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Times New Roman"/>
          <w:i w:val="0"/>
          <w:iCs w:val="0"/>
          <w:snapToGrid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</w:p>
    <w:p w14:paraId="2769FA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ascii="微软雅黑" w:hAnsi="微软雅黑" w:eastAsia="微软雅黑" w:cs="微软雅黑"/>
        </w:rPr>
      </w:pPr>
      <w:r>
        <w:rPr>
          <w:rFonts w:ascii="黑体" w:hAnsi="宋体" w:eastAsia="黑体" w:cs="黑体"/>
          <w:sz w:val="32"/>
          <w:szCs w:val="32"/>
        </w:rPr>
        <w:t>一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宋体" w:eastAsia="黑体" w:cs="黑体"/>
          <w:sz w:val="32"/>
          <w:szCs w:val="32"/>
        </w:rPr>
        <w:t>总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则</w:t>
      </w:r>
    </w:p>
    <w:p w14:paraId="1A45B8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为规范和加强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天津港保税区职工公寓考评</w:t>
      </w:r>
      <w:r>
        <w:rPr>
          <w:rFonts w:hint="eastAsia" w:ascii="仿宋_GB2312" w:hAnsi="微软雅黑" w:eastAsia="仿宋_GB2312" w:cs="仿宋_GB2312"/>
          <w:sz w:val="32"/>
          <w:szCs w:val="32"/>
        </w:rPr>
        <w:t>奖励资金使用管理，提高资金使用效益。根据《中华人民共和国预算法》《中华人民共和国预算法实施条例》《财政违法行为处罚处分条例》等规定，以及《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天津港保税区管理委员会财政资金审批管理办法</w:t>
      </w:r>
      <w:r>
        <w:rPr>
          <w:rFonts w:hint="eastAsia" w:ascii="仿宋_GB2312" w:hAnsi="微软雅黑" w:eastAsia="仿宋_GB2312" w:cs="仿宋_GB2312"/>
          <w:sz w:val="32"/>
          <w:szCs w:val="32"/>
        </w:rPr>
        <w:t>》（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津保管</w:t>
      </w:r>
      <w:r>
        <w:rPr>
          <w:rFonts w:hint="eastAsia" w:ascii="仿宋_GB2312" w:hAnsi="微软雅黑" w:eastAsia="仿宋_GB2312" w:cs="仿宋_GB2312"/>
          <w:sz w:val="32"/>
          <w:szCs w:val="32"/>
        </w:rPr>
        <w:t>发〔202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sz w:val="32"/>
          <w:szCs w:val="32"/>
        </w:rPr>
        <w:t>〕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sz w:val="32"/>
          <w:szCs w:val="32"/>
        </w:rPr>
        <w:t>号）等文件精神，结合我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微软雅黑" w:eastAsia="仿宋_GB2312" w:cs="仿宋_GB2312"/>
          <w:sz w:val="32"/>
          <w:szCs w:val="32"/>
        </w:rPr>
        <w:t>工作实际，制定本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微软雅黑" w:eastAsia="仿宋_GB2312" w:cs="仿宋_GB2312"/>
          <w:sz w:val="32"/>
          <w:szCs w:val="32"/>
        </w:rPr>
        <w:t>。</w:t>
      </w:r>
    </w:p>
    <w:p w14:paraId="36E24F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天津港保税区职工公寓考评</w:t>
      </w:r>
      <w:r>
        <w:rPr>
          <w:rFonts w:hint="eastAsia" w:ascii="仿宋_GB2312" w:hAnsi="微软雅黑" w:eastAsia="仿宋_GB2312" w:cs="仿宋_GB2312"/>
          <w:sz w:val="32"/>
          <w:szCs w:val="32"/>
        </w:rPr>
        <w:t>奖励资金（以下简称“奖励资金”）由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保税区</w:t>
      </w:r>
      <w:r>
        <w:rPr>
          <w:rFonts w:hint="eastAsia" w:ascii="仿宋_GB2312" w:hAnsi="微软雅黑" w:eastAsia="仿宋_GB2312" w:cs="仿宋_GB2312"/>
          <w:sz w:val="32"/>
          <w:szCs w:val="32"/>
        </w:rPr>
        <w:t>财政预算安排，专项用于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职工公寓考评</w:t>
      </w:r>
      <w:r>
        <w:rPr>
          <w:rFonts w:hint="eastAsia" w:ascii="仿宋_GB2312" w:hAnsi="微软雅黑" w:eastAsia="仿宋_GB2312" w:cs="仿宋_GB2312"/>
          <w:sz w:val="32"/>
          <w:szCs w:val="32"/>
        </w:rPr>
        <w:t>奖励。</w:t>
      </w:r>
    </w:p>
    <w:p w14:paraId="621674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奖励资金的使用和管理遵循“统筹规划、公开透明、绩效优先、全程监督”的原则。</w:t>
      </w:r>
    </w:p>
    <w:p w14:paraId="60F397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</w:rPr>
        <w:t>二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宋体" w:eastAsia="黑体" w:cs="黑体"/>
          <w:sz w:val="32"/>
          <w:szCs w:val="32"/>
        </w:rPr>
        <w:t>职责分工</w:t>
      </w:r>
    </w:p>
    <w:p w14:paraId="43CFD7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奖励资金由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天津港保税区社会事业发展局（以下简称：社发局）</w:t>
      </w:r>
      <w:r>
        <w:rPr>
          <w:rFonts w:hint="eastAsia" w:ascii="仿宋_GB2312" w:hAnsi="微软雅黑" w:eastAsia="仿宋_GB2312" w:cs="仿宋_GB2312"/>
          <w:sz w:val="32"/>
          <w:szCs w:val="32"/>
        </w:rPr>
        <w:t>和财政局共同管理。</w:t>
      </w:r>
    </w:p>
    <w:p w14:paraId="490F84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社发</w:t>
      </w:r>
      <w:r>
        <w:rPr>
          <w:rFonts w:hint="eastAsia" w:ascii="仿宋_GB2312" w:hAnsi="微软雅黑" w:eastAsia="仿宋_GB2312" w:cs="仿宋_GB2312"/>
          <w:sz w:val="32"/>
          <w:szCs w:val="32"/>
        </w:rPr>
        <w:t>局职责：编制奖励资金年度预算；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会同</w:t>
      </w:r>
      <w:r>
        <w:rPr>
          <w:rFonts w:hint="eastAsia" w:ascii="仿宋_GB2312" w:hAnsi="微软雅黑" w:eastAsia="仿宋_GB2312" w:cs="仿宋_GB2312"/>
          <w:sz w:val="32"/>
          <w:szCs w:val="32"/>
        </w:rPr>
        <w:t>财政局制定奖励资金管理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规范</w:t>
      </w:r>
      <w:r>
        <w:rPr>
          <w:rFonts w:hint="eastAsia" w:ascii="仿宋_GB2312" w:hAnsi="微软雅黑" w:eastAsia="仿宋_GB2312" w:cs="仿宋_GB2312"/>
          <w:sz w:val="32"/>
          <w:szCs w:val="32"/>
        </w:rPr>
        <w:t>；建立健全奖励资金具体管理制度，健全内部控制制度，制定管理流程明确责任主体，规范资金管理；组织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职工公寓</w:t>
      </w:r>
      <w:r>
        <w:rPr>
          <w:rFonts w:hint="eastAsia" w:ascii="仿宋_GB2312" w:hAnsi="微软雅黑" w:eastAsia="仿宋_GB2312" w:cs="仿宋_GB2312"/>
          <w:sz w:val="32"/>
          <w:szCs w:val="32"/>
        </w:rPr>
        <w:t>申报、评审，负责审核汇总，提出奖励资金分配方案；对奖励资金的使用情况开展监督检查、绩效管理、信息公开；负责奖励资金执行期届满后的相关管理工作；法律、法规、规章规定的其他职责。</w:t>
      </w:r>
    </w:p>
    <w:p w14:paraId="4627A3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财政局职责：组织编制奖励资金年度预算；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指导社发</w:t>
      </w:r>
      <w:r>
        <w:rPr>
          <w:rFonts w:hint="eastAsia" w:ascii="仿宋_GB2312" w:hAnsi="微软雅黑" w:eastAsia="仿宋_GB2312" w:cs="仿宋_GB2312"/>
          <w:sz w:val="32"/>
          <w:szCs w:val="32"/>
        </w:rPr>
        <w:t>局制定奖励资金管理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规范</w:t>
      </w:r>
      <w:r>
        <w:rPr>
          <w:rFonts w:hint="eastAsia" w:ascii="仿宋_GB2312" w:hAnsi="微软雅黑" w:eastAsia="仿宋_GB2312" w:cs="仿宋_GB2312"/>
          <w:sz w:val="32"/>
          <w:szCs w:val="32"/>
        </w:rPr>
        <w:t>；督促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社发</w:t>
      </w:r>
      <w:r>
        <w:rPr>
          <w:rFonts w:hint="eastAsia" w:ascii="仿宋_GB2312" w:hAnsi="微软雅黑" w:eastAsia="仿宋_GB2312" w:cs="仿宋_GB2312"/>
          <w:sz w:val="32"/>
          <w:szCs w:val="32"/>
        </w:rPr>
        <w:t>局做好奖励资金使用情况的监督管理；组织开展预算绩效管理工作；组织奖励资金执行期届满后的资金回收及其他相关管理工作；法律、法规、规章规定的其他职责。</w:t>
      </w:r>
    </w:p>
    <w:p w14:paraId="019330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各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职工公寓</w:t>
      </w:r>
      <w:r>
        <w:rPr>
          <w:rFonts w:hint="eastAsia" w:ascii="仿宋_GB2312" w:hAnsi="微软雅黑" w:eastAsia="仿宋_GB2312" w:cs="仿宋_GB2312"/>
          <w:sz w:val="32"/>
          <w:szCs w:val="32"/>
        </w:rPr>
        <w:t>具体实施，并承担以下责任和义务：根据相关规定申报；按照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微软雅黑" w:eastAsia="仿宋_GB2312" w:cs="仿宋_GB2312"/>
          <w:sz w:val="32"/>
          <w:szCs w:val="32"/>
        </w:rPr>
        <w:t>使用奖励资金并做好财务管理和会计核算；配合相关部门对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微软雅黑" w:eastAsia="仿宋_GB2312" w:cs="仿宋_GB2312"/>
          <w:sz w:val="32"/>
          <w:szCs w:val="32"/>
        </w:rPr>
        <w:t>开展监督检查、绩效管理及资金清算等工作；对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微软雅黑" w:eastAsia="仿宋_GB2312" w:cs="仿宋_GB2312"/>
          <w:sz w:val="32"/>
          <w:szCs w:val="32"/>
        </w:rPr>
        <w:t>实施质量负责；对各环节提供资料的真实性、完整性负责，落实信用承诺；法律、法规、规章规定的其他职责。</w:t>
      </w:r>
    </w:p>
    <w:p w14:paraId="5CDED3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</w:rPr>
        <w:t>三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宋体" w:eastAsia="黑体" w:cs="黑体"/>
          <w:sz w:val="32"/>
          <w:szCs w:val="32"/>
        </w:rPr>
        <w:t>资金的使用范围</w:t>
      </w:r>
    </w:p>
    <w:p w14:paraId="6CAF16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奖励资金主要用于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公寓的环境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从业人员技能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宣传教育、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应急演练开展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微软雅黑" w:eastAsia="仿宋_GB2312" w:cs="仿宋_GB2312"/>
          <w:sz w:val="32"/>
          <w:szCs w:val="32"/>
        </w:rPr>
        <w:t>。具体使用范围包括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职工公寓</w:t>
      </w:r>
      <w:r>
        <w:rPr>
          <w:rFonts w:hint="eastAsia" w:ascii="仿宋_GB2312" w:hAnsi="微软雅黑" w:eastAsia="仿宋_GB2312" w:cs="仿宋_GB2312"/>
          <w:sz w:val="32"/>
          <w:szCs w:val="32"/>
        </w:rPr>
        <w:t>设施建设、队伍建设及培训演练、预警监测、宣传教育等。</w:t>
      </w:r>
    </w:p>
    <w:p w14:paraId="729692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 w14:paraId="0FDDA2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</w:rPr>
        <w:t>四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宋体" w:eastAsia="黑体" w:cs="黑体"/>
          <w:sz w:val="32"/>
          <w:szCs w:val="32"/>
        </w:rPr>
        <w:t>资金审核、确定与拨付</w:t>
      </w:r>
    </w:p>
    <w:p w14:paraId="59D6F5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奖励资金申报流程。奖励资金实行年度申报制。</w:t>
      </w:r>
    </w:p>
    <w:p w14:paraId="49CE844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rightChars="0" w:firstLine="640" w:firstLineChars="0"/>
        <w:jc w:val="both"/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微软雅黑" w:eastAsia="仿宋_GB2312" w:cs="仿宋_GB2312"/>
          <w:sz w:val="32"/>
          <w:szCs w:val="32"/>
        </w:rPr>
        <w:t>评选验收。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社发局</w:t>
      </w:r>
      <w:r>
        <w:rPr>
          <w:rFonts w:hint="eastAsia" w:ascii="仿宋_GB2312" w:hAnsi="微软雅黑" w:eastAsia="仿宋_GB2312" w:cs="仿宋_GB2312"/>
          <w:sz w:val="32"/>
          <w:szCs w:val="32"/>
        </w:rPr>
        <w:t>会同相关部门通过材料审核、现场核查、综合评比等方式，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确定职工公寓年度考评报告。</w:t>
      </w:r>
    </w:p>
    <w:p w14:paraId="310E3D3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rightChars="0" w:firstLine="640" w:firstLineChars="0"/>
        <w:jc w:val="both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微软雅黑" w:eastAsia="仿宋_GB2312" w:cs="仿宋_GB2312"/>
          <w:sz w:val="32"/>
          <w:szCs w:val="32"/>
        </w:rPr>
        <w:t>分配资金。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社发局</w:t>
      </w:r>
      <w:r>
        <w:rPr>
          <w:rFonts w:hint="eastAsia" w:ascii="仿宋_GB2312" w:hAnsi="微软雅黑" w:eastAsia="仿宋_GB2312" w:cs="仿宋_GB2312"/>
          <w:sz w:val="32"/>
          <w:szCs w:val="32"/>
        </w:rPr>
        <w:t>根据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考评</w:t>
      </w:r>
      <w:r>
        <w:rPr>
          <w:rFonts w:hint="eastAsia" w:ascii="仿宋_GB2312" w:hAnsi="微软雅黑" w:eastAsia="仿宋_GB2312" w:cs="仿宋_GB2312"/>
          <w:sz w:val="32"/>
          <w:szCs w:val="32"/>
        </w:rPr>
        <w:t>结果、年度资金安排等情况，提出年度资金分配方案，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报保税区党委、管委会请示</w:t>
      </w:r>
      <w:r>
        <w:rPr>
          <w:rFonts w:hint="eastAsia" w:ascii="仿宋_GB2312" w:hAnsi="微软雅黑" w:eastAsia="仿宋_GB2312" w:cs="仿宋_GB2312"/>
          <w:sz w:val="32"/>
          <w:szCs w:val="32"/>
        </w:rPr>
        <w:t>。</w:t>
      </w:r>
    </w:p>
    <w:p w14:paraId="4C9611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（三）下达资金。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保税区党委、管委会批准后，社发局会同</w:t>
      </w:r>
      <w:r>
        <w:rPr>
          <w:rFonts w:hint="eastAsia" w:ascii="仿宋_GB2312" w:hAnsi="微软雅黑" w:eastAsia="仿宋_GB2312" w:cs="仿宋_GB2312"/>
          <w:sz w:val="32"/>
          <w:szCs w:val="32"/>
        </w:rPr>
        <w:t>财政局根据资金分配方案，将奖励资金及时下达至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各职工公寓</w:t>
      </w:r>
      <w:r>
        <w:rPr>
          <w:rFonts w:hint="eastAsia" w:ascii="仿宋_GB2312" w:hAnsi="微软雅黑" w:eastAsia="仿宋_GB2312" w:cs="仿宋_GB2312"/>
          <w:sz w:val="32"/>
          <w:szCs w:val="32"/>
        </w:rPr>
        <w:t>。</w:t>
      </w:r>
    </w:p>
    <w:p w14:paraId="3AFEAC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奖励资金纳入预算管理，并按照国库集中支付管理有关规定拨付。</w:t>
      </w:r>
    </w:p>
    <w:p w14:paraId="129020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黑体" w:hAnsi="宋体" w:eastAsia="黑体" w:cs="黑体"/>
          <w:sz w:val="32"/>
          <w:szCs w:val="32"/>
        </w:rPr>
        <w:t>五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宋体" w:eastAsia="黑体" w:cs="黑体"/>
          <w:sz w:val="32"/>
          <w:szCs w:val="32"/>
        </w:rPr>
        <w:t>绩效管理与监督</w:t>
      </w:r>
    </w:p>
    <w:p w14:paraId="12E103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奖励资金实行“谁使用、谁负责”的责任机制，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各职工公寓每年开展资金使用绩效自评，并将绩效自评报告于每年12月底前报社发局备案。</w:t>
      </w:r>
    </w:p>
    <w:p w14:paraId="46AE78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不得从奖励资金中提取工作经费或管理经费，对奖励资金使用过程中弄虚作假，截留、挪用、挤占等违反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微软雅黑" w:eastAsia="仿宋_GB2312" w:cs="仿宋_GB2312"/>
          <w:sz w:val="32"/>
          <w:szCs w:val="32"/>
        </w:rPr>
        <w:t>纪律的行为，将收回奖励资金，取消下年度申报资格，并按《财政违法行为处罚处分条例》等有关规定处理；涉嫌犯罪的，依法移送司法机关处理。</w:t>
      </w:r>
    </w:p>
    <w:p w14:paraId="0A607E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社发</w:t>
      </w:r>
      <w:r>
        <w:rPr>
          <w:rFonts w:hint="eastAsia" w:ascii="仿宋_GB2312" w:hAnsi="微软雅黑" w:eastAsia="仿宋_GB2312" w:cs="仿宋_GB2312"/>
          <w:sz w:val="32"/>
          <w:szCs w:val="32"/>
        </w:rPr>
        <w:t>局按照全面实施预算绩效管理的要求，建立健全奖励资金全过程预算绩效管理机制，按要求组织实施奖励资金绩效目标管理、绩效运行监控管理、绩效自评和部门自评。</w:t>
      </w:r>
    </w:p>
    <w:p w14:paraId="3C54CD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财政局根据需要适时组织开展财政重点绩效评价，将绩效评价结果作为完善政策、改进管理和安排预算的重要参考依据。</w:t>
      </w:r>
    </w:p>
    <w:p w14:paraId="0EC2CB1E"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Times New Roman"/>
          <w:i w:val="0"/>
          <w:iCs w:val="0"/>
          <w:snapToGrid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</w:p>
    <w:p w14:paraId="7C2276EB"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Times New Roman"/>
          <w:i w:val="0"/>
          <w:iCs w:val="0"/>
          <w:snapToGrid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</w:p>
    <w:p w14:paraId="6817A11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EBD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5E2A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5E2A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66F33"/>
    <w:rsid w:val="1AA0603E"/>
    <w:rsid w:val="5A0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2025-02-25T05:25:00Z</dcterms:created>
  <dc:creator>欣源</dc:creator>
  <cp:lastModifiedBy>欣源</cp:lastModifiedBy>
  <cp:lastPrinted>2025-02-25T05:39:57Z</cp:lastPrinted>
  <dcterms:modified xsi:type="dcterms:W3CDTF">2025-02-25T05:39:59Z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466BE53281A743E5907ACBE0788B24A1_11</vt:lpwstr>
  </property>
  <property fmtid="{D5CDD505-2E9C-101B-9397-08002B2CF9AE}" pid="4" name="KSOTemplateDocerSaveRecord">
    <vt:lpwstr>eyJoZGlkIjoiZTdlZTIzNjE4NDZlZTlmZWJmNTA2ODY0OTRmMGRkYTYiLCJ1c2VySWQiOiI1Nzk2MDE4NTQifQ==</vt:lpwstr>
  </property>
</Properties>
</file>