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eastAsia="方正小标宋简体"/>
          <w:sz w:val="44"/>
          <w:szCs w:val="44"/>
        </w:rPr>
      </w:pPr>
    </w:p>
    <w:p>
      <w:pPr>
        <w:spacing w:line="600" w:lineRule="exact"/>
        <w:jc w:val="center"/>
        <w:rPr>
          <w:rFonts w:hint="eastAsia" w:eastAsia="方正小标宋简体"/>
          <w:sz w:val="44"/>
          <w:szCs w:val="44"/>
        </w:rPr>
      </w:pPr>
    </w:p>
    <w:p>
      <w:pPr>
        <w:spacing w:line="600" w:lineRule="exact"/>
        <w:jc w:val="center"/>
        <w:rPr>
          <w:rFonts w:hint="eastAsia" w:eastAsia="方正小标宋简体"/>
          <w:sz w:val="44"/>
          <w:szCs w:val="44"/>
        </w:rPr>
      </w:pPr>
      <w:r>
        <w:rPr>
          <w:rFonts w:hint="eastAsia" w:eastAsia="方正小标宋简体"/>
          <w:sz w:val="44"/>
          <w:szCs w:val="44"/>
        </w:rPr>
        <w:t>关于对《滨海新区公益性公墓（骨灰堂） 收费标准定价方案（试行）》征求意见的公告</w:t>
      </w:r>
    </w:p>
    <w:p>
      <w:pPr>
        <w:spacing w:line="600" w:lineRule="exact"/>
        <w:ind w:firstLine="640" w:firstLineChars="200"/>
        <w:jc w:val="left"/>
        <w:rPr>
          <w:rFonts w:hint="eastAsia" w:ascii="仿宋_GB2312" w:hAnsi="Calibri" w:eastAsia="仿宋_GB2312"/>
          <w:color w:val="000000"/>
          <w:sz w:val="32"/>
          <w:szCs w:val="32"/>
        </w:rPr>
      </w:pPr>
      <w:r>
        <w:rPr>
          <w:rFonts w:hint="eastAsia" w:eastAsia="仿宋_GB2312"/>
          <w:sz w:val="32"/>
          <w:szCs w:val="32"/>
        </w:rPr>
        <w:t>为加强和规范公益性公墓（骨灰堂）收费管理，维护人民群众利益，营造规范有序的殡葬服务环境，依据《国家发展改革委 民政部关于进一步加强殡葬服务收费管理有关问题的指导意见》（发改价格[2012]673号）、《市民政局市发展改革委市市场监管委市农业农村委关于印发天津市公益性公墓（骨灰堂）收费管理暂行办法的通知》（津民规[2021]3号）和《市发展改革委关于印发&lt;天津市定价目录&gt;的通知》（津发改价管[2025]161号）精神，</w:t>
      </w:r>
      <w:r>
        <w:rPr>
          <w:rFonts w:hint="eastAsia" w:ascii="仿宋_GB2312" w:hAnsi="Calibri" w:eastAsia="仿宋_GB2312"/>
          <w:color w:val="000000"/>
          <w:sz w:val="32"/>
          <w:szCs w:val="32"/>
        </w:rPr>
        <w:t>区民政局、区发展改革委、区市场局和区农委联合</w:t>
      </w:r>
      <w:r>
        <w:rPr>
          <w:rFonts w:hint="eastAsia" w:eastAsia="仿宋_GB2312"/>
          <w:sz w:val="32"/>
          <w:szCs w:val="32"/>
        </w:rPr>
        <w:t>制定《滨海新区公益性公墓（骨灰堂） 收费标准定价方案（试行）》（征求意见稿），</w:t>
      </w:r>
      <w:r>
        <w:rPr>
          <w:rFonts w:hint="eastAsia" w:ascii="仿宋_GB2312" w:hAnsi="Calibri" w:eastAsia="仿宋_GB2312"/>
          <w:color w:val="000000"/>
          <w:sz w:val="32"/>
          <w:szCs w:val="32"/>
        </w:rPr>
        <w:t>现向社会公开征求意见，具体安排如下：</w:t>
      </w:r>
    </w:p>
    <w:p>
      <w:pPr>
        <w:spacing w:line="600" w:lineRule="exact"/>
        <w:ind w:firstLine="640" w:firstLineChars="200"/>
        <w:jc w:val="left"/>
        <w:rPr>
          <w:rFonts w:hint="eastAsia" w:ascii="黑体" w:eastAsia="黑体"/>
          <w:sz w:val="32"/>
          <w:szCs w:val="32"/>
        </w:rPr>
      </w:pPr>
      <w:r>
        <w:rPr>
          <w:rFonts w:hint="eastAsia" w:ascii="黑体" w:eastAsia="黑体"/>
          <w:sz w:val="32"/>
          <w:szCs w:val="32"/>
        </w:rPr>
        <w:t>一、意见征求时间</w:t>
      </w:r>
    </w:p>
    <w:p>
      <w:pPr>
        <w:spacing w:line="600" w:lineRule="exact"/>
        <w:ind w:firstLine="640" w:firstLineChars="200"/>
        <w:jc w:val="left"/>
        <w:rPr>
          <w:rFonts w:hint="eastAsia" w:ascii="仿宋_GB2312" w:hAnsi="Calibri" w:eastAsia="仿宋_GB2312"/>
          <w:color w:val="000000"/>
          <w:sz w:val="32"/>
          <w:szCs w:val="32"/>
        </w:rPr>
      </w:pPr>
      <w:r>
        <w:rPr>
          <w:rFonts w:hint="eastAsia" w:ascii="仿宋_GB2312" w:hAnsi="Calibri" w:eastAsia="仿宋_GB2312"/>
          <w:color w:val="000000"/>
          <w:sz w:val="32"/>
          <w:szCs w:val="32"/>
        </w:rPr>
        <w:t>2025年6月</w:t>
      </w:r>
      <w:r>
        <w:rPr>
          <w:rFonts w:hint="default" w:ascii="仿宋_GB2312" w:hAnsi="Calibri" w:eastAsia="仿宋_GB2312"/>
          <w:color w:val="000000"/>
          <w:sz w:val="32"/>
          <w:szCs w:val="32"/>
          <w:lang w:val="en"/>
        </w:rPr>
        <w:t>4</w:t>
      </w:r>
      <w:r>
        <w:rPr>
          <w:rFonts w:hint="eastAsia" w:ascii="仿宋_GB2312" w:hAnsi="Calibri" w:eastAsia="仿宋_GB2312"/>
          <w:color w:val="000000"/>
          <w:sz w:val="32"/>
          <w:szCs w:val="32"/>
        </w:rPr>
        <w:t>日至7月</w:t>
      </w:r>
      <w:r>
        <w:rPr>
          <w:rFonts w:hint="default" w:ascii="仿宋_GB2312" w:hAnsi="Calibri" w:eastAsia="仿宋_GB2312"/>
          <w:color w:val="000000"/>
          <w:sz w:val="32"/>
          <w:szCs w:val="32"/>
          <w:lang w:val="en"/>
        </w:rPr>
        <w:t>5</w:t>
      </w:r>
      <w:r>
        <w:rPr>
          <w:rFonts w:hint="eastAsia" w:ascii="仿宋_GB2312" w:hAnsi="Calibri" w:eastAsia="仿宋_GB2312"/>
          <w:color w:val="000000"/>
          <w:sz w:val="32"/>
          <w:szCs w:val="32"/>
        </w:rPr>
        <w:t>日</w:t>
      </w:r>
    </w:p>
    <w:p>
      <w:pPr>
        <w:spacing w:line="600" w:lineRule="exact"/>
        <w:ind w:firstLine="640" w:firstLineChars="200"/>
        <w:jc w:val="left"/>
        <w:rPr>
          <w:rFonts w:hint="eastAsia" w:ascii="黑体" w:eastAsia="黑体"/>
          <w:sz w:val="32"/>
          <w:szCs w:val="32"/>
        </w:rPr>
      </w:pPr>
      <w:r>
        <w:rPr>
          <w:rFonts w:hint="eastAsia" w:ascii="黑体" w:eastAsia="黑体"/>
          <w:sz w:val="32"/>
          <w:szCs w:val="32"/>
        </w:rPr>
        <w:t>二、意见收集方式</w:t>
      </w:r>
    </w:p>
    <w:p>
      <w:pPr>
        <w:spacing w:line="600" w:lineRule="exact"/>
        <w:ind w:firstLine="640" w:firstLineChars="200"/>
        <w:jc w:val="left"/>
        <w:rPr>
          <w:rFonts w:hint="eastAsia" w:ascii="仿宋_GB2312" w:hAnsi="Calibri" w:eastAsia="仿宋_GB2312"/>
          <w:color w:val="000000"/>
          <w:sz w:val="32"/>
          <w:szCs w:val="32"/>
        </w:rPr>
      </w:pPr>
      <w:r>
        <w:rPr>
          <w:rFonts w:hint="eastAsia" w:ascii="仿宋_GB2312" w:hAnsi="Calibri" w:eastAsia="仿宋_GB2312"/>
          <w:color w:val="000000"/>
          <w:sz w:val="32"/>
          <w:szCs w:val="32"/>
        </w:rPr>
        <w:t>可通过电子邮箱（bhmzjshswgls@tj.gov.cn）反馈意见。</w:t>
      </w:r>
    </w:p>
    <w:p>
      <w:pPr>
        <w:spacing w:line="600" w:lineRule="exact"/>
        <w:ind w:firstLine="640" w:firstLineChars="200"/>
        <w:jc w:val="left"/>
        <w:rPr>
          <w:rFonts w:hint="eastAsia" w:eastAsia="仿宋_GB2312"/>
          <w:sz w:val="32"/>
          <w:szCs w:val="32"/>
        </w:rPr>
      </w:pPr>
    </w:p>
    <w:p>
      <w:pPr>
        <w:spacing w:line="600" w:lineRule="exact"/>
        <w:ind w:firstLine="640" w:firstLineChars="200"/>
        <w:jc w:val="right"/>
        <w:rPr>
          <w:rFonts w:hint="eastAsia" w:eastAsia="仿宋_GB2312"/>
          <w:sz w:val="32"/>
          <w:szCs w:val="32"/>
        </w:rPr>
      </w:pPr>
      <w:r>
        <w:rPr>
          <w:rFonts w:hint="eastAsia" w:eastAsia="仿宋_GB2312"/>
          <w:sz w:val="32"/>
          <w:szCs w:val="32"/>
        </w:rPr>
        <w:t>滨海新区民政局</w:t>
      </w:r>
    </w:p>
    <w:p>
      <w:pPr>
        <w:spacing w:line="600" w:lineRule="exact"/>
        <w:ind w:firstLine="640" w:firstLineChars="200"/>
        <w:jc w:val="right"/>
        <w:rPr>
          <w:rFonts w:hint="eastAsia" w:ascii="仿宋_GB2312" w:hAnsi="Calibri" w:eastAsia="仿宋_GB2312"/>
          <w:color w:val="000000"/>
          <w:sz w:val="32"/>
          <w:szCs w:val="32"/>
        </w:rPr>
      </w:pPr>
      <w:r>
        <w:rPr>
          <w:rFonts w:hint="eastAsia" w:ascii="仿宋_GB2312" w:hAnsi="Calibri" w:eastAsia="仿宋_GB2312"/>
          <w:color w:val="000000"/>
          <w:sz w:val="32"/>
          <w:szCs w:val="32"/>
        </w:rPr>
        <w:t>2025年</w:t>
      </w:r>
      <w:r>
        <w:rPr>
          <w:rFonts w:hint="default" w:ascii="仿宋_GB2312" w:hAnsi="Calibri" w:eastAsia="仿宋_GB2312"/>
          <w:color w:val="000000"/>
          <w:sz w:val="32"/>
          <w:szCs w:val="32"/>
          <w:lang w:val="en"/>
        </w:rPr>
        <w:t>6</w:t>
      </w:r>
      <w:r>
        <w:rPr>
          <w:rFonts w:hint="eastAsia" w:ascii="仿宋_GB2312" w:hAnsi="Calibri" w:eastAsia="仿宋_GB2312"/>
          <w:color w:val="000000"/>
          <w:sz w:val="32"/>
          <w:szCs w:val="32"/>
        </w:rPr>
        <w:t>月</w:t>
      </w:r>
      <w:bookmarkStart w:id="0" w:name="_GoBack"/>
      <w:bookmarkEnd w:id="0"/>
      <w:r>
        <w:rPr>
          <w:rFonts w:hint="default" w:ascii="仿宋_GB2312" w:hAnsi="Calibri" w:eastAsia="仿宋_GB2312"/>
          <w:color w:val="000000"/>
          <w:sz w:val="32"/>
          <w:szCs w:val="32"/>
          <w:lang w:val="en"/>
        </w:rPr>
        <w:t>3</w:t>
      </w:r>
      <w:r>
        <w:rPr>
          <w:rFonts w:hint="eastAsia" w:ascii="仿宋_GB2312" w:hAnsi="Calibri" w:eastAsia="仿宋_GB2312"/>
          <w:color w:val="000000"/>
          <w:sz w:val="32"/>
          <w:szCs w:val="32"/>
        </w:rPr>
        <w:t>日</w:t>
      </w:r>
    </w:p>
    <w:p>
      <w:pPr>
        <w:spacing w:line="600" w:lineRule="exact"/>
        <w:ind w:firstLine="640" w:firstLineChars="200"/>
        <w:jc w:val="right"/>
        <w:rPr>
          <w:rFonts w:hint="eastAsia" w:ascii="仿宋_GB2312" w:hAnsi="Calibri" w:eastAsia="仿宋_GB2312"/>
          <w:color w:val="000000"/>
          <w:sz w:val="32"/>
          <w:szCs w:val="32"/>
        </w:rPr>
      </w:pPr>
    </w:p>
    <w:p>
      <w:pPr>
        <w:spacing w:line="600" w:lineRule="exact"/>
        <w:jc w:val="center"/>
        <w:rPr>
          <w:rFonts w:hint="eastAsia" w:eastAsia="方正小标宋简体"/>
          <w:sz w:val="44"/>
          <w:szCs w:val="44"/>
        </w:rPr>
      </w:pPr>
      <w:r>
        <w:rPr>
          <w:rFonts w:hint="eastAsia" w:eastAsia="方正小标宋简体"/>
          <w:sz w:val="44"/>
          <w:szCs w:val="44"/>
        </w:rPr>
        <w:t>背景介绍</w:t>
      </w:r>
    </w:p>
    <w:p>
      <w:pPr>
        <w:spacing w:line="600" w:lineRule="exact"/>
        <w:ind w:firstLine="640" w:firstLineChars="200"/>
        <w:jc w:val="left"/>
        <w:rPr>
          <w:rFonts w:hint="eastAsia" w:ascii="仿宋_GB2312" w:hAnsi="Calibri" w:eastAsia="仿宋_GB2312"/>
          <w:color w:val="000000"/>
          <w:sz w:val="32"/>
          <w:szCs w:val="32"/>
        </w:rPr>
      </w:pPr>
      <w:r>
        <w:rPr>
          <w:rFonts w:hint="eastAsia" w:eastAsia="仿宋_GB2312"/>
          <w:sz w:val="32"/>
          <w:szCs w:val="32"/>
        </w:rPr>
        <w:t>为加强和规范公益性公墓（骨灰堂）收费管理，维护人民群众利益，营造规范有序的殡葬服务环境，依据《国家发展改革委 民政部关于进一步加强殡葬服务收费管理有关问题的指导意见》（发改价格[2012]673号）、《市民政局市发展改革委市市场监管委市农业农村委关于印发天津市公益性公墓（骨灰堂）收费管理暂行办法的通知》（津民规[2021]3号）和《市发展改革委关于印发&lt;天津市定价目录&gt;的通知》（津发改价管[2025]161号）精神，</w:t>
      </w:r>
      <w:r>
        <w:rPr>
          <w:rFonts w:hint="eastAsia" w:ascii="仿宋_GB2312" w:hAnsi="Calibri" w:eastAsia="仿宋_GB2312"/>
          <w:color w:val="000000"/>
          <w:sz w:val="32"/>
          <w:szCs w:val="32"/>
        </w:rPr>
        <w:t>区民政局会同区发展改革委、区市场局和区农委，采购第三方公司对</w:t>
      </w:r>
      <w:r>
        <w:rPr>
          <w:rFonts w:hint="eastAsia" w:eastAsia="仿宋_GB2312"/>
          <w:sz w:val="32"/>
          <w:szCs w:val="32"/>
        </w:rPr>
        <w:t>公益性公墓（骨灰堂）</w:t>
      </w:r>
      <w:r>
        <w:rPr>
          <w:rFonts w:hint="eastAsia" w:ascii="仿宋_GB2312" w:hAnsi="Calibri" w:eastAsia="仿宋_GB2312"/>
          <w:color w:val="000000"/>
          <w:sz w:val="32"/>
          <w:szCs w:val="32"/>
        </w:rPr>
        <w:t>进行抽样调查，并出具成本调查报告。综合成本调查结果和规范化管理实际，按照非营利兼顾居民承受能力的原则，现</w:t>
      </w:r>
      <w:r>
        <w:rPr>
          <w:rFonts w:hint="eastAsia" w:eastAsia="仿宋_GB2312"/>
          <w:sz w:val="32"/>
          <w:szCs w:val="32"/>
        </w:rPr>
        <w:t>制定《滨海新区公益性公墓（骨灰堂） 收费标准定价方案（试行）》（征求意见稿），并向社会公开征求意见。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C3123"/>
    <w:rsid w:val="001D352C"/>
    <w:rsid w:val="00464D9C"/>
    <w:rsid w:val="004F4C1C"/>
    <w:rsid w:val="007C3123"/>
    <w:rsid w:val="00816836"/>
    <w:rsid w:val="00940465"/>
    <w:rsid w:val="00C748F6"/>
    <w:rsid w:val="00F44FBB"/>
    <w:rsid w:val="716D1295"/>
    <w:rsid w:val="7FDE7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日期 Char"/>
    <w:basedOn w:val="7"/>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116</Words>
  <Characters>665</Characters>
  <Lines>5</Lines>
  <Paragraphs>1</Paragraphs>
  <TotalTime>36</TotalTime>
  <ScaleCrop>false</ScaleCrop>
  <LinksUpToDate>false</LinksUpToDate>
  <CharactersWithSpaces>780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2025-05-29T22:54:00Z</dcterms:created>
  <dc:creator>Microsoft</dc:creator>
  <cp:lastModifiedBy>kylin</cp:lastModifiedBy>
  <dcterms:modified xsi:type="dcterms:W3CDTF">2025-06-03T17:00:56Z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