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65" w:rsidRDefault="00D94E65" w:rsidP="00D94E65">
      <w:pPr>
        <w:spacing w:line="6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94E65" w:rsidRDefault="00D94E65" w:rsidP="00D94E65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滨海新区户外广告设施（牌匾）许可</w:t>
      </w:r>
    </w:p>
    <w:p w:rsidR="00D94E65" w:rsidRDefault="00D94E65" w:rsidP="00D94E65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告知承诺书</w:t>
      </w:r>
    </w:p>
    <w:p w:rsidR="00D94E65" w:rsidRDefault="00D94E65" w:rsidP="00D94E65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pPr w:leftFromText="180" w:rightFromText="180" w:vertAnchor="text" w:horzAnchor="page" w:tblpX="1407" w:tblpY="134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138"/>
        <w:gridCol w:w="3025"/>
        <w:gridCol w:w="2235"/>
      </w:tblGrid>
      <w:tr w:rsidR="00D94E65" w:rsidTr="006B7BF8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申请单位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jc w:val="both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法定代表人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64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营业执照地址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设计单位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施工单位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设置地点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所属街镇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材质结构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设置数量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光源形式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内光源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无光源</w:t>
            </w: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是否包含商标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kern w:val="2"/>
                <w:sz w:val="32"/>
                <w:szCs w:val="32"/>
              </w:rPr>
              <w:t>是否取得商标注册证及商标授权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 w:hint="eastAsia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牌匾内容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牌匾形式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附壁式横牌匾</w:t>
            </w:r>
            <w:proofErr w:type="gram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附壁式竖牌匾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附壁单体字</w:t>
            </w: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设置规格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bCs/>
              </w:rPr>
              <w:t>米</w:t>
            </w:r>
            <w:r>
              <w:rPr>
                <w:rFonts w:ascii="Times New Roman" w:eastAsia="仿宋_GB2312" w:hAnsi="Times New Roman"/>
                <w:bCs/>
              </w:rPr>
              <w:t>×</w:t>
            </w:r>
            <w:r>
              <w:rPr>
                <w:rFonts w:ascii="Times New Roman" w:eastAsia="仿宋_GB2312" w:hAnsi="Times New Roman"/>
                <w:bCs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bCs/>
              </w:rPr>
              <w:t>米</w:t>
            </w:r>
          </w:p>
        </w:tc>
      </w:tr>
      <w:tr w:rsidR="00D94E65" w:rsidTr="006B7BF8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拟安装日期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65" w:rsidRDefault="00D94E65" w:rsidP="006B7BF8">
            <w:pPr>
              <w:pStyle w:val="Char"/>
              <w:adjustRightInd/>
              <w:spacing w:line="240" w:lineRule="auto"/>
              <w:rPr>
                <w:rFonts w:ascii="Times New Roman" w:eastAsia="仿宋_GB2312" w:hAnsi="Times New Roman"/>
                <w:bCs/>
                <w:u w:val="single"/>
              </w:rPr>
            </w:pPr>
          </w:p>
        </w:tc>
      </w:tr>
    </w:tbl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二、告知内容 </w:t>
      </w: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（一）办理事项</w:t>
      </w: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户外广告及临时悬挂、设置标语或者宣传品许可</w:t>
      </w:r>
    </w:p>
    <w:p w:rsidR="00D94E65" w:rsidRDefault="00D94E65" w:rsidP="00D94E65">
      <w:pPr>
        <w:spacing w:line="62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（二）办理依据</w:t>
      </w: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《城市市容和环境卫生管理条例》</w:t>
      </w: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《天津市市容和环境卫生管理条例》</w:t>
      </w: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cs="仿宋_GB2312" w:hint="eastAsia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（三）设置要求</w:t>
      </w:r>
      <w:r>
        <w:rPr>
          <w:rFonts w:eastAsia="仿宋_GB2312" w:hint="eastAsia"/>
          <w:bCs/>
          <w:sz w:val="32"/>
          <w:szCs w:val="32"/>
        </w:rPr>
        <w:t xml:space="preserve">                       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 xml:space="preserve">     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牌匾设置应</w:t>
      </w:r>
      <w:r>
        <w:rPr>
          <w:rFonts w:ascii="仿宋_GB2312" w:eastAsia="仿宋_GB2312" w:hAnsi="Arial" w:cs="Arial" w:hint="eastAsia"/>
          <w:sz w:val="32"/>
          <w:szCs w:val="32"/>
        </w:rPr>
        <w:t>遵循“一店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牌、一单位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牌”原则，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以“安全、规范、协调、美观”为目标，按照《城市户外广告和招牌设施技术标准》《天津市户外广告设置管理规定》《天津市户外广告设施设置技术规范》等文件要求，规范设置。</w:t>
      </w:r>
    </w:p>
    <w:p w:rsidR="00D94E65" w:rsidRDefault="00D94E65" w:rsidP="00D94E65">
      <w:pPr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在设置牌匾前，已取得产权证明（房本及有效期内的租赁合同）；取得产权人同意占用的书面协议，如涉及</w:t>
      </w:r>
      <w:r>
        <w:rPr>
          <w:rFonts w:eastAsia="仿宋_GB2312" w:hint="eastAsia"/>
          <w:bCs/>
          <w:sz w:val="32"/>
          <w:szCs w:val="32"/>
        </w:rPr>
        <w:t>法定相邻关系的，取得相邻人同意设置的书面协议。</w:t>
      </w:r>
    </w:p>
    <w:p w:rsidR="00D94E65" w:rsidRDefault="00D94E65" w:rsidP="00D94E65">
      <w:pPr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>牌匾设置不遮挡绿化和市容景观，不妨碍市政公用设施、无障碍设施、交通安全设施、消防设施等使用，不妨碍安全视距或影响通行、居民生活，不影响建筑物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外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檐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效果和整体造型，不遮盖建筑物的玻璃幕墙和窗户，不影响日常采光、通风，不超过屋顶。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牌匾设置</w:t>
      </w:r>
      <w:r>
        <w:rPr>
          <w:rFonts w:ascii="仿宋_GB2312" w:eastAsia="仿宋_GB2312" w:hAnsi="Arial" w:cs="Arial" w:hint="eastAsia"/>
          <w:sz w:val="32"/>
          <w:szCs w:val="32"/>
        </w:rPr>
        <w:t>位置适当，比例协调，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整体色调、风格、造型与</w:t>
      </w:r>
      <w:r>
        <w:rPr>
          <w:rFonts w:ascii="仿宋_GB2312" w:eastAsia="仿宋_GB2312" w:hAnsi="Arial" w:cs="Arial" w:hint="eastAsia"/>
          <w:sz w:val="32"/>
          <w:szCs w:val="32"/>
        </w:rPr>
        <w:t>周围环境、建筑相协调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内容健康，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含有损害国家和社会公共利益，可能对公众造成欺骗或者误解的内容。使用规范汉字，</w:t>
      </w:r>
      <w:r>
        <w:rPr>
          <w:rFonts w:ascii="仿宋_GB2312" w:eastAsia="仿宋_GB2312" w:hAnsi="仿宋" w:cs="仿宋" w:hint="eastAsia"/>
          <w:sz w:val="32"/>
          <w:szCs w:val="32"/>
        </w:rPr>
        <w:t>不出现不规范的简化字和错别字，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字体大气、美观、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lastRenderedPageBreak/>
        <w:t>清晰，如涉及商标，已取得商标注册证及商标授权。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同一栋建筑立面上相邻牌匾的尺寸、悬挂位置、出挑尺寸整体协调，牌面左右不凸出墙面的外轮廓线。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6.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擅自改变建（构）筑物外墙结构和色调，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擅自拆改或搭建，不利用危房设置或设置后危及建（构）筑物和设施安全。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7.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牌匾设置符合节能和环保要求，采用新技术、新材料、新光源、新工艺，无空白牌匾和破损牌匾。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在设置牌匾时应当保证安全施工，满足防雷、抗风、抗震等要求。设置金属材质牌匾的，应对金属结构进行防腐、防锈等处理。</w:t>
      </w:r>
      <w:r>
        <w:rPr>
          <w:rFonts w:ascii="仿宋_GB2312" w:eastAsia="仿宋_GB2312" w:hAnsi="Arial" w:cs="Arial" w:hint="eastAsia"/>
          <w:sz w:val="32"/>
          <w:szCs w:val="32"/>
        </w:rPr>
        <w:t>设置带有光源的牌匾的，应保证电气系统符合防水、绝缘等要求。申请人应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定期养护和维修，采取必要的安全防护措施，保持牌匾的安全、整洁和完好。</w:t>
      </w:r>
    </w:p>
    <w:p w:rsidR="00D94E65" w:rsidRDefault="00D94E65" w:rsidP="00D94E65">
      <w:pPr>
        <w:spacing w:line="6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（四）违诺惩戒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申请人应</w:t>
      </w:r>
      <w:r>
        <w:rPr>
          <w:rFonts w:ascii="仿宋_GB2312" w:eastAsia="仿宋_GB2312" w:hAnsi="仿宋" w:hint="eastAsia"/>
          <w:sz w:val="32"/>
          <w:szCs w:val="32"/>
        </w:rPr>
        <w:t>严格按照告知承诺书要求设置牌匾，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主动接受</w:t>
      </w:r>
      <w:r>
        <w:rPr>
          <w:rFonts w:eastAsia="仿宋_GB2312" w:hAnsi="仿宋_GB2312"/>
          <w:sz w:val="32"/>
          <w:szCs w:val="32"/>
        </w:rPr>
        <w:t>区城市管理部门和属地街镇执法部门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的监督和管理。</w:t>
      </w:r>
    </w:p>
    <w:p w:rsidR="00D94E65" w:rsidRDefault="00D94E65" w:rsidP="00D94E65">
      <w:pPr>
        <w:spacing w:line="580" w:lineRule="exact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不实承诺的，行政机关依法撤销已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的行政决定，申请人对依据决定发生的行为给第三方造成的影响、损失和产生的法律后果，依法承担相应的</w:t>
      </w:r>
      <w:r>
        <w:rPr>
          <w:rFonts w:ascii="仿宋_GB2312" w:eastAsia="仿宋_GB2312" w:hAnsi="黑体" w:hint="eastAsia"/>
          <w:sz w:val="32"/>
          <w:szCs w:val="32"/>
        </w:rPr>
        <w:t>民事、行政、刑事责任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94E65" w:rsidRDefault="00D94E65" w:rsidP="00D94E65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三、承诺内容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/>
          <w:color w:val="000000"/>
          <w:sz w:val="32"/>
          <w:szCs w:val="32"/>
        </w:rPr>
        <w:t>本单位已认真学习了相关法律法规规章和规范性文件，</w:t>
      </w: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了解了该项行政许可的有关要求，对有关规定的内容已经知晓和全面理解，承诺自身能够满足办理该事项的条件、标准和技术要求。</w:t>
      </w:r>
    </w:p>
    <w:p w:rsidR="00D94E65" w:rsidRDefault="00D94E65" w:rsidP="00D94E65">
      <w:pPr>
        <w:spacing w:line="360" w:lineRule="auto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本单位</w:t>
      </w:r>
      <w:r>
        <w:rPr>
          <w:rFonts w:ascii="Times New Roman" w:eastAsia="仿宋_GB2312"/>
          <w:sz w:val="32"/>
          <w:szCs w:val="32"/>
        </w:rPr>
        <w:t>承诺所提供的材料内容</w:t>
      </w:r>
      <w:proofErr w:type="gramStart"/>
      <w:r>
        <w:rPr>
          <w:rFonts w:ascii="Times New Roman" w:eastAsia="仿宋_GB2312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准确</w:t>
      </w:r>
      <w:r>
        <w:rPr>
          <w:rFonts w:ascii="Times New Roman" w:eastAsia="仿宋_GB2312"/>
          <w:sz w:val="32"/>
          <w:szCs w:val="32"/>
        </w:rPr>
        <w:t>、合法、有效</w:t>
      </w: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已知晓违反承诺的后果，对违反承诺的行为或超越承诺范围进行活动的行为，愿意承担相应的法律责任。因违反有关法律法规及承诺，被撤销行政决定所造成的经济和法律后果，愿意自行承担。</w:t>
      </w:r>
    </w:p>
    <w:p w:rsidR="00D94E65" w:rsidRDefault="00D94E65" w:rsidP="00D94E65">
      <w:pPr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>本单位承诺在设置牌匾过程中严格遵守有关法律法规的规定，</w:t>
      </w:r>
      <w:r>
        <w:rPr>
          <w:rFonts w:ascii="Times New Roman" w:eastAsia="仿宋_GB2312" w:hAnsi="Times New Roman"/>
          <w:sz w:val="32"/>
          <w:szCs w:val="32"/>
        </w:rPr>
        <w:t>对牌匾进行定期检查维护，并承担相应的安全管理责任，</w:t>
      </w:r>
      <w:r>
        <w:rPr>
          <w:rFonts w:ascii="Times New Roman" w:eastAsia="仿宋_GB2312" w:hAnsi="Times New Roman"/>
          <w:kern w:val="0"/>
          <w:sz w:val="32"/>
          <w:szCs w:val="32"/>
        </w:rPr>
        <w:t>接受</w:t>
      </w:r>
      <w:r>
        <w:rPr>
          <w:rFonts w:eastAsia="仿宋_GB2312" w:hAnsi="Times New Roman"/>
          <w:sz w:val="32"/>
          <w:szCs w:val="32"/>
        </w:rPr>
        <w:t>区城市管理部门和属地街镇执法部门</w:t>
      </w:r>
      <w:r>
        <w:rPr>
          <w:rFonts w:ascii="Times New Roman" w:eastAsia="仿宋_GB2312" w:hAnsi="Times New Roman"/>
          <w:kern w:val="0"/>
          <w:sz w:val="32"/>
          <w:szCs w:val="32"/>
        </w:rPr>
        <w:t>的监督和管理。</w:t>
      </w:r>
    </w:p>
    <w:p w:rsidR="00D94E65" w:rsidRDefault="00D94E65" w:rsidP="00D94E65">
      <w:pPr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kern w:val="0"/>
          <w:sz w:val="32"/>
          <w:szCs w:val="32"/>
        </w:rPr>
        <w:t>本单位承诺</w:t>
      </w:r>
      <w:r>
        <w:rPr>
          <w:rFonts w:eastAsia="仿宋_GB2312" w:hAnsi="Times New Roman"/>
          <w:sz w:val="32"/>
          <w:szCs w:val="32"/>
        </w:rPr>
        <w:t>牌匾因城市规划建设、综合整修等原因确需拆除的，积极配合、主动服从。</w:t>
      </w:r>
    </w:p>
    <w:p w:rsidR="00D94E65" w:rsidRDefault="00D94E65" w:rsidP="00D94E65">
      <w:pPr>
        <w:spacing w:line="360" w:lineRule="auto"/>
        <w:ind w:firstLineChars="200" w:firstLine="640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/>
          <w:kern w:val="0"/>
          <w:sz w:val="32"/>
          <w:szCs w:val="32"/>
        </w:rPr>
        <w:t>以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上陈述</w:t>
      </w:r>
      <w:r>
        <w:rPr>
          <w:rFonts w:ascii="仿宋_GB2312" w:eastAsia="仿宋_GB2312" w:hAnsi="仿宋" w:cs="Microsoft JhengHei" w:hint="eastAsia"/>
          <w:spacing w:val="2"/>
          <w:kern w:val="0"/>
          <w:sz w:val="32"/>
          <w:szCs w:val="32"/>
        </w:rPr>
        <w:t>真实、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有效，是本单位真实意思的表示。</w:t>
      </w:r>
    </w:p>
    <w:p w:rsidR="00D94E65" w:rsidRDefault="00D94E65" w:rsidP="00D94E65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</w:p>
    <w:p w:rsidR="00D94E65" w:rsidRDefault="00D94E65" w:rsidP="00D94E65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</w:p>
    <w:p w:rsidR="00D94E65" w:rsidRDefault="00D94E65" w:rsidP="00D94E65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 w:hint="eastAsia"/>
          <w:kern w:val="0"/>
          <w:sz w:val="32"/>
          <w:szCs w:val="32"/>
        </w:rPr>
      </w:pP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                     申请单位（盖章）：</w:t>
      </w:r>
    </w:p>
    <w:p w:rsidR="00D94E65" w:rsidRDefault="00D94E65" w:rsidP="00D94E65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                          年   月  日</w:t>
      </w:r>
    </w:p>
    <w:p w:rsidR="00D94E65" w:rsidRDefault="00D94E65" w:rsidP="00D94E65"/>
    <w:p w:rsidR="00756DFD" w:rsidRDefault="00D94E65" w:rsidP="00D94E65">
      <w:r>
        <w:rPr>
          <w:rFonts w:ascii="仿宋_GB2312" w:eastAsia="仿宋_GB2312" w:hAnsi="仿宋_GB2312" w:cs="仿宋_GB2312"/>
          <w:sz w:val="32"/>
          <w:szCs w:val="32"/>
        </w:rPr>
        <w:br w:type="page"/>
      </w:r>
      <w:bookmarkStart w:id="0" w:name="_GoBack"/>
      <w:bookmarkEnd w:id="0"/>
    </w:p>
    <w:sectPr w:rsidR="0075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65"/>
    <w:rsid w:val="00435745"/>
    <w:rsid w:val="004C3B18"/>
    <w:rsid w:val="00756DFD"/>
    <w:rsid w:val="00B408D5"/>
    <w:rsid w:val="00D339BE"/>
    <w:rsid w:val="00D94E65"/>
    <w:rsid w:val="00E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7AE83-DDDC-47DC-8AA8-C59602C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报告书表格 Char"/>
    <w:basedOn w:val="a"/>
    <w:uiPriority w:val="99"/>
    <w:qFormat/>
    <w:rsid w:val="00D94E65"/>
    <w:pPr>
      <w:adjustRightInd w:val="0"/>
      <w:spacing w:line="240" w:lineRule="atLeast"/>
      <w:jc w:val="center"/>
      <w:textAlignment w:val="baseline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1398</Characters>
  <Application>Microsoft Office Word</Application>
  <DocSecurity>0</DocSecurity>
  <Lines>11</Lines>
  <Paragraphs>3</Paragraphs>
  <ScaleCrop>false</ScaleCrop>
  <Company>Home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2025-04-17T03:28:00Z</dcterms:created>
  <dcterms:modified xsi:type="dcterms:W3CDTF">2025-04-17T03:29:00Z</dcterms:modified>
</cp:coreProperties>
</file>