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5B258">
      <w:pPr>
        <w:spacing w:line="560" w:lineRule="exact"/>
        <w:jc w:val="center"/>
        <w:rPr>
          <w:rFonts w:hint="eastAsia" w:ascii="方正小标宋简体" w:hAnsi="Calibri" w:eastAsia="方正小标宋简体"/>
          <w:sz w:val="44"/>
          <w:szCs w:val="44"/>
          <w:highlight w:val="none"/>
          <w:lang w:val="en-US" w:eastAsia="zh-CN"/>
        </w:rPr>
      </w:pPr>
      <w:bookmarkStart w:id="0" w:name="_GoBack"/>
      <w:bookmarkEnd w:id="0"/>
      <w:r>
        <w:rPr>
          <w:rFonts w:hint="eastAsia" w:ascii="方正小标宋简体" w:hAnsi="Calibri" w:eastAsia="方正小标宋简体"/>
          <w:sz w:val="44"/>
          <w:szCs w:val="44"/>
          <w:highlight w:val="none"/>
        </w:rPr>
        <w:t>天津</w:t>
      </w:r>
      <w:r>
        <w:rPr>
          <w:rFonts w:hint="eastAsia" w:ascii="方正小标宋简体" w:hAnsi="Calibri" w:eastAsia="方正小标宋简体"/>
          <w:sz w:val="44"/>
          <w:szCs w:val="44"/>
          <w:highlight w:val="none"/>
          <w:lang w:val="en-US" w:eastAsia="zh-CN"/>
        </w:rPr>
        <w:t>市滨海新区</w:t>
      </w:r>
      <w:r>
        <w:rPr>
          <w:rFonts w:hint="eastAsia" w:ascii="方正小标宋简体" w:hAnsi="Calibri" w:eastAsia="方正小标宋简体"/>
          <w:sz w:val="44"/>
          <w:szCs w:val="44"/>
          <w:highlight w:val="none"/>
        </w:rPr>
        <w:t>合格境外有限合伙</w:t>
      </w:r>
      <w:r>
        <w:rPr>
          <w:rFonts w:hint="eastAsia" w:ascii="方正小标宋简体" w:hAnsi="Calibri" w:eastAsia="方正小标宋简体"/>
          <w:sz w:val="44"/>
          <w:szCs w:val="44"/>
          <w:highlight w:val="none"/>
          <w:lang w:val="en-US" w:eastAsia="zh-CN"/>
        </w:rPr>
        <w:t>人</w:t>
      </w:r>
    </w:p>
    <w:p w14:paraId="7113BC1F">
      <w:pPr>
        <w:spacing w:line="560" w:lineRule="exact"/>
        <w:jc w:val="center"/>
        <w:rPr>
          <w:rFonts w:ascii="楷体_GB2312" w:hAnsi="Calibri" w:eastAsia="楷体_GB2312"/>
          <w:sz w:val="32"/>
          <w:szCs w:val="32"/>
          <w:highlight w:val="none"/>
        </w:rPr>
      </w:pPr>
      <w:r>
        <w:rPr>
          <w:rFonts w:hint="eastAsia" w:ascii="方正小标宋简体" w:hAnsi="Calibri" w:eastAsia="方正小标宋简体"/>
          <w:sz w:val="44"/>
          <w:szCs w:val="44"/>
          <w:highlight w:val="none"/>
        </w:rPr>
        <w:t>试点办法</w:t>
      </w:r>
      <w:r>
        <w:rPr>
          <w:rFonts w:hint="eastAsia" w:ascii="方正小标宋简体" w:hAnsi="Calibri"/>
          <w:sz w:val="44"/>
          <w:szCs w:val="44"/>
          <w:highlight w:val="none"/>
          <w:lang w:eastAsia="zh-CN"/>
        </w:rPr>
        <w:t>（试行）</w:t>
      </w:r>
    </w:p>
    <w:p w14:paraId="7F4AD020">
      <w:pPr>
        <w:spacing w:line="560" w:lineRule="exact"/>
        <w:jc w:val="center"/>
        <w:rPr>
          <w:rFonts w:hint="eastAsia" w:ascii="仿宋_GB2312" w:hAnsi="宋体" w:eastAsia="仿宋_GB2312" w:cs="宋体"/>
          <w:kern w:val="0"/>
          <w:sz w:val="32"/>
          <w:szCs w:val="32"/>
          <w:highlight w:val="none"/>
          <w:shd w:val="clear" w:color="auto" w:fill="FFFFFF"/>
        </w:rPr>
      </w:pPr>
      <w:r>
        <w:rPr>
          <w:rFonts w:hint="eastAsia" w:ascii="仿宋_GB2312" w:hAnsi="宋体" w:eastAsia="仿宋_GB2312" w:cs="宋体"/>
          <w:kern w:val="0"/>
          <w:sz w:val="32"/>
          <w:szCs w:val="32"/>
          <w:highlight w:val="none"/>
          <w:shd w:val="clear" w:color="auto" w:fill="FFFFFF"/>
        </w:rPr>
        <w:t>（</w:t>
      </w:r>
      <w:r>
        <w:rPr>
          <w:rFonts w:hint="eastAsia" w:ascii="仿宋_GB2312" w:hAnsi="宋体" w:cs="宋体"/>
          <w:kern w:val="0"/>
          <w:sz w:val="32"/>
          <w:szCs w:val="32"/>
          <w:highlight w:val="none"/>
          <w:shd w:val="clear" w:color="auto" w:fill="FFFFFF"/>
          <w:lang w:val="en-US" w:eastAsia="zh-CN"/>
        </w:rPr>
        <w:t>公开征求意见稿</w:t>
      </w:r>
      <w:r>
        <w:rPr>
          <w:rFonts w:hint="eastAsia" w:ascii="仿宋_GB2312" w:hAnsi="宋体" w:eastAsia="仿宋_GB2312" w:cs="宋体"/>
          <w:kern w:val="0"/>
          <w:sz w:val="32"/>
          <w:szCs w:val="32"/>
          <w:highlight w:val="none"/>
          <w:shd w:val="clear" w:color="auto" w:fill="FFFFFF"/>
        </w:rPr>
        <w:t>）</w:t>
      </w:r>
    </w:p>
    <w:p w14:paraId="7019EEA1">
      <w:pPr>
        <w:spacing w:line="560" w:lineRule="exact"/>
        <w:jc w:val="center"/>
        <w:rPr>
          <w:rFonts w:hint="eastAsia" w:ascii="仿宋_GB2312" w:hAnsi="宋体" w:eastAsia="仿宋_GB2312" w:cs="宋体"/>
          <w:kern w:val="0"/>
          <w:sz w:val="32"/>
          <w:szCs w:val="32"/>
          <w:highlight w:val="none"/>
          <w:shd w:val="clear" w:color="auto" w:fill="FFFFFF"/>
        </w:rPr>
      </w:pPr>
    </w:p>
    <w:p w14:paraId="1063B66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Calibri" w:eastAsia="仿宋_GB2312"/>
          <w:sz w:val="32"/>
          <w:szCs w:val="32"/>
          <w:highlight w:val="none"/>
        </w:rPr>
      </w:pPr>
      <w:r>
        <w:rPr>
          <w:rFonts w:hint="eastAsia" w:ascii="仿宋_GB2312" w:hAnsi="Calibri" w:eastAsia="仿宋_GB2312"/>
          <w:sz w:val="32"/>
          <w:szCs w:val="32"/>
          <w:highlight w:val="none"/>
        </w:rPr>
        <w:t>第一章  总则</w:t>
      </w:r>
    </w:p>
    <w:p w14:paraId="1A96671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sz w:val="32"/>
          <w:szCs w:val="32"/>
          <w:highlight w:val="none"/>
        </w:rPr>
      </w:pPr>
      <w:r>
        <w:rPr>
          <w:rFonts w:hint="eastAsia" w:ascii="仿宋_GB2312" w:hAnsi="Calibri" w:eastAsia="仿宋_GB2312"/>
          <w:sz w:val="32"/>
          <w:szCs w:val="32"/>
          <w:highlight w:val="none"/>
        </w:rPr>
        <w:t>第一条 为贯彻落实</w:t>
      </w:r>
      <w:r>
        <w:rPr>
          <w:rFonts w:hint="eastAsia" w:ascii="仿宋_GB2312" w:hAnsi="Calibri"/>
          <w:sz w:val="32"/>
          <w:szCs w:val="32"/>
          <w:highlight w:val="none"/>
          <w:lang w:eastAsia="zh-CN"/>
        </w:rPr>
        <w:t>党</w:t>
      </w:r>
      <w:r>
        <w:rPr>
          <w:rFonts w:hint="eastAsia" w:ascii="仿宋_GB2312" w:hAnsi="Calibri" w:eastAsia="仿宋_GB2312"/>
          <w:sz w:val="32"/>
          <w:szCs w:val="32"/>
          <w:highlight w:val="none"/>
        </w:rPr>
        <w:t>中央、国务院自贸试验区提升战略，《国务院关于进一步优化外商投资环境加大吸引外商投资力度的意见》</w:t>
      </w:r>
      <w:r>
        <w:rPr>
          <w:rFonts w:hint="eastAsia" w:ascii="仿宋_GB2312" w:hAnsi="Calibri"/>
          <w:sz w:val="32"/>
          <w:szCs w:val="32"/>
          <w:highlight w:val="none"/>
          <w:lang w:eastAsia="zh-CN"/>
        </w:rPr>
        <w:t>、《天津市服务业扩大开放综合试点总体方案》</w:t>
      </w:r>
      <w:r>
        <w:rPr>
          <w:rFonts w:hint="eastAsia" w:ascii="仿宋_GB2312" w:hAnsi="Calibri"/>
          <w:strike w:val="0"/>
          <w:sz w:val="32"/>
          <w:szCs w:val="32"/>
          <w:highlight w:val="none"/>
          <w:lang w:val="en-US" w:eastAsia="zh-CN"/>
        </w:rPr>
        <w:t>、《关于金融支持天津高质量发展意见的实施方案》</w:t>
      </w:r>
      <w:r>
        <w:rPr>
          <w:rFonts w:hint="eastAsia" w:ascii="仿宋_GB2312" w:hAnsi="Calibri"/>
          <w:strike w:val="0"/>
          <w:sz w:val="32"/>
          <w:szCs w:val="32"/>
          <w:highlight w:val="none"/>
        </w:rPr>
        <w:t>及《进一步支持天津滨海新区高质量发展的若干政策措施》</w:t>
      </w:r>
      <w:r>
        <w:rPr>
          <w:rFonts w:hint="eastAsia" w:ascii="仿宋_GB2312" w:hAnsi="Calibri"/>
          <w:sz w:val="32"/>
          <w:szCs w:val="32"/>
          <w:highlight w:val="none"/>
          <w:lang w:val="en-US" w:eastAsia="zh-CN"/>
        </w:rPr>
        <w:t>等文件</w:t>
      </w:r>
      <w:r>
        <w:rPr>
          <w:rFonts w:hint="eastAsia" w:ascii="仿宋_GB2312" w:hAnsi="Calibri" w:eastAsia="仿宋_GB2312"/>
          <w:sz w:val="32"/>
          <w:szCs w:val="32"/>
          <w:highlight w:val="none"/>
        </w:rPr>
        <w:t>要求，进一步优化外商投资环境，加大吸引外商投资力度，鼓励和引导合格境外有限合伙人（QFLP）促进我市股权投资、创业投资基金市场发展，提升金融开放水平，根据《中华人民共和国外商投资法》《私募投资基金监督管理条例》等有关规定，制定</w:t>
      </w:r>
      <w:r>
        <w:rPr>
          <w:rFonts w:hint="eastAsia" w:ascii="仿宋_GB2312" w:hAnsi="Calibri" w:eastAsia="仿宋_GB2312"/>
          <w:sz w:val="32"/>
          <w:szCs w:val="32"/>
          <w:highlight w:val="none"/>
          <w:lang w:eastAsia="zh-CN"/>
        </w:rPr>
        <w:t>本</w:t>
      </w:r>
      <w:r>
        <w:rPr>
          <w:rFonts w:hint="eastAsia" w:ascii="仿宋_GB2312" w:hAnsi="Calibri" w:eastAsia="仿宋_GB2312"/>
          <w:sz w:val="32"/>
          <w:szCs w:val="32"/>
          <w:highlight w:val="none"/>
        </w:rPr>
        <w:t>合格境外有限合伙人试点办法。</w:t>
      </w:r>
    </w:p>
    <w:p w14:paraId="6559DFF3">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98" w:firstLineChars="187"/>
        <w:textAlignment w:val="auto"/>
        <w:rPr>
          <w:rFonts w:hint="eastAsia" w:ascii="仿宋_GB2312" w:hAnsi="宋体" w:eastAsia="仿宋_GB2312" w:cs="宋体"/>
          <w:sz w:val="32"/>
          <w:szCs w:val="32"/>
          <w:highlight w:val="none"/>
        </w:rPr>
      </w:pPr>
      <w:r>
        <w:rPr>
          <w:rFonts w:hint="eastAsia" w:ascii="仿宋_GB2312" w:hAnsi="宋体" w:cs="宋体"/>
          <w:sz w:val="32"/>
          <w:szCs w:val="32"/>
          <w:highlight w:val="none"/>
          <w:lang w:val="en-US" w:eastAsia="zh-CN"/>
        </w:rPr>
        <w:t xml:space="preserve">第二条 </w:t>
      </w:r>
      <w:r>
        <w:rPr>
          <w:rFonts w:hint="eastAsia" w:ascii="仿宋_GB2312" w:hAnsi="宋体" w:eastAsia="仿宋_GB2312" w:cs="宋体"/>
          <w:sz w:val="32"/>
          <w:szCs w:val="32"/>
          <w:highlight w:val="none"/>
        </w:rPr>
        <w:t>试点</w:t>
      </w:r>
      <w:r>
        <w:rPr>
          <w:rFonts w:hint="eastAsia" w:ascii="仿宋_GB2312" w:hAnsi="宋体" w:cs="宋体"/>
          <w:sz w:val="32"/>
          <w:szCs w:val="32"/>
          <w:highlight w:val="none"/>
          <w:lang w:val="en-US" w:eastAsia="zh-CN"/>
        </w:rPr>
        <w:t>应用范围为天津市滨海新区五个开发区（以下简称“各开发区”），涵盖</w:t>
      </w:r>
      <w:r>
        <w:rPr>
          <w:rFonts w:hint="eastAsia" w:ascii="仿宋_GB2312" w:hAnsi="宋体" w:cs="宋体"/>
          <w:b/>
          <w:bCs/>
          <w:sz w:val="32"/>
          <w:szCs w:val="32"/>
          <w:highlight w:val="none"/>
          <w:lang w:val="en-US" w:eastAsia="zh-CN"/>
        </w:rPr>
        <w:t>天津经济技术开发区、天津港保税区、天津滨海高新技术产业开发区、天津东疆综合保税区、中新天津生态城</w:t>
      </w:r>
      <w:r>
        <w:rPr>
          <w:rFonts w:hint="eastAsia" w:ascii="仿宋_GB2312" w:hAnsi="宋体" w:eastAsia="仿宋_GB2312" w:cs="宋体"/>
          <w:sz w:val="32"/>
          <w:szCs w:val="32"/>
          <w:highlight w:val="none"/>
        </w:rPr>
        <w:t>。</w:t>
      </w:r>
    </w:p>
    <w:p w14:paraId="65574BD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sz w:val="32"/>
          <w:szCs w:val="32"/>
          <w:highlight w:val="none"/>
        </w:rPr>
      </w:pPr>
      <w:r>
        <w:rPr>
          <w:rFonts w:hint="eastAsia" w:ascii="仿宋_GB2312" w:hAnsi="Calibri" w:eastAsia="仿宋_GB2312"/>
          <w:sz w:val="32"/>
          <w:szCs w:val="32"/>
          <w:highlight w:val="none"/>
        </w:rPr>
        <w:t>第</w:t>
      </w:r>
      <w:r>
        <w:rPr>
          <w:rFonts w:hint="eastAsia" w:ascii="仿宋_GB2312" w:hAnsi="Calibri"/>
          <w:sz w:val="32"/>
          <w:szCs w:val="32"/>
          <w:highlight w:val="none"/>
          <w:lang w:val="en-US" w:eastAsia="zh-CN"/>
        </w:rPr>
        <w:t>三</w:t>
      </w:r>
      <w:r>
        <w:rPr>
          <w:rFonts w:hint="eastAsia" w:ascii="仿宋_GB2312" w:hAnsi="Calibri" w:eastAsia="仿宋_GB2312"/>
          <w:sz w:val="32"/>
          <w:szCs w:val="32"/>
          <w:highlight w:val="none"/>
        </w:rPr>
        <w:t>条 本办法所称的</w:t>
      </w:r>
      <w:r>
        <w:rPr>
          <w:rFonts w:hint="eastAsia" w:ascii="仿宋_GB2312" w:hAnsi="Calibri" w:eastAsia="仿宋_GB2312"/>
          <w:b/>
          <w:bCs/>
          <w:sz w:val="32"/>
          <w:szCs w:val="32"/>
          <w:highlight w:val="none"/>
        </w:rPr>
        <w:t>试点基金管理企业</w:t>
      </w:r>
      <w:r>
        <w:rPr>
          <w:rFonts w:hint="eastAsia" w:ascii="仿宋_GB2312" w:hAnsi="Calibri" w:eastAsia="仿宋_GB2312"/>
          <w:sz w:val="32"/>
          <w:szCs w:val="32"/>
          <w:highlight w:val="none"/>
        </w:rPr>
        <w:t>，是指经</w:t>
      </w:r>
      <w:r>
        <w:rPr>
          <w:rFonts w:hint="eastAsia" w:ascii="仿宋_GB2312" w:hAnsi="Calibri"/>
          <w:sz w:val="32"/>
          <w:szCs w:val="32"/>
          <w:highlight w:val="none"/>
          <w:lang w:eastAsia="zh-CN"/>
        </w:rPr>
        <w:t>各开发区</w:t>
      </w:r>
      <w:r>
        <w:rPr>
          <w:rFonts w:hint="eastAsia" w:ascii="仿宋_GB2312" w:hAnsi="Calibri" w:eastAsia="仿宋_GB2312"/>
          <w:sz w:val="32"/>
          <w:szCs w:val="32"/>
          <w:highlight w:val="none"/>
          <w:lang w:eastAsia="zh-CN"/>
        </w:rPr>
        <w:t>管委会</w:t>
      </w:r>
      <w:r>
        <w:rPr>
          <w:rFonts w:hint="eastAsia" w:ascii="仿宋_GB2312" w:hAnsi="Calibri" w:eastAsia="仿宋_GB2312"/>
          <w:sz w:val="32"/>
          <w:szCs w:val="32"/>
          <w:highlight w:val="none"/>
        </w:rPr>
        <w:t>认定并按规定发起设立试点基金，受托管理其投资业务的企业。</w:t>
      </w:r>
    </w:p>
    <w:p w14:paraId="1ADBA76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sz w:val="32"/>
          <w:szCs w:val="32"/>
          <w:highlight w:val="none"/>
        </w:rPr>
      </w:pPr>
      <w:r>
        <w:rPr>
          <w:rFonts w:hint="eastAsia" w:ascii="仿宋_GB2312" w:hAnsi="Calibri" w:eastAsia="仿宋_GB2312"/>
          <w:sz w:val="32"/>
          <w:szCs w:val="32"/>
          <w:highlight w:val="none"/>
        </w:rPr>
        <w:t>本办法所称的</w:t>
      </w:r>
      <w:r>
        <w:rPr>
          <w:rFonts w:hint="eastAsia" w:ascii="仿宋_GB2312" w:hAnsi="Calibri" w:eastAsia="仿宋_GB2312"/>
          <w:b/>
          <w:bCs/>
          <w:sz w:val="32"/>
          <w:szCs w:val="32"/>
          <w:highlight w:val="none"/>
        </w:rPr>
        <w:t>试点基金</w:t>
      </w:r>
      <w:r>
        <w:rPr>
          <w:rFonts w:hint="eastAsia" w:ascii="仿宋_GB2312" w:hAnsi="Calibri" w:eastAsia="仿宋_GB2312"/>
          <w:sz w:val="32"/>
          <w:szCs w:val="32"/>
          <w:highlight w:val="none"/>
        </w:rPr>
        <w:t>，是指由合格境外有限合伙人参与投资设立并进行股权投资或经许可的其他投资活动的企业。试点基金原则上应由试点基金管理企业、</w:t>
      </w:r>
      <w:r>
        <w:rPr>
          <w:rFonts w:hint="eastAsia" w:ascii="仿宋_GB2312" w:hAnsi="Calibri"/>
          <w:sz w:val="32"/>
          <w:szCs w:val="32"/>
          <w:highlight w:val="none"/>
          <w:lang w:val="en-US" w:eastAsia="zh-CN"/>
        </w:rPr>
        <w:t>各开发区</w:t>
      </w:r>
      <w:r>
        <w:rPr>
          <w:rFonts w:hint="eastAsia" w:ascii="仿宋_GB2312" w:hAnsi="Calibri" w:eastAsia="仿宋_GB2312"/>
          <w:sz w:val="32"/>
          <w:szCs w:val="32"/>
          <w:highlight w:val="none"/>
        </w:rPr>
        <w:t>认定的存续私募基金管理企业及/或其他适格企业发起设立。</w:t>
      </w:r>
    </w:p>
    <w:p w14:paraId="425BFE9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sz w:val="32"/>
          <w:szCs w:val="32"/>
          <w:highlight w:val="none"/>
        </w:rPr>
      </w:pPr>
      <w:r>
        <w:rPr>
          <w:rFonts w:hint="eastAsia" w:ascii="仿宋_GB2312" w:hAnsi="Calibri" w:eastAsia="仿宋_GB2312"/>
          <w:sz w:val="32"/>
          <w:szCs w:val="32"/>
          <w:highlight w:val="none"/>
        </w:rPr>
        <w:t>本办法所称</w:t>
      </w:r>
      <w:r>
        <w:rPr>
          <w:rFonts w:hint="eastAsia" w:ascii="仿宋_GB2312" w:hAnsi="Calibri" w:eastAsia="仿宋_GB2312"/>
          <w:b/>
          <w:bCs/>
          <w:sz w:val="32"/>
          <w:szCs w:val="32"/>
          <w:highlight w:val="none"/>
        </w:rPr>
        <w:t>合格境外有限合伙人</w:t>
      </w:r>
      <w:r>
        <w:rPr>
          <w:rFonts w:hint="eastAsia" w:ascii="仿宋_GB2312" w:hAnsi="Calibri" w:eastAsia="仿宋_GB2312"/>
          <w:sz w:val="32"/>
          <w:szCs w:val="32"/>
          <w:highlight w:val="none"/>
        </w:rPr>
        <w:t>是指参与认购本办法规定试点基金的境外自然人、境外机构投资者等。</w:t>
      </w:r>
    </w:p>
    <w:p w14:paraId="748F9894">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仿宋_GB2312" w:hAnsi="Calibri" w:eastAsia="仿宋_GB2312"/>
          <w:sz w:val="32"/>
          <w:szCs w:val="32"/>
          <w:highlight w:val="none"/>
        </w:rPr>
      </w:pPr>
      <w:r>
        <w:rPr>
          <w:rFonts w:hint="eastAsia" w:ascii="仿宋_GB2312" w:hAnsi="Calibri" w:eastAsia="仿宋_GB2312"/>
          <w:sz w:val="32"/>
          <w:szCs w:val="32"/>
          <w:highlight w:val="none"/>
        </w:rPr>
        <w:t>符合本办法相关要求的</w:t>
      </w:r>
      <w:r>
        <w:rPr>
          <w:rFonts w:hint="eastAsia" w:ascii="仿宋_GB2312" w:hAnsi="Calibri"/>
          <w:sz w:val="32"/>
          <w:szCs w:val="32"/>
          <w:highlight w:val="none"/>
        </w:rPr>
        <w:t>试点基金管理企业及试点基金</w:t>
      </w:r>
      <w:r>
        <w:rPr>
          <w:rFonts w:hint="eastAsia" w:ascii="仿宋_GB2312" w:hAnsi="Calibri" w:eastAsia="仿宋_GB2312"/>
          <w:sz w:val="32"/>
          <w:szCs w:val="32"/>
          <w:highlight w:val="none"/>
        </w:rPr>
        <w:t>统称</w:t>
      </w:r>
      <w:r>
        <w:rPr>
          <w:rFonts w:hint="eastAsia" w:ascii="仿宋_GB2312" w:hAnsi="Calibri" w:eastAsia="仿宋_GB2312"/>
          <w:b/>
          <w:bCs/>
          <w:sz w:val="32"/>
          <w:szCs w:val="32"/>
          <w:highlight w:val="none"/>
        </w:rPr>
        <w:t>试点企业</w:t>
      </w:r>
      <w:r>
        <w:rPr>
          <w:rFonts w:hint="eastAsia" w:ascii="仿宋_GB2312" w:hAnsi="Calibri" w:eastAsia="仿宋_GB2312"/>
          <w:sz w:val="32"/>
          <w:szCs w:val="32"/>
          <w:highlight w:val="none"/>
        </w:rPr>
        <w:t>，适用本办法。试点基金管理企业可采用公司制、合伙制等组织形式。试点基金一般采用合伙制，并符合《中华人民共和国合伙企业法》规定</w:t>
      </w:r>
      <w:r>
        <w:rPr>
          <w:rFonts w:hint="eastAsia" w:ascii="仿宋_GB2312" w:hAnsi="Calibri"/>
          <w:sz w:val="32"/>
          <w:szCs w:val="32"/>
          <w:highlight w:val="none"/>
          <w:lang w:eastAsia="zh-CN"/>
        </w:rPr>
        <w:t>，</w:t>
      </w:r>
      <w:r>
        <w:rPr>
          <w:rFonts w:hint="eastAsia" w:ascii="仿宋_GB2312" w:hAnsi="Calibri" w:eastAsia="仿宋_GB2312"/>
          <w:sz w:val="32"/>
          <w:szCs w:val="32"/>
          <w:highlight w:val="none"/>
        </w:rPr>
        <w:t>试点基金采用公司制、契约制的，参照本办法执行。</w:t>
      </w:r>
    </w:p>
    <w:p w14:paraId="0F1AC32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sz w:val="32"/>
          <w:szCs w:val="32"/>
          <w:highlight w:val="none"/>
          <w:lang w:eastAsia="zh-CN"/>
        </w:rPr>
      </w:pPr>
      <w:r>
        <w:rPr>
          <w:rFonts w:hint="eastAsia" w:ascii="仿宋_GB2312" w:hAnsi="Calibri" w:eastAsia="仿宋_GB2312"/>
          <w:sz w:val="32"/>
          <w:szCs w:val="32"/>
          <w:highlight w:val="none"/>
        </w:rPr>
        <w:t>第</w:t>
      </w:r>
      <w:r>
        <w:rPr>
          <w:rFonts w:hint="eastAsia" w:ascii="仿宋_GB2312" w:hAnsi="Calibri"/>
          <w:sz w:val="32"/>
          <w:szCs w:val="32"/>
          <w:highlight w:val="none"/>
          <w:lang w:val="en-US" w:eastAsia="zh-CN"/>
        </w:rPr>
        <w:t>五</w:t>
      </w:r>
      <w:r>
        <w:rPr>
          <w:rFonts w:hint="eastAsia" w:ascii="仿宋_GB2312" w:hAnsi="Calibri" w:eastAsia="仿宋_GB2312"/>
          <w:sz w:val="32"/>
          <w:szCs w:val="32"/>
          <w:highlight w:val="none"/>
        </w:rPr>
        <w:t>条 试点基金以非公开方式向境内合格投资者募集资金应</w:t>
      </w:r>
      <w:r>
        <w:rPr>
          <w:rFonts w:hint="eastAsia" w:ascii="仿宋_GB2312" w:hAnsi="Calibri"/>
          <w:sz w:val="32"/>
          <w:szCs w:val="32"/>
          <w:highlight w:val="none"/>
          <w:lang w:val="en-US" w:eastAsia="zh-CN"/>
        </w:rPr>
        <w:t>遵守</w:t>
      </w:r>
      <w:r>
        <w:rPr>
          <w:rFonts w:hint="eastAsia" w:ascii="仿宋_GB2312" w:hAnsi="Calibri" w:eastAsia="仿宋_GB2312"/>
          <w:sz w:val="32"/>
          <w:szCs w:val="32"/>
          <w:highlight w:val="none"/>
        </w:rPr>
        <w:t>《私募投资基金监督管理条例》</w:t>
      </w:r>
      <w:r>
        <w:rPr>
          <w:rFonts w:hint="eastAsia" w:ascii="仿宋_GB2312" w:hAnsi="Calibri"/>
          <w:sz w:val="32"/>
          <w:szCs w:val="32"/>
          <w:highlight w:val="none"/>
          <w:lang w:val="en-US" w:eastAsia="zh-CN"/>
        </w:rPr>
        <w:t>及</w:t>
      </w:r>
      <w:r>
        <w:rPr>
          <w:rFonts w:hint="eastAsia" w:ascii="仿宋_GB2312" w:hAnsi="Calibri"/>
          <w:sz w:val="32"/>
          <w:szCs w:val="32"/>
          <w:highlight w:val="none"/>
        </w:rPr>
        <w:t>中国证券监督管理委员会（以下简称“中国证监会”）、中国证券投资基金业协会（以下简称“中国基金业协会”）</w:t>
      </w:r>
      <w:r>
        <w:rPr>
          <w:rFonts w:hint="eastAsia" w:ascii="仿宋_GB2312" w:hAnsi="Calibri" w:eastAsia="仿宋_GB2312"/>
          <w:sz w:val="32"/>
          <w:szCs w:val="32"/>
          <w:highlight w:val="none"/>
        </w:rPr>
        <w:t>关于私募投资基金有关规定</w:t>
      </w:r>
      <w:r>
        <w:rPr>
          <w:rFonts w:hint="eastAsia" w:ascii="仿宋_GB2312" w:hAnsi="Calibri"/>
          <w:sz w:val="32"/>
          <w:szCs w:val="32"/>
          <w:highlight w:val="none"/>
          <w:lang w:eastAsia="zh-CN"/>
        </w:rPr>
        <w:t>，</w:t>
      </w:r>
      <w:r>
        <w:rPr>
          <w:rFonts w:hint="eastAsia" w:ascii="仿宋_GB2312" w:hAnsi="Calibri"/>
          <w:sz w:val="32"/>
          <w:szCs w:val="32"/>
          <w:highlight w:val="none"/>
          <w:lang w:val="en-US" w:eastAsia="zh-CN"/>
        </w:rPr>
        <w:t>需向</w:t>
      </w:r>
      <w:r>
        <w:rPr>
          <w:rFonts w:hint="eastAsia" w:ascii="仿宋_GB2312" w:hAnsi="Calibri"/>
          <w:sz w:val="32"/>
          <w:szCs w:val="32"/>
          <w:highlight w:val="none"/>
        </w:rPr>
        <w:t>中国基金业协会</w:t>
      </w:r>
      <w:r>
        <w:rPr>
          <w:rFonts w:hint="eastAsia" w:ascii="仿宋_GB2312" w:hAnsi="Calibri"/>
          <w:sz w:val="32"/>
          <w:szCs w:val="32"/>
          <w:highlight w:val="none"/>
          <w:lang w:val="en-US" w:eastAsia="zh-CN"/>
        </w:rPr>
        <w:t>备案</w:t>
      </w:r>
      <w:r>
        <w:rPr>
          <w:rFonts w:hint="eastAsia" w:ascii="仿宋_GB2312" w:hAnsi="Calibri" w:eastAsia="仿宋_GB2312"/>
          <w:sz w:val="32"/>
          <w:szCs w:val="32"/>
          <w:highlight w:val="none"/>
        </w:rPr>
        <w:t>。试点基金募集境外资金应遵守境外投资者所在地监管部门有关规定</w:t>
      </w:r>
      <w:r>
        <w:rPr>
          <w:rFonts w:hint="eastAsia" w:ascii="仿宋_GB2312" w:hAnsi="Calibri"/>
          <w:sz w:val="32"/>
          <w:szCs w:val="32"/>
          <w:highlight w:val="none"/>
          <w:lang w:eastAsia="zh-CN"/>
        </w:rPr>
        <w:t>。</w:t>
      </w:r>
    </w:p>
    <w:p w14:paraId="6614CC8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sz w:val="32"/>
          <w:szCs w:val="32"/>
          <w:highlight w:val="none"/>
        </w:rPr>
      </w:pPr>
      <w:r>
        <w:rPr>
          <w:rFonts w:hint="eastAsia" w:ascii="仿宋_GB2312" w:hAnsi="Calibri"/>
          <w:sz w:val="32"/>
          <w:szCs w:val="32"/>
          <w:highlight w:val="none"/>
          <w:lang w:val="en-US" w:eastAsia="zh-CN"/>
        </w:rPr>
        <w:t xml:space="preserve">第六条 </w:t>
      </w:r>
      <w:r>
        <w:rPr>
          <w:rFonts w:hint="eastAsia" w:ascii="仿宋_GB2312" w:hAnsi="Calibri" w:eastAsia="仿宋_GB2312"/>
          <w:sz w:val="32"/>
          <w:szCs w:val="32"/>
          <w:highlight w:val="none"/>
        </w:rPr>
        <w:t>鼓励开展创业投资的试点基金管理企业和试点基金备案为创业投资企业。</w:t>
      </w:r>
    </w:p>
    <w:p w14:paraId="308EEE9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楷体_GB2312" w:hAnsi="Calibri" w:eastAsia="楷体_GB2312"/>
          <w:sz w:val="32"/>
          <w:szCs w:val="32"/>
          <w:highlight w:val="none"/>
        </w:rPr>
      </w:pPr>
    </w:p>
    <w:p w14:paraId="6B003D1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Calibri" w:eastAsia="仿宋_GB2312"/>
          <w:sz w:val="32"/>
          <w:szCs w:val="32"/>
          <w:highlight w:val="none"/>
        </w:rPr>
      </w:pPr>
      <w:r>
        <w:rPr>
          <w:rFonts w:hint="eastAsia" w:ascii="仿宋_GB2312" w:hAnsi="Calibri" w:eastAsia="仿宋_GB2312"/>
          <w:sz w:val="32"/>
          <w:szCs w:val="32"/>
          <w:highlight w:val="none"/>
        </w:rPr>
        <w:t>第二章  试点</w:t>
      </w:r>
      <w:r>
        <w:rPr>
          <w:rFonts w:hint="eastAsia" w:ascii="仿宋_GB2312" w:hAnsi="Calibri"/>
          <w:sz w:val="32"/>
          <w:szCs w:val="32"/>
          <w:highlight w:val="none"/>
          <w:lang w:val="en-US" w:eastAsia="zh-CN"/>
        </w:rPr>
        <w:t>企业申请</w:t>
      </w:r>
    </w:p>
    <w:p w14:paraId="19FE97D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sz w:val="32"/>
          <w:szCs w:val="32"/>
          <w:highlight w:val="none"/>
          <w:lang w:eastAsia="zh-CN"/>
        </w:rPr>
      </w:pPr>
      <w:r>
        <w:rPr>
          <w:rFonts w:hint="eastAsia" w:ascii="仿宋_GB2312" w:hAnsi="Calibri" w:eastAsia="仿宋_GB2312"/>
          <w:sz w:val="32"/>
          <w:szCs w:val="32"/>
          <w:highlight w:val="none"/>
        </w:rPr>
        <w:t>第</w:t>
      </w:r>
      <w:r>
        <w:rPr>
          <w:rFonts w:hint="eastAsia" w:ascii="仿宋_GB2312" w:hAnsi="Calibri"/>
          <w:sz w:val="32"/>
          <w:szCs w:val="32"/>
          <w:highlight w:val="none"/>
          <w:lang w:val="en-US" w:eastAsia="zh-CN"/>
        </w:rPr>
        <w:t>七</w:t>
      </w:r>
      <w:r>
        <w:rPr>
          <w:rFonts w:hint="eastAsia" w:ascii="仿宋_GB2312" w:hAnsi="Calibri" w:eastAsia="仿宋_GB2312"/>
          <w:sz w:val="32"/>
          <w:szCs w:val="32"/>
          <w:highlight w:val="none"/>
        </w:rPr>
        <w:t xml:space="preserve">条 </w:t>
      </w:r>
      <w:r>
        <w:rPr>
          <w:rFonts w:hint="eastAsia" w:ascii="仿宋_GB2312" w:hAnsi="Calibri"/>
          <w:sz w:val="32"/>
          <w:szCs w:val="32"/>
          <w:highlight w:val="none"/>
        </w:rPr>
        <w:t>合格境外有限合伙人试点工作由</w:t>
      </w:r>
      <w:r>
        <w:rPr>
          <w:rFonts w:hint="eastAsia" w:ascii="仿宋_GB2312" w:hAnsi="Calibri"/>
          <w:b/>
          <w:bCs/>
          <w:sz w:val="32"/>
          <w:szCs w:val="32"/>
          <w:highlight w:val="none"/>
          <w:lang w:val="en-US" w:eastAsia="zh-CN"/>
        </w:rPr>
        <w:t>滨海新区商务和投资促进局、</w:t>
      </w:r>
      <w:r>
        <w:rPr>
          <w:rFonts w:hint="eastAsia" w:ascii="仿宋_GB2312" w:hAnsi="Calibri"/>
          <w:b/>
          <w:bCs/>
          <w:sz w:val="32"/>
          <w:szCs w:val="32"/>
          <w:highlight w:val="none"/>
          <w:lang w:eastAsia="zh-CN"/>
        </w:rPr>
        <w:t>区财政局、区市场监督管理局、</w:t>
      </w:r>
      <w:r>
        <w:rPr>
          <w:rFonts w:hint="eastAsia" w:ascii="仿宋_GB2312" w:hAnsi="Calibri"/>
          <w:b/>
          <w:bCs/>
          <w:sz w:val="32"/>
          <w:szCs w:val="32"/>
          <w:highlight w:val="none"/>
        </w:rPr>
        <w:t>中国（天津）自由贸易试验区政策与产业创新发展局</w:t>
      </w:r>
      <w:r>
        <w:rPr>
          <w:rFonts w:hint="eastAsia" w:ascii="仿宋_GB2312" w:hAnsi="Calibri"/>
          <w:b/>
          <w:bCs/>
          <w:sz w:val="32"/>
          <w:szCs w:val="32"/>
          <w:highlight w:val="none"/>
          <w:lang w:eastAsia="zh-CN"/>
        </w:rPr>
        <w:t>（</w:t>
      </w:r>
      <w:r>
        <w:rPr>
          <w:rFonts w:hint="eastAsia" w:ascii="仿宋_GB2312" w:hAnsi="Calibri"/>
          <w:sz w:val="32"/>
          <w:szCs w:val="32"/>
          <w:highlight w:val="none"/>
        </w:rPr>
        <w:t>以下简称</w:t>
      </w:r>
      <w:r>
        <w:rPr>
          <w:rFonts w:hint="eastAsia" w:ascii="仿宋_GB2312" w:hAnsi="Calibri"/>
          <w:b/>
          <w:bCs/>
          <w:sz w:val="32"/>
          <w:szCs w:val="32"/>
          <w:highlight w:val="none"/>
          <w:lang w:eastAsia="zh-CN"/>
        </w:rPr>
        <w:t>“</w:t>
      </w:r>
      <w:r>
        <w:rPr>
          <w:rFonts w:hint="eastAsia" w:ascii="仿宋_GB2312" w:hAnsi="Calibri"/>
          <w:sz w:val="32"/>
          <w:szCs w:val="32"/>
          <w:highlight w:val="none"/>
          <w:lang w:val="en-US" w:eastAsia="zh-CN"/>
        </w:rPr>
        <w:t>创新发展局”</w:t>
      </w:r>
      <w:r>
        <w:rPr>
          <w:rFonts w:hint="eastAsia" w:ascii="仿宋_GB2312" w:hAnsi="Calibri"/>
          <w:b/>
          <w:bCs/>
          <w:sz w:val="32"/>
          <w:szCs w:val="32"/>
          <w:highlight w:val="none"/>
          <w:lang w:eastAsia="zh-CN"/>
        </w:rPr>
        <w:t>）、</w:t>
      </w:r>
      <w:r>
        <w:rPr>
          <w:rFonts w:hint="eastAsia" w:ascii="仿宋_GB2312" w:hAnsi="Calibri"/>
          <w:sz w:val="32"/>
          <w:szCs w:val="32"/>
          <w:highlight w:val="none"/>
          <w:lang w:eastAsia="zh-CN"/>
        </w:rPr>
        <w:t>负责统筹推进</w:t>
      </w:r>
      <w:r>
        <w:rPr>
          <w:rFonts w:hint="eastAsia" w:ascii="仿宋_GB2312" w:hAnsi="Calibri"/>
          <w:sz w:val="32"/>
          <w:szCs w:val="32"/>
          <w:highlight w:val="none"/>
          <w:lang w:val="en-US" w:eastAsia="zh-CN"/>
        </w:rPr>
        <w:t>，</w:t>
      </w:r>
      <w:r>
        <w:rPr>
          <w:rFonts w:hint="eastAsia" w:ascii="仿宋_GB2312" w:hAnsi="Calibri"/>
          <w:b/>
          <w:bCs/>
          <w:sz w:val="32"/>
          <w:szCs w:val="32"/>
          <w:highlight w:val="none"/>
          <w:lang w:val="en-US" w:eastAsia="zh-CN"/>
        </w:rPr>
        <w:t>各开发区管委会</w:t>
      </w:r>
      <w:r>
        <w:rPr>
          <w:rFonts w:hint="eastAsia" w:ascii="仿宋_GB2312" w:hAnsi="Calibri"/>
          <w:sz w:val="32"/>
          <w:szCs w:val="32"/>
          <w:highlight w:val="none"/>
          <w:lang w:eastAsia="zh-CN"/>
        </w:rPr>
        <w:t>负责</w:t>
      </w:r>
      <w:r>
        <w:rPr>
          <w:rFonts w:hint="eastAsia" w:ascii="仿宋_GB2312" w:hAnsi="Calibri"/>
          <w:sz w:val="32"/>
          <w:szCs w:val="32"/>
          <w:highlight w:val="none"/>
        </w:rPr>
        <w:t>建立</w:t>
      </w:r>
      <w:r>
        <w:rPr>
          <w:rFonts w:hint="eastAsia" w:ascii="仿宋_GB2312" w:hAnsi="Calibri"/>
          <w:sz w:val="32"/>
          <w:szCs w:val="32"/>
          <w:highlight w:val="none"/>
          <w:lang w:val="en-US" w:eastAsia="zh-CN"/>
        </w:rPr>
        <w:t>审查认定</w:t>
      </w:r>
      <w:r>
        <w:rPr>
          <w:rFonts w:hint="eastAsia" w:ascii="仿宋_GB2312" w:hAnsi="Calibri"/>
          <w:sz w:val="32"/>
          <w:szCs w:val="32"/>
          <w:highlight w:val="none"/>
        </w:rPr>
        <w:t>工作机制</w:t>
      </w:r>
      <w:r>
        <w:rPr>
          <w:rFonts w:hint="eastAsia" w:ascii="仿宋_GB2312" w:hAnsi="Calibri"/>
          <w:sz w:val="32"/>
          <w:szCs w:val="32"/>
          <w:highlight w:val="none"/>
          <w:lang w:eastAsia="zh-CN"/>
        </w:rPr>
        <w:t>，</w:t>
      </w:r>
      <w:r>
        <w:rPr>
          <w:rFonts w:hint="eastAsia" w:ascii="仿宋_GB2312" w:hAnsi="Calibri"/>
          <w:sz w:val="32"/>
          <w:szCs w:val="32"/>
          <w:highlight w:val="none"/>
          <w:lang w:val="en-US" w:eastAsia="zh-CN"/>
        </w:rPr>
        <w:t>认定</w:t>
      </w:r>
      <w:r>
        <w:rPr>
          <w:rFonts w:hint="eastAsia" w:ascii="仿宋_GB2312" w:hAnsi="Calibri"/>
          <w:sz w:val="32"/>
          <w:szCs w:val="32"/>
          <w:highlight w:val="none"/>
          <w:lang w:eastAsia="zh-CN"/>
        </w:rPr>
        <w:t>试点企业</w:t>
      </w:r>
      <w:r>
        <w:rPr>
          <w:rFonts w:hint="eastAsia" w:ascii="仿宋_GB2312" w:hAnsi="Calibri"/>
          <w:sz w:val="32"/>
          <w:szCs w:val="32"/>
          <w:highlight w:val="none"/>
          <w:lang w:val="en-US" w:eastAsia="zh-CN"/>
        </w:rPr>
        <w:t>资格</w:t>
      </w:r>
      <w:r>
        <w:rPr>
          <w:rFonts w:hint="eastAsia" w:ascii="仿宋_GB2312" w:hAnsi="Calibri"/>
          <w:sz w:val="32"/>
          <w:szCs w:val="32"/>
          <w:highlight w:val="none"/>
          <w:lang w:eastAsia="zh-CN"/>
        </w:rPr>
        <w:t>，</w:t>
      </w:r>
      <w:r>
        <w:rPr>
          <w:rFonts w:hint="eastAsia" w:ascii="仿宋_GB2312" w:hAnsi="Calibri"/>
          <w:sz w:val="32"/>
          <w:szCs w:val="32"/>
          <w:highlight w:val="none"/>
        </w:rPr>
        <w:t>出具试点资格文件</w:t>
      </w:r>
      <w:r>
        <w:rPr>
          <w:rFonts w:hint="eastAsia" w:ascii="仿宋_GB2312" w:hAnsi="Calibri"/>
          <w:sz w:val="32"/>
          <w:szCs w:val="32"/>
          <w:highlight w:val="none"/>
          <w:lang w:eastAsia="zh-CN"/>
        </w:rPr>
        <w:t>，</w:t>
      </w:r>
      <w:r>
        <w:rPr>
          <w:rFonts w:hint="eastAsia" w:ascii="仿宋_GB2312" w:hAnsi="Calibri"/>
          <w:sz w:val="32"/>
          <w:szCs w:val="32"/>
          <w:highlight w:val="none"/>
          <w:lang w:val="en-US" w:eastAsia="zh-CN"/>
        </w:rPr>
        <w:t>并由各开发区市场监管局依法进行企业登记注册</w:t>
      </w:r>
      <w:r>
        <w:rPr>
          <w:rFonts w:hint="eastAsia" w:ascii="仿宋_GB2312" w:hAnsi="Calibri"/>
          <w:sz w:val="32"/>
          <w:szCs w:val="32"/>
          <w:highlight w:val="none"/>
        </w:rPr>
        <w:t>。</w:t>
      </w:r>
      <w:r>
        <w:rPr>
          <w:rFonts w:hint="eastAsia" w:ascii="仿宋_GB2312" w:hAnsi="Calibri" w:eastAsia="仿宋_GB2312"/>
          <w:sz w:val="32"/>
          <w:szCs w:val="32"/>
          <w:highlight w:val="none"/>
        </w:rPr>
        <w:t>申请常年受理</w:t>
      </w:r>
      <w:r>
        <w:rPr>
          <w:rFonts w:hint="eastAsia" w:ascii="仿宋_GB2312" w:hAnsi="Calibri"/>
          <w:sz w:val="32"/>
          <w:szCs w:val="32"/>
          <w:highlight w:val="none"/>
        </w:rPr>
        <w:t>。</w:t>
      </w:r>
    </w:p>
    <w:p w14:paraId="3EE090D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sz w:val="32"/>
          <w:szCs w:val="32"/>
          <w:highlight w:val="none"/>
        </w:rPr>
      </w:pPr>
      <w:r>
        <w:rPr>
          <w:rFonts w:hint="eastAsia" w:ascii="仿宋_GB2312" w:hAnsi="Calibri"/>
          <w:sz w:val="32"/>
          <w:szCs w:val="32"/>
          <w:highlight w:val="none"/>
        </w:rPr>
        <w:t>如有关管理部门对</w:t>
      </w:r>
      <w:r>
        <w:rPr>
          <w:rFonts w:hint="eastAsia" w:ascii="仿宋_GB2312" w:hAnsi="Calibri"/>
          <w:sz w:val="32"/>
          <w:szCs w:val="32"/>
          <w:highlight w:val="none"/>
          <w:lang w:eastAsia="zh-CN"/>
        </w:rPr>
        <w:t>涉金融经营主体准入登记管理</w:t>
      </w:r>
      <w:r>
        <w:rPr>
          <w:rFonts w:hint="eastAsia" w:ascii="仿宋_GB2312" w:hAnsi="Calibri"/>
          <w:sz w:val="32"/>
          <w:szCs w:val="32"/>
          <w:highlight w:val="none"/>
        </w:rPr>
        <w:t>另有规定，从其规定</w:t>
      </w:r>
      <w:r>
        <w:rPr>
          <w:rFonts w:hint="eastAsia" w:ascii="仿宋_GB2312" w:hAnsi="Calibri"/>
          <w:sz w:val="32"/>
          <w:szCs w:val="32"/>
          <w:highlight w:val="none"/>
          <w:lang w:eastAsia="zh-CN"/>
        </w:rPr>
        <w:t>进行调整</w:t>
      </w:r>
      <w:r>
        <w:rPr>
          <w:rFonts w:hint="eastAsia" w:ascii="仿宋_GB2312" w:hAnsi="Calibri"/>
          <w:sz w:val="32"/>
          <w:szCs w:val="32"/>
          <w:highlight w:val="none"/>
        </w:rPr>
        <w:t>。</w:t>
      </w:r>
    </w:p>
    <w:p w14:paraId="7FFA2D0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sz w:val="32"/>
          <w:szCs w:val="32"/>
          <w:highlight w:val="none"/>
          <w:lang w:eastAsia="zh-CN"/>
        </w:rPr>
      </w:pPr>
      <w:r>
        <w:rPr>
          <w:rFonts w:hint="eastAsia" w:ascii="仿宋_GB2312" w:hAnsi="Calibri" w:eastAsia="仿宋_GB2312"/>
          <w:sz w:val="32"/>
          <w:szCs w:val="32"/>
          <w:highlight w:val="none"/>
        </w:rPr>
        <w:t>第</w:t>
      </w:r>
      <w:r>
        <w:rPr>
          <w:rFonts w:hint="eastAsia" w:ascii="仿宋_GB2312" w:hAnsi="Calibri"/>
          <w:sz w:val="32"/>
          <w:szCs w:val="32"/>
          <w:highlight w:val="none"/>
          <w:lang w:val="en-US" w:eastAsia="zh-CN"/>
        </w:rPr>
        <w:t>八</w:t>
      </w:r>
      <w:r>
        <w:rPr>
          <w:rFonts w:hint="eastAsia" w:ascii="仿宋_GB2312" w:hAnsi="Calibri" w:eastAsia="仿宋_GB2312"/>
          <w:sz w:val="32"/>
          <w:szCs w:val="32"/>
          <w:highlight w:val="none"/>
        </w:rPr>
        <w:t xml:space="preserve">条 </w:t>
      </w:r>
      <w:r>
        <w:rPr>
          <w:rFonts w:hint="eastAsia" w:ascii="仿宋_GB2312" w:hAnsi="Calibri"/>
          <w:sz w:val="32"/>
          <w:szCs w:val="32"/>
          <w:highlight w:val="none"/>
          <w:lang w:val="en-US" w:eastAsia="zh-CN"/>
        </w:rPr>
        <w:t>试点</w:t>
      </w:r>
      <w:r>
        <w:rPr>
          <w:rFonts w:hint="eastAsia" w:ascii="仿宋_GB2312" w:hAnsi="Calibri" w:eastAsia="仿宋_GB2312"/>
          <w:sz w:val="32"/>
          <w:szCs w:val="32"/>
          <w:highlight w:val="none"/>
        </w:rPr>
        <w:t>申请流程</w:t>
      </w:r>
    </w:p>
    <w:p w14:paraId="2FD9C24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sz w:val="32"/>
          <w:szCs w:val="32"/>
          <w:highlight w:val="none"/>
        </w:rPr>
      </w:pPr>
      <w:r>
        <w:rPr>
          <w:rFonts w:hint="eastAsia" w:ascii="仿宋_GB2312" w:hAnsi="Calibri" w:eastAsia="仿宋_GB2312"/>
          <w:sz w:val="32"/>
          <w:szCs w:val="32"/>
          <w:highlight w:val="none"/>
        </w:rPr>
        <w:t>（一）</w:t>
      </w:r>
      <w:r>
        <w:rPr>
          <w:rFonts w:hint="eastAsia" w:ascii="仿宋_GB2312" w:hAnsi="Calibri" w:eastAsia="仿宋_GB2312"/>
          <w:sz w:val="32"/>
          <w:szCs w:val="32"/>
          <w:highlight w:val="none"/>
          <w:lang w:eastAsia="zh-CN"/>
        </w:rPr>
        <w:t>资格认定</w:t>
      </w:r>
      <w:r>
        <w:rPr>
          <w:rFonts w:hint="eastAsia" w:ascii="仿宋_GB2312" w:hAnsi="Calibri" w:eastAsia="仿宋_GB2312"/>
          <w:sz w:val="32"/>
          <w:szCs w:val="32"/>
          <w:highlight w:val="none"/>
        </w:rPr>
        <w:t>。申请试点企业向</w:t>
      </w:r>
      <w:r>
        <w:rPr>
          <w:rFonts w:hint="eastAsia" w:ascii="仿宋_GB2312" w:hAnsi="Calibri"/>
          <w:sz w:val="32"/>
          <w:szCs w:val="32"/>
          <w:highlight w:val="none"/>
          <w:lang w:val="en-US" w:eastAsia="zh-CN"/>
        </w:rPr>
        <w:t>各开发区管委会</w:t>
      </w:r>
      <w:r>
        <w:rPr>
          <w:rFonts w:hint="eastAsia" w:ascii="仿宋_GB2312" w:hAnsi="Calibri"/>
          <w:sz w:val="32"/>
          <w:szCs w:val="32"/>
          <w:highlight w:val="none"/>
        </w:rPr>
        <w:t>提交符合要求的申请材料</w:t>
      </w:r>
      <w:r>
        <w:rPr>
          <w:rFonts w:hint="eastAsia" w:ascii="仿宋_GB2312" w:hAnsi="Calibri"/>
          <w:sz w:val="32"/>
          <w:szCs w:val="32"/>
          <w:highlight w:val="none"/>
          <w:lang w:eastAsia="zh-CN"/>
        </w:rPr>
        <w:t>，</w:t>
      </w:r>
      <w:r>
        <w:rPr>
          <w:rFonts w:hint="eastAsia" w:ascii="仿宋_GB2312" w:hAnsi="Calibri"/>
          <w:sz w:val="32"/>
          <w:szCs w:val="32"/>
          <w:highlight w:val="none"/>
        </w:rPr>
        <w:t>配套指引另</w:t>
      </w:r>
      <w:r>
        <w:rPr>
          <w:rFonts w:hint="eastAsia" w:ascii="仿宋_GB2312" w:hAnsi="Calibri"/>
          <w:sz w:val="32"/>
          <w:szCs w:val="32"/>
          <w:highlight w:val="none"/>
          <w:lang w:val="en-US" w:eastAsia="zh-CN"/>
        </w:rPr>
        <w:t>行</w:t>
      </w:r>
      <w:r>
        <w:rPr>
          <w:rFonts w:hint="eastAsia" w:ascii="仿宋_GB2312" w:hAnsi="Calibri"/>
          <w:sz w:val="32"/>
          <w:szCs w:val="32"/>
          <w:highlight w:val="none"/>
        </w:rPr>
        <w:t>制定，</w:t>
      </w:r>
      <w:r>
        <w:rPr>
          <w:rFonts w:hint="eastAsia" w:ascii="仿宋_GB2312" w:hAnsi="Calibri"/>
          <w:sz w:val="32"/>
          <w:szCs w:val="32"/>
          <w:highlight w:val="none"/>
          <w:lang w:val="en-US" w:eastAsia="zh-CN"/>
        </w:rPr>
        <w:t>各开发区</w:t>
      </w:r>
      <w:r>
        <w:rPr>
          <w:rFonts w:hint="eastAsia" w:ascii="仿宋_GB2312" w:hAnsi="Calibri"/>
          <w:sz w:val="32"/>
          <w:szCs w:val="32"/>
          <w:highlight w:val="none"/>
          <w:lang w:eastAsia="zh-CN"/>
        </w:rPr>
        <w:t>管委会</w:t>
      </w:r>
      <w:r>
        <w:rPr>
          <w:rFonts w:hint="eastAsia" w:ascii="仿宋_GB2312" w:hAnsi="Calibri" w:eastAsia="仿宋_GB2312"/>
          <w:sz w:val="32"/>
          <w:szCs w:val="32"/>
          <w:highlight w:val="none"/>
        </w:rPr>
        <w:t>对申请材料的完备性、真实性、合法性和可行性进行</w:t>
      </w:r>
      <w:r>
        <w:rPr>
          <w:rFonts w:hint="eastAsia" w:ascii="仿宋_GB2312" w:hAnsi="Calibri" w:eastAsia="仿宋_GB2312"/>
          <w:sz w:val="32"/>
          <w:szCs w:val="32"/>
          <w:highlight w:val="none"/>
          <w:lang w:eastAsia="zh-CN"/>
        </w:rPr>
        <w:t>审核认定</w:t>
      </w:r>
      <w:r>
        <w:rPr>
          <w:rFonts w:hint="eastAsia" w:ascii="仿宋_GB2312" w:hAnsi="Calibri"/>
          <w:sz w:val="32"/>
          <w:szCs w:val="32"/>
          <w:highlight w:val="none"/>
          <w:lang w:eastAsia="zh-CN"/>
        </w:rPr>
        <w:t>，</w:t>
      </w:r>
      <w:r>
        <w:rPr>
          <w:rFonts w:hint="eastAsia" w:ascii="仿宋_GB2312" w:hAnsi="Calibri"/>
          <w:sz w:val="32"/>
          <w:szCs w:val="32"/>
          <w:highlight w:val="none"/>
          <w:lang w:val="en-US" w:eastAsia="zh-CN"/>
        </w:rPr>
        <w:t>形成《</w:t>
      </w:r>
      <w:r>
        <w:rPr>
          <w:rFonts w:hint="eastAsia" w:ascii="仿宋_GB2312" w:hAnsi="Calibri"/>
          <w:sz w:val="32"/>
          <w:szCs w:val="32"/>
          <w:highlight w:val="none"/>
        </w:rPr>
        <w:t>合格境外有限合伙人</w:t>
      </w:r>
      <w:r>
        <w:rPr>
          <w:rFonts w:hint="eastAsia" w:ascii="仿宋_GB2312" w:hAnsi="Calibri"/>
          <w:sz w:val="32"/>
          <w:szCs w:val="32"/>
          <w:highlight w:val="none"/>
          <w:lang w:val="en-US" w:eastAsia="zh-CN"/>
        </w:rPr>
        <w:t>资格认定</w:t>
      </w:r>
      <w:r>
        <w:rPr>
          <w:rFonts w:hint="eastAsia" w:ascii="仿宋_GB2312" w:hAnsi="Calibri"/>
          <w:sz w:val="32"/>
          <w:szCs w:val="32"/>
          <w:highlight w:val="none"/>
        </w:rPr>
        <w:t>意见函</w:t>
      </w:r>
      <w:r>
        <w:rPr>
          <w:rFonts w:hint="eastAsia" w:ascii="仿宋_GB2312" w:hAnsi="Calibri"/>
          <w:sz w:val="32"/>
          <w:szCs w:val="32"/>
          <w:highlight w:val="none"/>
          <w:lang w:eastAsia="zh-CN"/>
        </w:rPr>
        <w:t>》（</w:t>
      </w:r>
      <w:r>
        <w:rPr>
          <w:rFonts w:hint="eastAsia" w:ascii="仿宋_GB2312" w:hAnsi="Calibri"/>
          <w:sz w:val="32"/>
          <w:szCs w:val="32"/>
          <w:highlight w:val="none"/>
          <w:lang w:val="en-US" w:eastAsia="zh-CN"/>
        </w:rPr>
        <w:t>以下简称《意见函》</w:t>
      </w:r>
      <w:r>
        <w:rPr>
          <w:rFonts w:hint="eastAsia" w:ascii="仿宋_GB2312" w:hAnsi="Calibri"/>
          <w:sz w:val="32"/>
          <w:szCs w:val="32"/>
          <w:highlight w:val="none"/>
          <w:lang w:eastAsia="zh-CN"/>
        </w:rPr>
        <w:t>），</w:t>
      </w:r>
      <w:r>
        <w:rPr>
          <w:rFonts w:hint="eastAsia" w:ascii="仿宋_GB2312" w:hAnsi="Calibri"/>
          <w:sz w:val="32"/>
          <w:szCs w:val="32"/>
          <w:highlight w:val="none"/>
          <w:lang w:val="en-US" w:eastAsia="zh-CN"/>
        </w:rPr>
        <w:t>并向企业</w:t>
      </w:r>
      <w:r>
        <w:rPr>
          <w:rFonts w:hint="eastAsia" w:ascii="仿宋_GB2312" w:hAnsi="Calibri" w:eastAsia="仿宋_GB2312"/>
          <w:sz w:val="32"/>
          <w:szCs w:val="32"/>
          <w:highlight w:val="none"/>
        </w:rPr>
        <w:t>出具试点资格文件。</w:t>
      </w:r>
      <w:r>
        <w:rPr>
          <w:rFonts w:hint="eastAsia" w:ascii="仿宋_GB2312" w:hAnsi="Calibri"/>
          <w:sz w:val="32"/>
          <w:szCs w:val="32"/>
          <w:highlight w:val="none"/>
        </w:rPr>
        <w:t>原则上</w:t>
      </w:r>
      <w:r>
        <w:rPr>
          <w:rFonts w:hint="eastAsia" w:ascii="仿宋_GB2312" w:hAnsi="Calibri"/>
          <w:sz w:val="32"/>
          <w:szCs w:val="32"/>
          <w:highlight w:val="none"/>
          <w:lang w:val="en-US" w:eastAsia="zh-CN"/>
        </w:rPr>
        <w:t>自企业提交齐备的申请材料后5</w:t>
      </w:r>
      <w:r>
        <w:rPr>
          <w:rFonts w:hint="eastAsia" w:ascii="仿宋_GB2312" w:hAnsi="Calibri"/>
          <w:sz w:val="32"/>
          <w:szCs w:val="32"/>
          <w:highlight w:val="none"/>
        </w:rPr>
        <w:t>个工作日内</w:t>
      </w:r>
      <w:r>
        <w:rPr>
          <w:rFonts w:hint="eastAsia" w:ascii="仿宋_GB2312" w:hAnsi="Calibri"/>
          <w:sz w:val="32"/>
          <w:szCs w:val="32"/>
          <w:highlight w:val="none"/>
          <w:lang w:val="en-US" w:eastAsia="zh-CN"/>
        </w:rPr>
        <w:t>予以答复。</w:t>
      </w:r>
    </w:p>
    <w:p w14:paraId="6C2A8AB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sz w:val="32"/>
          <w:szCs w:val="32"/>
          <w:highlight w:val="none"/>
          <w:lang w:eastAsia="zh-CN"/>
        </w:rPr>
      </w:pPr>
      <w:r>
        <w:rPr>
          <w:rFonts w:hint="eastAsia" w:ascii="仿宋_GB2312" w:hAnsi="Calibri" w:eastAsia="仿宋_GB2312"/>
          <w:sz w:val="32"/>
          <w:szCs w:val="32"/>
          <w:highlight w:val="none"/>
        </w:rPr>
        <w:t>（二）企业设立。</w:t>
      </w:r>
      <w:r>
        <w:rPr>
          <w:rFonts w:hint="eastAsia" w:ascii="仿宋_GB2312" w:hAnsi="Calibri"/>
          <w:sz w:val="32"/>
          <w:szCs w:val="32"/>
          <w:highlight w:val="none"/>
          <w:lang w:val="en-US" w:eastAsia="zh-CN"/>
        </w:rPr>
        <w:t>各开发区市场监管部门</w:t>
      </w:r>
      <w:r>
        <w:rPr>
          <w:rFonts w:hint="eastAsia" w:ascii="仿宋_GB2312" w:hAnsi="Calibri" w:eastAsia="仿宋_GB2312"/>
          <w:sz w:val="32"/>
          <w:szCs w:val="32"/>
          <w:highlight w:val="none"/>
        </w:rPr>
        <w:t>凭试点资格文件办理企业工商登记注册手续。</w:t>
      </w:r>
    </w:p>
    <w:p w14:paraId="32617FD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sz w:val="32"/>
          <w:szCs w:val="32"/>
          <w:highlight w:val="none"/>
          <w:lang w:eastAsia="zh-CN"/>
        </w:rPr>
      </w:pPr>
      <w:r>
        <w:rPr>
          <w:rFonts w:hint="eastAsia" w:ascii="仿宋_GB2312" w:hAnsi="Calibri" w:eastAsia="仿宋_GB2312"/>
          <w:sz w:val="32"/>
          <w:szCs w:val="32"/>
          <w:highlight w:val="none"/>
        </w:rPr>
        <w:t>（</w:t>
      </w:r>
      <w:r>
        <w:rPr>
          <w:rFonts w:hint="eastAsia" w:ascii="仿宋_GB2312" w:hAnsi="Calibri"/>
          <w:sz w:val="32"/>
          <w:szCs w:val="32"/>
          <w:highlight w:val="none"/>
          <w:lang w:val="en-US" w:eastAsia="zh-CN"/>
        </w:rPr>
        <w:t>三</w:t>
      </w:r>
      <w:r>
        <w:rPr>
          <w:rFonts w:hint="eastAsia" w:ascii="仿宋_GB2312" w:hAnsi="Calibri" w:eastAsia="仿宋_GB2312"/>
          <w:sz w:val="32"/>
          <w:szCs w:val="32"/>
          <w:highlight w:val="none"/>
        </w:rPr>
        <w:t>）</w:t>
      </w:r>
      <w:r>
        <w:rPr>
          <w:rFonts w:hint="eastAsia" w:ascii="仿宋_GB2312" w:hAnsi="Calibri"/>
          <w:sz w:val="32"/>
          <w:szCs w:val="32"/>
          <w:highlight w:val="none"/>
          <w:lang w:val="en-US" w:eastAsia="zh-CN"/>
        </w:rPr>
        <w:t>监督协调</w:t>
      </w:r>
      <w:r>
        <w:rPr>
          <w:rFonts w:hint="eastAsia" w:ascii="仿宋_GB2312" w:hAnsi="Calibri" w:eastAsia="仿宋_GB2312"/>
          <w:sz w:val="32"/>
          <w:szCs w:val="32"/>
          <w:highlight w:val="none"/>
        </w:rPr>
        <w:t>。</w:t>
      </w:r>
      <w:r>
        <w:rPr>
          <w:rFonts w:hint="eastAsia" w:ascii="仿宋_GB2312" w:hAnsi="Calibri"/>
          <w:sz w:val="32"/>
          <w:szCs w:val="32"/>
          <w:highlight w:val="none"/>
          <w:lang w:val="en-US" w:eastAsia="zh-CN"/>
        </w:rPr>
        <w:t>各开发区</w:t>
      </w:r>
      <w:r>
        <w:rPr>
          <w:rFonts w:hint="eastAsia" w:ascii="仿宋_GB2312" w:hAnsi="Calibri" w:eastAsia="仿宋_GB2312"/>
          <w:sz w:val="32"/>
          <w:szCs w:val="32"/>
          <w:highlight w:val="none"/>
          <w:lang w:eastAsia="zh-CN"/>
        </w:rPr>
        <w:t>每月</w:t>
      </w:r>
      <w:r>
        <w:rPr>
          <w:rFonts w:hint="eastAsia" w:ascii="仿宋_GB2312" w:hAnsi="Calibri"/>
          <w:sz w:val="32"/>
          <w:szCs w:val="32"/>
          <w:highlight w:val="none"/>
          <w:lang w:val="en-US" w:eastAsia="zh-CN"/>
        </w:rPr>
        <w:t>10日</w:t>
      </w:r>
      <w:r>
        <w:rPr>
          <w:rFonts w:hint="eastAsia" w:ascii="仿宋_GB2312" w:hAnsi="Calibri" w:eastAsia="仿宋_GB2312"/>
          <w:sz w:val="32"/>
          <w:szCs w:val="32"/>
          <w:highlight w:val="none"/>
          <w:lang w:val="en-US" w:eastAsia="zh-CN"/>
        </w:rPr>
        <w:t>前</w:t>
      </w:r>
      <w:r>
        <w:rPr>
          <w:rFonts w:hint="eastAsia" w:ascii="仿宋_GB2312" w:hAnsi="Calibri"/>
          <w:sz w:val="32"/>
          <w:szCs w:val="32"/>
          <w:highlight w:val="none"/>
          <w:lang w:val="en-US" w:eastAsia="zh-CN"/>
        </w:rPr>
        <w:t>须向创新发展局按时、如实报备试点企业申请情况及相关报备材料（见附件</w:t>
      </w:r>
      <w:r>
        <w:rPr>
          <w:rFonts w:hint="eastAsia" w:ascii="仿宋_GB2312" w:hAnsi="Calibri"/>
          <w:sz w:val="32"/>
          <w:szCs w:val="32"/>
          <w:highlight w:val="none"/>
          <w:lang w:eastAsia="zh-CN"/>
        </w:rPr>
        <w:t>2</w:t>
      </w:r>
      <w:r>
        <w:rPr>
          <w:rFonts w:hint="eastAsia" w:ascii="仿宋_GB2312" w:hAnsi="Calibri"/>
          <w:sz w:val="32"/>
          <w:szCs w:val="32"/>
          <w:highlight w:val="none"/>
          <w:lang w:val="en-US" w:eastAsia="zh-CN"/>
        </w:rPr>
        <w:t>），</w:t>
      </w:r>
      <w:r>
        <w:rPr>
          <w:rFonts w:hint="eastAsia" w:ascii="仿宋_GB2312" w:hAnsi="Calibri" w:eastAsia="仿宋_GB2312"/>
          <w:sz w:val="32"/>
          <w:szCs w:val="32"/>
          <w:highlight w:val="none"/>
          <w:lang w:val="en-US" w:eastAsia="zh-CN"/>
        </w:rPr>
        <w:t>创新</w:t>
      </w:r>
      <w:r>
        <w:rPr>
          <w:rFonts w:hint="eastAsia" w:ascii="仿宋_GB2312" w:hAnsi="Calibri"/>
          <w:sz w:val="32"/>
          <w:szCs w:val="32"/>
          <w:highlight w:val="none"/>
          <w:lang w:val="en-US" w:eastAsia="zh-CN"/>
        </w:rPr>
        <w:t>发展</w:t>
      </w:r>
      <w:r>
        <w:rPr>
          <w:rFonts w:hint="eastAsia" w:ascii="仿宋_GB2312" w:hAnsi="Calibri" w:eastAsia="仿宋_GB2312"/>
          <w:sz w:val="32"/>
          <w:szCs w:val="32"/>
          <w:highlight w:val="none"/>
          <w:lang w:val="en-US" w:eastAsia="zh-CN"/>
        </w:rPr>
        <w:t>局汇总后报备</w:t>
      </w:r>
      <w:r>
        <w:rPr>
          <w:rFonts w:hint="eastAsia" w:ascii="仿宋_GB2312" w:hAnsi="Calibri"/>
          <w:sz w:val="32"/>
          <w:szCs w:val="32"/>
          <w:highlight w:val="none"/>
          <w:lang w:val="en-US" w:eastAsia="zh-CN"/>
        </w:rPr>
        <w:t>外汇管理局滨海新区分局、</w:t>
      </w:r>
      <w:r>
        <w:rPr>
          <w:rFonts w:hint="eastAsia" w:ascii="仿宋_GB2312" w:hAnsi="Calibri" w:eastAsia="仿宋_GB2312"/>
          <w:sz w:val="32"/>
          <w:szCs w:val="32"/>
          <w:highlight w:val="none"/>
          <w:lang w:val="en-US" w:eastAsia="zh-CN"/>
        </w:rPr>
        <w:t>滨海新区商促局、区财政局</w:t>
      </w:r>
      <w:r>
        <w:rPr>
          <w:rFonts w:hint="eastAsia" w:ascii="仿宋_GB2312" w:hAnsi="Calibri"/>
          <w:sz w:val="32"/>
          <w:szCs w:val="32"/>
          <w:highlight w:val="none"/>
          <w:lang w:eastAsia="zh-CN"/>
        </w:rPr>
        <w:t>。</w:t>
      </w:r>
    </w:p>
    <w:p w14:paraId="0FCC1039">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Calibri"/>
          <w:color w:val="auto"/>
          <w:sz w:val="32"/>
          <w:szCs w:val="32"/>
          <w:highlight w:val="none"/>
          <w:lang w:eastAsia="zh-CN"/>
        </w:rPr>
      </w:pPr>
      <w:r>
        <w:rPr>
          <w:rFonts w:hint="eastAsia" w:ascii="仿宋_GB2312" w:hAnsi="Calibri" w:eastAsia="仿宋_GB2312"/>
          <w:sz w:val="32"/>
          <w:szCs w:val="32"/>
          <w:highlight w:val="none"/>
        </w:rPr>
        <w:t>第</w:t>
      </w:r>
      <w:r>
        <w:rPr>
          <w:rFonts w:hint="eastAsia" w:ascii="仿宋_GB2312" w:hAnsi="Calibri"/>
          <w:sz w:val="32"/>
          <w:szCs w:val="32"/>
          <w:highlight w:val="none"/>
          <w:lang w:val="en-US" w:eastAsia="zh-CN"/>
        </w:rPr>
        <w:t>九</w:t>
      </w:r>
      <w:r>
        <w:rPr>
          <w:rFonts w:hint="eastAsia" w:ascii="仿宋_GB2312" w:hAnsi="Calibri" w:eastAsia="仿宋_GB2312"/>
          <w:sz w:val="32"/>
          <w:szCs w:val="32"/>
          <w:highlight w:val="none"/>
        </w:rPr>
        <w:t>条 试点基金管理企业和试点基金的投资者应当具备与其认缴资本金额相匹配的出资能力，境外投资者用于出资的货币应当为可自由兑换的货币、境外人民币或其在中国境内获得的人民币利润或因转股、清算等活动获得的人民币合法收益，境内投资者应当以人民币出资。</w:t>
      </w:r>
      <w:r>
        <w:rPr>
          <w:rFonts w:hint="eastAsia" w:ascii="仿宋_GB2312" w:hAnsi="Calibri"/>
          <w:color w:val="auto"/>
          <w:sz w:val="32"/>
          <w:szCs w:val="32"/>
          <w:highlight w:val="none"/>
          <w:lang w:eastAsia="zh-CN"/>
        </w:rPr>
        <w:t>试点企业开展境内股权投资业务时，应严格遵守外汇管理和跨境人民币业务管理的相关规定。</w:t>
      </w:r>
    </w:p>
    <w:p w14:paraId="0B98F722">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Calibri" w:eastAsia="楷体_GB2312"/>
          <w:sz w:val="32"/>
          <w:szCs w:val="32"/>
          <w:highlight w:val="none"/>
          <w:lang w:val="en-US" w:eastAsia="zh-CN"/>
        </w:rPr>
      </w:pPr>
      <w:r>
        <w:rPr>
          <w:rFonts w:hint="eastAsia" w:ascii="仿宋_GB2312" w:hAnsi="Calibri"/>
          <w:sz w:val="32"/>
          <w:szCs w:val="32"/>
          <w:highlight w:val="none"/>
          <w:lang w:val="en-US" w:eastAsia="zh-CN"/>
        </w:rPr>
        <w:t>第十条 鼓励各开发区积极建立白名单制度，</w:t>
      </w:r>
      <w:r>
        <w:rPr>
          <w:rFonts w:hint="eastAsia" w:ascii="仿宋_GB2312" w:hAnsi="Calibri"/>
          <w:sz w:val="32"/>
          <w:szCs w:val="32"/>
          <w:highlight w:val="none"/>
        </w:rPr>
        <w:t>引导资金流向</w:t>
      </w:r>
      <w:r>
        <w:rPr>
          <w:rFonts w:hint="eastAsia" w:ascii="仿宋_GB2312" w:hAnsi="Calibri"/>
          <w:sz w:val="32"/>
          <w:szCs w:val="32"/>
          <w:highlight w:val="none"/>
          <w:lang w:val="en-US" w:eastAsia="zh-CN"/>
        </w:rPr>
        <w:t>天津</w:t>
      </w:r>
      <w:r>
        <w:rPr>
          <w:rFonts w:hint="eastAsia" w:ascii="仿宋_GB2312" w:hAnsi="Calibri"/>
          <w:sz w:val="32"/>
          <w:szCs w:val="32"/>
          <w:highlight w:val="none"/>
        </w:rPr>
        <w:t>关键创新领域和重要创新载体</w:t>
      </w:r>
      <w:r>
        <w:rPr>
          <w:rFonts w:hint="eastAsia" w:ascii="仿宋_GB2312" w:hAnsi="Calibri"/>
          <w:sz w:val="32"/>
          <w:szCs w:val="32"/>
          <w:highlight w:val="none"/>
          <w:lang w:val="en-US" w:eastAsia="zh-CN"/>
        </w:rPr>
        <w:t>，采用便捷高效的绿色通道方式进行审核，</w:t>
      </w:r>
      <w:r>
        <w:rPr>
          <w:rFonts w:hint="eastAsia" w:ascii="仿宋_GB2312" w:hAnsi="Calibri"/>
          <w:sz w:val="32"/>
          <w:szCs w:val="32"/>
          <w:highlight w:val="none"/>
        </w:rPr>
        <w:t>着重对白名单企业在跨境资金流动、结算等环节给予绿色通道待遇，</w:t>
      </w:r>
      <w:r>
        <w:rPr>
          <w:rFonts w:hint="eastAsia" w:ascii="仿宋_GB2312" w:hAnsi="Calibri"/>
          <w:sz w:val="32"/>
          <w:szCs w:val="32"/>
          <w:highlight w:val="none"/>
          <w:lang w:val="en-US" w:eastAsia="zh-CN"/>
        </w:rPr>
        <w:t>白名单制度相关实施细则的制定和落实由各开发区具体承担，</w:t>
      </w:r>
      <w:r>
        <w:rPr>
          <w:rFonts w:hint="eastAsia" w:ascii="仿宋_GB2312" w:hAnsi="Calibri"/>
          <w:sz w:val="32"/>
          <w:szCs w:val="32"/>
          <w:highlight w:val="none"/>
        </w:rPr>
        <w:t>明确相应的审核标准和流程</w:t>
      </w:r>
      <w:r>
        <w:rPr>
          <w:rFonts w:hint="eastAsia" w:ascii="仿宋_GB2312" w:hAnsi="Calibri"/>
          <w:sz w:val="32"/>
          <w:szCs w:val="32"/>
          <w:highlight w:val="none"/>
          <w:lang w:val="en-US" w:eastAsia="zh-CN"/>
        </w:rPr>
        <w:t>。</w:t>
      </w:r>
    </w:p>
    <w:p w14:paraId="7A8DBC9F">
      <w:pPr>
        <w:keepNext w:val="0"/>
        <w:keepLines w:val="0"/>
        <w:pageBreakBefore w:val="0"/>
        <w:widowControl w:val="0"/>
        <w:numPr>
          <w:ilvl w:val="-1"/>
          <w:numId w:val="0"/>
        </w:numPr>
        <w:kinsoku/>
        <w:wordWrap/>
        <w:overflowPunct/>
        <w:topLinePunct w:val="0"/>
        <w:autoSpaceDE/>
        <w:autoSpaceDN/>
        <w:bidi w:val="0"/>
        <w:spacing w:line="560" w:lineRule="exact"/>
        <w:ind w:firstLine="598" w:firstLineChars="187"/>
        <w:textAlignment w:val="auto"/>
        <w:rPr>
          <w:rFonts w:hint="eastAsia" w:ascii="仿宋_GB2312" w:hAnsi="Calibri"/>
          <w:sz w:val="32"/>
          <w:szCs w:val="32"/>
          <w:highlight w:val="none"/>
        </w:rPr>
      </w:pPr>
      <w:r>
        <w:rPr>
          <w:rFonts w:hint="eastAsia" w:ascii="仿宋_GB2312" w:hAnsi="Calibri"/>
          <w:sz w:val="32"/>
          <w:szCs w:val="32"/>
          <w:highlight w:val="none"/>
          <w:lang w:val="en-US" w:eastAsia="zh-CN"/>
        </w:rPr>
        <w:t xml:space="preserve">第十一条 </w:t>
      </w:r>
      <w:r>
        <w:rPr>
          <w:rFonts w:hint="eastAsia" w:ascii="仿宋_GB2312" w:hAnsi="Calibri"/>
          <w:sz w:val="32"/>
          <w:szCs w:val="32"/>
          <w:highlight w:val="none"/>
        </w:rPr>
        <w:t>试点企业的企业名称应当符合登记部门及有关监管部门的命名要求。</w:t>
      </w:r>
      <w:r>
        <w:rPr>
          <w:rFonts w:hint="eastAsia" w:ascii="仿宋_GB2312" w:hAnsi="Calibri"/>
          <w:strike w:val="0"/>
          <w:sz w:val="32"/>
          <w:szCs w:val="32"/>
          <w:highlight w:val="none"/>
        </w:rPr>
        <w:t>试点基金管理企业应当在名称中标明“私募基金”“私募基金管理”“创业投资”字样，并在经营范围中标明“私募投资基金管理”“私募股权投资基金管理”“创业投资基金管理”等体现受托管理私募基金特点的字样。</w:t>
      </w:r>
    </w:p>
    <w:p w14:paraId="5E3E7FE9">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Calibri"/>
          <w:sz w:val="32"/>
          <w:szCs w:val="32"/>
          <w:highlight w:val="none"/>
          <w:lang w:val="en-US" w:eastAsia="zh-CN"/>
        </w:rPr>
      </w:pPr>
    </w:p>
    <w:p w14:paraId="5CEDCEA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Calibri" w:eastAsia="仿宋_GB2312"/>
          <w:sz w:val="32"/>
          <w:szCs w:val="32"/>
          <w:highlight w:val="none"/>
          <w:lang w:val="en-US" w:eastAsia="zh-CN"/>
        </w:rPr>
      </w:pPr>
      <w:r>
        <w:rPr>
          <w:rFonts w:hint="eastAsia" w:ascii="仿宋_GB2312" w:hAnsi="Calibri"/>
          <w:sz w:val="32"/>
          <w:szCs w:val="32"/>
          <w:highlight w:val="none"/>
          <w:lang w:val="en-US" w:eastAsia="zh-CN"/>
        </w:rPr>
        <w:t>第三章</w:t>
      </w:r>
      <w:r>
        <w:rPr>
          <w:rFonts w:hint="eastAsia" w:ascii="仿宋_GB2312" w:hAnsi="Calibri" w:eastAsia="仿宋_GB2312"/>
          <w:sz w:val="32"/>
          <w:szCs w:val="32"/>
          <w:highlight w:val="none"/>
        </w:rPr>
        <w:t xml:space="preserve"> 试点</w:t>
      </w:r>
      <w:r>
        <w:rPr>
          <w:rFonts w:hint="eastAsia" w:ascii="仿宋_GB2312" w:hAnsi="Calibri"/>
          <w:sz w:val="32"/>
          <w:szCs w:val="32"/>
          <w:highlight w:val="none"/>
          <w:lang w:val="en-US" w:eastAsia="zh-CN"/>
        </w:rPr>
        <w:t>运作</w:t>
      </w:r>
    </w:p>
    <w:p w14:paraId="1C2604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sz w:val="32"/>
          <w:szCs w:val="32"/>
          <w:highlight w:val="none"/>
          <w:lang w:val="en-US" w:eastAsia="zh-CN"/>
        </w:rPr>
      </w:pPr>
      <w:r>
        <w:rPr>
          <w:rFonts w:hint="eastAsia" w:ascii="仿宋_GB2312" w:hAnsi="Calibri" w:eastAsia="仿宋_GB2312"/>
          <w:sz w:val="32"/>
          <w:szCs w:val="32"/>
          <w:highlight w:val="none"/>
          <w:lang w:val="en-US" w:eastAsia="zh-CN"/>
        </w:rPr>
        <w:t>第</w:t>
      </w:r>
      <w:r>
        <w:rPr>
          <w:rFonts w:hint="eastAsia" w:ascii="仿宋_GB2312" w:hAnsi="Calibri"/>
          <w:sz w:val="32"/>
          <w:szCs w:val="32"/>
          <w:highlight w:val="none"/>
          <w:lang w:val="en-US" w:eastAsia="zh-CN"/>
        </w:rPr>
        <w:t>十二</w:t>
      </w:r>
      <w:r>
        <w:rPr>
          <w:rFonts w:hint="eastAsia" w:ascii="仿宋_GB2312" w:hAnsi="Calibri" w:eastAsia="仿宋_GB2312"/>
          <w:sz w:val="32"/>
          <w:szCs w:val="32"/>
          <w:highlight w:val="none"/>
          <w:lang w:val="en-US" w:eastAsia="zh-CN"/>
        </w:rPr>
        <w:t>条 试点基金管理企业可从事如下业务：</w:t>
      </w:r>
    </w:p>
    <w:p w14:paraId="32C66D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sz w:val="32"/>
          <w:szCs w:val="32"/>
          <w:highlight w:val="none"/>
          <w:lang w:val="en-US" w:eastAsia="zh-CN"/>
        </w:rPr>
      </w:pPr>
      <w:r>
        <w:rPr>
          <w:rFonts w:hint="eastAsia" w:ascii="仿宋_GB2312" w:hAnsi="Calibri" w:eastAsia="仿宋_GB2312"/>
          <w:sz w:val="32"/>
          <w:szCs w:val="32"/>
          <w:highlight w:val="none"/>
          <w:lang w:val="en-US" w:eastAsia="zh-CN"/>
        </w:rPr>
        <w:t>（一）发起设立试点基金及/或其他境内私募股权投资、创业投资基金；</w:t>
      </w:r>
    </w:p>
    <w:p w14:paraId="45682C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sz w:val="32"/>
          <w:szCs w:val="32"/>
          <w:highlight w:val="none"/>
          <w:lang w:val="en-US" w:eastAsia="zh-CN"/>
        </w:rPr>
      </w:pPr>
      <w:r>
        <w:rPr>
          <w:rFonts w:hint="eastAsia" w:ascii="仿宋_GB2312" w:hAnsi="Calibri" w:eastAsia="仿宋_GB2312"/>
          <w:sz w:val="32"/>
          <w:szCs w:val="32"/>
          <w:highlight w:val="none"/>
          <w:lang w:val="en-US" w:eastAsia="zh-CN"/>
        </w:rPr>
        <w:t>（二）受托管理试点基金及/或其他境内私募股权投资、创业投资基金的投资业务并提供相关服务；</w:t>
      </w:r>
    </w:p>
    <w:p w14:paraId="6126CE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sz w:val="32"/>
          <w:szCs w:val="32"/>
          <w:highlight w:val="none"/>
          <w:lang w:val="en-US" w:eastAsia="zh-CN"/>
        </w:rPr>
      </w:pPr>
      <w:r>
        <w:rPr>
          <w:rFonts w:hint="eastAsia" w:ascii="仿宋_GB2312" w:hAnsi="Calibri" w:eastAsia="仿宋_GB2312"/>
          <w:sz w:val="32"/>
          <w:szCs w:val="32"/>
          <w:highlight w:val="none"/>
          <w:lang w:val="en-US" w:eastAsia="zh-CN"/>
        </w:rPr>
        <w:t>（三）经审批或登记机关许可的其他相关业务。</w:t>
      </w:r>
    </w:p>
    <w:p w14:paraId="25EDCB4B">
      <w:pPr>
        <w:keepNext w:val="0"/>
        <w:keepLines w:val="0"/>
        <w:pageBreakBefore w:val="0"/>
        <w:widowControl w:val="0"/>
        <w:numPr>
          <w:ilvl w:val="-1"/>
          <w:numId w:val="0"/>
        </w:numPr>
        <w:kinsoku/>
        <w:wordWrap/>
        <w:overflowPunct/>
        <w:topLinePunct w:val="0"/>
        <w:autoSpaceDE/>
        <w:autoSpaceDN/>
        <w:bidi w:val="0"/>
        <w:spacing w:line="560" w:lineRule="exact"/>
        <w:ind w:firstLine="640" w:firstLineChars="200"/>
        <w:textAlignment w:val="auto"/>
        <w:rPr>
          <w:rFonts w:hint="eastAsia" w:ascii="仿宋_GB2312" w:hAnsi="Calibri" w:eastAsia="仿宋_GB2312"/>
          <w:sz w:val="32"/>
          <w:szCs w:val="32"/>
          <w:highlight w:val="none"/>
          <w:lang w:eastAsia="zh-CN"/>
        </w:rPr>
      </w:pPr>
      <w:r>
        <w:rPr>
          <w:rFonts w:hint="eastAsia" w:ascii="仿宋_GB2312" w:hAnsi="Calibri" w:eastAsia="仿宋_GB2312"/>
          <w:sz w:val="32"/>
          <w:szCs w:val="32"/>
          <w:highlight w:val="none"/>
        </w:rPr>
        <w:t>第</w:t>
      </w:r>
      <w:r>
        <w:rPr>
          <w:rFonts w:hint="eastAsia" w:ascii="仿宋_GB2312" w:hAnsi="Calibri"/>
          <w:sz w:val="32"/>
          <w:szCs w:val="32"/>
          <w:highlight w:val="none"/>
          <w:lang w:val="en-US" w:eastAsia="zh-CN"/>
        </w:rPr>
        <w:t>十三</w:t>
      </w:r>
      <w:r>
        <w:rPr>
          <w:rFonts w:hint="eastAsia" w:ascii="仿宋_GB2312" w:hAnsi="Calibri" w:eastAsia="仿宋_GB2312"/>
          <w:sz w:val="32"/>
          <w:szCs w:val="32"/>
          <w:highlight w:val="none"/>
        </w:rPr>
        <w:t xml:space="preserve">条 </w:t>
      </w:r>
      <w:r>
        <w:rPr>
          <w:rFonts w:hint="eastAsia" w:ascii="仿宋_GB2312" w:hAnsi="Calibri"/>
          <w:sz w:val="32"/>
          <w:szCs w:val="32"/>
          <w:highlight w:val="none"/>
        </w:rPr>
        <w:t>试点基金可依法依规投资以下范围：</w:t>
      </w:r>
    </w:p>
    <w:p w14:paraId="002C447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sz w:val="32"/>
          <w:szCs w:val="32"/>
          <w:highlight w:val="none"/>
        </w:rPr>
      </w:pPr>
      <w:r>
        <w:rPr>
          <w:rFonts w:hint="eastAsia" w:ascii="仿宋_GB2312" w:hAnsi="Calibri"/>
          <w:sz w:val="32"/>
          <w:szCs w:val="32"/>
          <w:highlight w:val="none"/>
        </w:rPr>
        <w:t>（一）未上市公司股权；</w:t>
      </w:r>
    </w:p>
    <w:p w14:paraId="203ED55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Calibri" w:eastAsia="楷体_GB2312"/>
          <w:sz w:val="32"/>
          <w:szCs w:val="32"/>
          <w:highlight w:val="none"/>
        </w:rPr>
      </w:pPr>
      <w:r>
        <w:rPr>
          <w:rFonts w:hint="eastAsia" w:ascii="仿宋_GB2312" w:hAnsi="Calibri"/>
          <w:sz w:val="32"/>
          <w:szCs w:val="32"/>
          <w:highlight w:val="none"/>
        </w:rPr>
        <w:t>（二）上市公司非公开发行和交易的普通股(含定向发行新股、大宗交易、协议转让等)，可转换为普通股的优先股、债转股和可转债，可作为上市公司原股东参与配股；</w:t>
      </w:r>
    </w:p>
    <w:p w14:paraId="13B69AED">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仿宋_GB2312" w:hAnsi="Calibri"/>
          <w:sz w:val="32"/>
          <w:szCs w:val="32"/>
          <w:highlight w:val="none"/>
        </w:rPr>
      </w:pPr>
      <w:r>
        <w:rPr>
          <w:rFonts w:hint="eastAsia" w:ascii="仿宋_GB2312" w:hAnsi="Calibri"/>
          <w:sz w:val="32"/>
          <w:szCs w:val="32"/>
          <w:highlight w:val="none"/>
        </w:rPr>
        <w:t>夹层投资、私募债、不良资产</w:t>
      </w:r>
      <w:r>
        <w:rPr>
          <w:rFonts w:hint="eastAsia" w:ascii="仿宋_GB2312" w:hAnsi="Calibri"/>
          <w:sz w:val="32"/>
          <w:szCs w:val="32"/>
          <w:highlight w:val="none"/>
          <w:lang w:eastAsia="zh-CN"/>
        </w:rPr>
        <w:t>、破产重整企业的共益债</w:t>
      </w:r>
      <w:r>
        <w:rPr>
          <w:rFonts w:hint="eastAsia" w:ascii="仿宋_GB2312" w:hAnsi="Calibri"/>
          <w:sz w:val="32"/>
          <w:szCs w:val="32"/>
          <w:highlight w:val="none"/>
        </w:rPr>
        <w:t>；</w:t>
      </w:r>
    </w:p>
    <w:p w14:paraId="0CD2CF2B">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仿宋_GB2312" w:hAnsi="Calibri"/>
          <w:sz w:val="32"/>
          <w:szCs w:val="32"/>
          <w:highlight w:val="none"/>
        </w:rPr>
      </w:pPr>
      <w:r>
        <w:rPr>
          <w:rFonts w:hint="eastAsia" w:ascii="仿宋_GB2312" w:hAnsi="Calibri"/>
          <w:sz w:val="32"/>
          <w:szCs w:val="32"/>
          <w:highlight w:val="none"/>
        </w:rPr>
        <w:t>以基金中基金（FOF）形式运作，参与投资境内私募股权投资基金、私募创业投资基金、不动产私募投资基金；</w:t>
      </w:r>
    </w:p>
    <w:p w14:paraId="202E363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sz w:val="32"/>
          <w:szCs w:val="32"/>
          <w:highlight w:val="none"/>
        </w:rPr>
      </w:pPr>
      <w:r>
        <w:rPr>
          <w:rFonts w:hint="eastAsia" w:ascii="仿宋_GB2312" w:hAnsi="Calibri"/>
          <w:sz w:val="32"/>
          <w:szCs w:val="32"/>
          <w:highlight w:val="none"/>
        </w:rPr>
        <w:t>（</w:t>
      </w:r>
      <w:r>
        <w:rPr>
          <w:rFonts w:hint="eastAsia" w:ascii="仿宋_GB2312" w:hAnsi="Calibri"/>
          <w:sz w:val="32"/>
          <w:szCs w:val="32"/>
          <w:highlight w:val="none"/>
          <w:lang w:val="en-US" w:eastAsia="zh-CN"/>
        </w:rPr>
        <w:t>五</w:t>
      </w:r>
      <w:r>
        <w:rPr>
          <w:rFonts w:hint="eastAsia" w:ascii="仿宋_GB2312" w:hAnsi="Calibri"/>
          <w:sz w:val="32"/>
          <w:szCs w:val="32"/>
          <w:highlight w:val="none"/>
        </w:rPr>
        <w:t>）为所投资企业提供管理咨询；</w:t>
      </w:r>
    </w:p>
    <w:p w14:paraId="4B276E3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sz w:val="32"/>
          <w:szCs w:val="32"/>
          <w:highlight w:val="none"/>
        </w:rPr>
      </w:pPr>
      <w:r>
        <w:rPr>
          <w:rFonts w:hint="eastAsia" w:ascii="仿宋_GB2312" w:hAnsi="Calibri"/>
          <w:sz w:val="32"/>
          <w:szCs w:val="32"/>
          <w:highlight w:val="none"/>
        </w:rPr>
        <w:t>（</w:t>
      </w:r>
      <w:r>
        <w:rPr>
          <w:rFonts w:hint="eastAsia" w:ascii="仿宋_GB2312" w:hAnsi="Calibri"/>
          <w:sz w:val="32"/>
          <w:szCs w:val="32"/>
          <w:highlight w:val="none"/>
          <w:lang w:val="en-US" w:eastAsia="zh-CN"/>
        </w:rPr>
        <w:t>六</w:t>
      </w:r>
      <w:r>
        <w:rPr>
          <w:rFonts w:hint="eastAsia" w:ascii="仿宋_GB2312" w:hAnsi="Calibri"/>
          <w:sz w:val="32"/>
          <w:szCs w:val="32"/>
          <w:highlight w:val="none"/>
        </w:rPr>
        <w:t>）</w:t>
      </w:r>
      <w:r>
        <w:rPr>
          <w:rFonts w:hint="eastAsia" w:ascii="仿宋_GB2312" w:hAnsi="Calibri" w:eastAsia="仿宋_GB2312" w:cs="Times New Roman"/>
          <w:sz w:val="32"/>
          <w:szCs w:val="32"/>
          <w:highlight w:val="none"/>
          <w:lang w:val="en-US" w:eastAsia="zh-CN"/>
        </w:rPr>
        <w:t>经资格认定或登记机关许可的其他相关业务</w:t>
      </w:r>
      <w:r>
        <w:rPr>
          <w:rFonts w:hint="eastAsia" w:ascii="仿宋_GB2312" w:hAnsi="Calibri"/>
          <w:sz w:val="32"/>
          <w:szCs w:val="32"/>
          <w:highlight w:val="none"/>
        </w:rPr>
        <w:t>。</w:t>
      </w:r>
    </w:p>
    <w:p w14:paraId="6CEFC70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sz w:val="32"/>
          <w:szCs w:val="32"/>
          <w:highlight w:val="none"/>
        </w:rPr>
      </w:pPr>
      <w:r>
        <w:rPr>
          <w:rFonts w:hint="eastAsia" w:ascii="仿宋_GB2312" w:hAnsi="Calibri"/>
          <w:sz w:val="32"/>
          <w:szCs w:val="32"/>
          <w:highlight w:val="none"/>
        </w:rPr>
        <w:t>试点基金的投资范围应当遵守有关外商投资、私募股权投资基金的国家法律法规等相关规定，符合国家宏观调控政策、产业政策及《鼓励外商投资产业目录》《外商投资准入特别管理措施（负面清单）》等现行及动态调整的外商投资准入特别管理措施</w:t>
      </w:r>
      <w:r>
        <w:rPr>
          <w:rFonts w:hint="eastAsia" w:ascii="仿宋_GB2312" w:hAnsi="Calibri"/>
          <w:sz w:val="32"/>
          <w:szCs w:val="32"/>
          <w:highlight w:val="none"/>
          <w:lang w:eastAsia="zh-CN"/>
        </w:rPr>
        <w:t>。</w:t>
      </w:r>
      <w:r>
        <w:rPr>
          <w:rFonts w:hint="eastAsia" w:ascii="仿宋_GB2312" w:hAnsi="Calibri"/>
          <w:sz w:val="32"/>
          <w:szCs w:val="32"/>
          <w:highlight w:val="none"/>
        </w:rPr>
        <w:t>如中国证监会、中国基金业协会或其他有关管理部门对投资范围另有规定的，从其规定。</w:t>
      </w:r>
    </w:p>
    <w:p w14:paraId="5E4A56F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Calibri"/>
          <w:sz w:val="32"/>
          <w:szCs w:val="32"/>
          <w:highlight w:val="none"/>
        </w:rPr>
      </w:pPr>
      <w:r>
        <w:rPr>
          <w:rFonts w:hint="eastAsia" w:ascii="仿宋_GB2312" w:hAnsi="Calibri"/>
          <w:sz w:val="32"/>
          <w:szCs w:val="32"/>
          <w:highlight w:val="none"/>
          <w:lang w:val="en-US" w:eastAsia="zh-CN"/>
        </w:rPr>
        <w:t xml:space="preserve">第十四条 </w:t>
      </w:r>
      <w:r>
        <w:rPr>
          <w:rFonts w:hint="eastAsia" w:ascii="仿宋_GB2312" w:hAnsi="Calibri"/>
          <w:sz w:val="32"/>
          <w:szCs w:val="32"/>
          <w:highlight w:val="none"/>
        </w:rPr>
        <w:t>试点企业可采取股权转让、减资、清算等国家法律法规允许的方式退出被投资企业，并按照《中华人民共和国公司法》《中华人民共和国合伙企业法》等国家法律法规进行利润分配、减资和解散清算。</w:t>
      </w:r>
    </w:p>
    <w:p w14:paraId="5BDB70A7">
      <w:pPr>
        <w:keepNext w:val="0"/>
        <w:keepLines w:val="0"/>
        <w:pageBreakBefore w:val="0"/>
        <w:widowControl w:val="0"/>
        <w:numPr>
          <w:ilvl w:val="0"/>
          <w:numId w:val="3"/>
        </w:numPr>
        <w:kinsoku/>
        <w:wordWrap/>
        <w:overflowPunct/>
        <w:topLinePunct w:val="0"/>
        <w:autoSpaceDE/>
        <w:autoSpaceDN/>
        <w:bidi w:val="0"/>
        <w:spacing w:line="560" w:lineRule="exact"/>
        <w:ind w:firstLine="640" w:firstLineChars="200"/>
        <w:textAlignment w:val="auto"/>
        <w:rPr>
          <w:rFonts w:hint="eastAsia" w:ascii="仿宋_GB2312" w:hAnsi="Calibri" w:eastAsia="仿宋_GB2312"/>
          <w:sz w:val="32"/>
          <w:szCs w:val="32"/>
          <w:highlight w:val="none"/>
          <w:lang w:val="en-US" w:eastAsia="zh-CN"/>
        </w:rPr>
      </w:pPr>
      <w:r>
        <w:rPr>
          <w:rFonts w:hint="eastAsia" w:ascii="仿宋_GB2312" w:hAnsi="Calibri" w:eastAsia="仿宋_GB2312"/>
          <w:sz w:val="32"/>
          <w:szCs w:val="32"/>
          <w:highlight w:val="none"/>
          <w:lang w:val="en-US" w:eastAsia="zh-CN"/>
        </w:rPr>
        <w:t>试点企业应当持续合法合规运营，</w:t>
      </w:r>
      <w:r>
        <w:rPr>
          <w:rFonts w:hint="eastAsia" w:ascii="仿宋_GB2312" w:hAnsi="Calibri"/>
          <w:sz w:val="32"/>
          <w:szCs w:val="32"/>
          <w:highlight w:val="none"/>
          <w:lang w:val="en-US" w:eastAsia="zh-CN"/>
        </w:rPr>
        <w:t>各开发区</w:t>
      </w:r>
      <w:r>
        <w:rPr>
          <w:rFonts w:hint="eastAsia" w:ascii="仿宋_GB2312" w:hAnsi="Calibri" w:eastAsia="仿宋_GB2312"/>
          <w:sz w:val="32"/>
          <w:szCs w:val="32"/>
          <w:highlight w:val="none"/>
          <w:lang w:val="en-US" w:eastAsia="zh-CN"/>
        </w:rPr>
        <w:t>会同有关部门采取有效方式开展联合监管和动态监管，加强地方金融风险防控，打击以股权投资、私募基金名义从事非法集资等违法违规金融活动。</w:t>
      </w:r>
    </w:p>
    <w:p w14:paraId="067A5EE9">
      <w:pPr>
        <w:keepNext w:val="0"/>
        <w:keepLines w:val="0"/>
        <w:pageBreakBefore w:val="0"/>
        <w:widowControl w:val="0"/>
        <w:numPr>
          <w:ilvl w:val="0"/>
          <w:numId w:val="3"/>
        </w:numPr>
        <w:kinsoku/>
        <w:wordWrap/>
        <w:overflowPunct/>
        <w:topLinePunct w:val="0"/>
        <w:autoSpaceDE/>
        <w:autoSpaceDN/>
        <w:bidi w:val="0"/>
        <w:spacing w:line="560" w:lineRule="exact"/>
        <w:ind w:firstLine="640" w:firstLineChars="200"/>
        <w:textAlignment w:val="auto"/>
        <w:rPr>
          <w:rFonts w:hint="eastAsia" w:ascii="仿宋_GB2312" w:hAnsi="Calibri" w:eastAsia="仿宋_GB2312"/>
          <w:sz w:val="32"/>
          <w:szCs w:val="32"/>
          <w:highlight w:val="none"/>
          <w:lang w:val="en-US" w:eastAsia="zh-CN"/>
        </w:rPr>
      </w:pPr>
      <w:r>
        <w:rPr>
          <w:rFonts w:hint="eastAsia" w:ascii="仿宋_GB2312" w:hAnsi="Calibri" w:eastAsia="仿宋_GB2312"/>
          <w:sz w:val="32"/>
          <w:szCs w:val="32"/>
          <w:highlight w:val="none"/>
          <w:lang w:val="en-US" w:eastAsia="zh-CN"/>
        </w:rPr>
        <w:t>试点基金管理企业和试点基金违反国家法律、法规、规章或本办法规定的，有关部门和单位根据相应职责进行查处；构成犯罪的，依法移送司法机关处理。</w:t>
      </w:r>
    </w:p>
    <w:p w14:paraId="6DA0CB2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楷体_GB2312" w:hAnsi="Calibri" w:eastAsia="楷体_GB2312"/>
          <w:sz w:val="32"/>
          <w:szCs w:val="32"/>
          <w:highlight w:val="none"/>
          <w:lang w:val="en-US" w:eastAsia="zh-CN"/>
        </w:rPr>
      </w:pPr>
    </w:p>
    <w:p w14:paraId="39AB1967">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Calibri"/>
          <w:color w:val="auto"/>
          <w:sz w:val="32"/>
          <w:szCs w:val="32"/>
          <w:highlight w:val="none"/>
        </w:rPr>
      </w:pPr>
      <w:r>
        <w:rPr>
          <w:rFonts w:hint="eastAsia" w:ascii="仿宋_GB2312" w:hAnsi="Calibri"/>
          <w:color w:val="auto"/>
          <w:sz w:val="32"/>
          <w:szCs w:val="32"/>
          <w:highlight w:val="none"/>
        </w:rPr>
        <w:t>第</w:t>
      </w:r>
      <w:r>
        <w:rPr>
          <w:rFonts w:hint="eastAsia" w:ascii="仿宋_GB2312" w:hAnsi="Calibri"/>
          <w:color w:val="auto"/>
          <w:sz w:val="32"/>
          <w:szCs w:val="32"/>
          <w:highlight w:val="none"/>
          <w:lang w:val="en-US" w:eastAsia="zh-CN"/>
        </w:rPr>
        <w:t>四</w:t>
      </w:r>
      <w:r>
        <w:rPr>
          <w:rFonts w:hint="eastAsia" w:ascii="仿宋_GB2312" w:hAnsi="Calibri"/>
          <w:color w:val="auto"/>
          <w:sz w:val="32"/>
          <w:szCs w:val="32"/>
          <w:highlight w:val="none"/>
        </w:rPr>
        <w:t>章 资金汇兑管理</w:t>
      </w:r>
    </w:p>
    <w:p w14:paraId="1E72173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color w:val="auto"/>
          <w:sz w:val="32"/>
          <w:szCs w:val="32"/>
          <w:highlight w:val="none"/>
          <w:lang w:eastAsia="zh-CN"/>
        </w:rPr>
      </w:pPr>
      <w:r>
        <w:rPr>
          <w:rFonts w:hint="eastAsia" w:ascii="仿宋_GB2312" w:hAnsi="Calibri"/>
          <w:color w:val="auto"/>
          <w:sz w:val="32"/>
          <w:szCs w:val="32"/>
          <w:highlight w:val="none"/>
        </w:rPr>
        <w:t>第十</w:t>
      </w:r>
      <w:r>
        <w:rPr>
          <w:rFonts w:hint="eastAsia" w:ascii="仿宋_GB2312" w:hAnsi="Calibri"/>
          <w:color w:val="auto"/>
          <w:sz w:val="32"/>
          <w:szCs w:val="32"/>
          <w:highlight w:val="none"/>
          <w:lang w:val="en-US" w:eastAsia="zh-CN"/>
        </w:rPr>
        <w:t>七</w:t>
      </w:r>
      <w:r>
        <w:rPr>
          <w:rFonts w:hint="eastAsia" w:ascii="仿宋_GB2312" w:hAnsi="Calibri"/>
          <w:color w:val="auto"/>
          <w:sz w:val="32"/>
          <w:szCs w:val="32"/>
          <w:highlight w:val="none"/>
        </w:rPr>
        <w:t xml:space="preserve">条 </w:t>
      </w:r>
      <w:r>
        <w:rPr>
          <w:rFonts w:hint="eastAsia" w:ascii="仿宋_GB2312" w:hAnsi="Calibri"/>
          <w:color w:val="auto"/>
          <w:sz w:val="32"/>
          <w:szCs w:val="32"/>
          <w:highlight w:val="none"/>
          <w:lang w:val="en-US" w:eastAsia="zh-CN"/>
        </w:rPr>
        <w:t>试点企业应在银行办理外商投资企业基本信息外汇登记手续，相关账户开立、资金汇兑应遵循现行外商投资外汇管理要求。试点企业外汇资本金及其结汇所得人民币资金的使用应遵循真实、自用原则，不得违反外汇局资本项目收入使用负面清单管理要求</w:t>
      </w:r>
      <w:r>
        <w:rPr>
          <w:rFonts w:hint="eastAsia" w:ascii="仿宋_GB2312" w:hAnsi="Calibri"/>
          <w:color w:val="auto"/>
          <w:sz w:val="32"/>
          <w:szCs w:val="32"/>
          <w:highlight w:val="none"/>
          <w:lang w:eastAsia="zh-CN"/>
        </w:rPr>
        <w:t>。</w:t>
      </w:r>
    </w:p>
    <w:p w14:paraId="55B143B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color w:val="auto"/>
          <w:sz w:val="32"/>
          <w:szCs w:val="32"/>
          <w:highlight w:val="none"/>
        </w:rPr>
      </w:pPr>
      <w:r>
        <w:rPr>
          <w:rFonts w:hint="eastAsia" w:ascii="仿宋_GB2312" w:hAnsi="Calibri" w:eastAsia="仿宋_GB2312"/>
          <w:sz w:val="32"/>
          <w:szCs w:val="32"/>
          <w:highlight w:val="none"/>
          <w:lang w:val="en-US" w:eastAsia="zh-CN"/>
        </w:rPr>
        <w:t>第十</w:t>
      </w:r>
      <w:r>
        <w:rPr>
          <w:rFonts w:hint="eastAsia" w:ascii="仿宋_GB2312" w:hAnsi="Calibri"/>
          <w:sz w:val="32"/>
          <w:szCs w:val="32"/>
          <w:highlight w:val="none"/>
          <w:lang w:val="en-US" w:eastAsia="zh-CN"/>
        </w:rPr>
        <w:t>八</w:t>
      </w:r>
      <w:r>
        <w:rPr>
          <w:rFonts w:hint="eastAsia" w:ascii="仿宋_GB2312" w:hAnsi="Calibri" w:eastAsia="仿宋_GB2312"/>
          <w:sz w:val="32"/>
          <w:szCs w:val="32"/>
          <w:highlight w:val="none"/>
          <w:lang w:val="en-US" w:eastAsia="zh-CN"/>
        </w:rPr>
        <w:t>条 须在中国基金业协会进行备案的试点基金应当按照《私募投资基金监督管理条例》及中国证监会、中国基金业协会的相关规定办理托管相关事宜。</w:t>
      </w:r>
      <w:r>
        <w:rPr>
          <w:rFonts w:hint="eastAsia" w:ascii="仿宋_GB2312" w:hAnsi="Calibri"/>
          <w:color w:val="auto"/>
          <w:sz w:val="32"/>
          <w:szCs w:val="32"/>
          <w:highlight w:val="none"/>
        </w:rPr>
        <w:t>托管金融机构应当符合中国证监会、中国基金业协会或其他有关管理部门的相关规定并参照《证券投资基金托管业务管理办法》等规定切实履行托管职责，如发现可能违反国家法律法规或托管协议的情况应当立即向监管部门报告。</w:t>
      </w:r>
    </w:p>
    <w:p w14:paraId="3ECB695E">
      <w:pPr>
        <w:keepNext w:val="0"/>
        <w:keepLines w:val="0"/>
        <w:pageBreakBefore w:val="0"/>
        <w:widowControl w:val="0"/>
        <w:numPr>
          <w:ilvl w:val="0"/>
          <w:numId w:val="4"/>
        </w:numPr>
        <w:kinsoku/>
        <w:wordWrap/>
        <w:overflowPunct/>
        <w:topLinePunct w:val="0"/>
        <w:autoSpaceDE/>
        <w:autoSpaceDN/>
        <w:bidi w:val="0"/>
        <w:spacing w:line="560" w:lineRule="exact"/>
        <w:ind w:firstLine="640" w:firstLineChars="200"/>
        <w:textAlignment w:val="auto"/>
        <w:rPr>
          <w:rFonts w:hint="eastAsia" w:ascii="仿宋_GB2312" w:hAnsi="Calibri"/>
          <w:sz w:val="32"/>
          <w:szCs w:val="32"/>
          <w:highlight w:val="none"/>
          <w:lang w:eastAsia="zh-CN"/>
        </w:rPr>
      </w:pPr>
      <w:r>
        <w:rPr>
          <w:rFonts w:hint="eastAsia" w:ascii="仿宋_GB2312" w:hAnsi="Calibri" w:eastAsia="仿宋_GB2312"/>
          <w:sz w:val="32"/>
          <w:szCs w:val="32"/>
          <w:highlight w:val="none"/>
          <w:lang w:val="en-US" w:eastAsia="zh-CN"/>
        </w:rPr>
        <w:t>托管机构须将试点基金投资款的缴入与其他资金的使用分开核算，试点基金管理企业、托管机构每季度结束后1</w:t>
      </w:r>
      <w:r>
        <w:rPr>
          <w:rFonts w:hint="eastAsia" w:ascii="仿宋_GB2312" w:hAnsi="Calibri"/>
          <w:sz w:val="32"/>
          <w:szCs w:val="32"/>
          <w:highlight w:val="none"/>
          <w:lang w:val="en-US" w:eastAsia="zh-CN"/>
        </w:rPr>
        <w:t>5</w:t>
      </w:r>
      <w:r>
        <w:rPr>
          <w:rFonts w:hint="eastAsia" w:ascii="仿宋_GB2312" w:hAnsi="Calibri" w:eastAsia="仿宋_GB2312"/>
          <w:sz w:val="32"/>
          <w:szCs w:val="32"/>
          <w:highlight w:val="none"/>
          <w:lang w:val="en-US" w:eastAsia="zh-CN"/>
        </w:rPr>
        <w:t>个工作日内</w:t>
      </w:r>
      <w:r>
        <w:rPr>
          <w:rFonts w:hint="eastAsia" w:ascii="仿宋_GB2312" w:hAnsi="Calibri"/>
          <w:sz w:val="32"/>
          <w:szCs w:val="32"/>
          <w:highlight w:val="none"/>
          <w:lang w:val="en-US" w:eastAsia="zh-CN"/>
        </w:rPr>
        <w:t>向各开发区</w:t>
      </w:r>
      <w:r>
        <w:rPr>
          <w:rFonts w:hint="eastAsia" w:ascii="仿宋_GB2312" w:hAnsi="Calibri" w:eastAsia="仿宋_GB2312"/>
          <w:sz w:val="32"/>
          <w:szCs w:val="32"/>
          <w:highlight w:val="none"/>
          <w:lang w:val="en-US" w:eastAsia="zh-CN"/>
        </w:rPr>
        <w:t>报送资金汇兑、资金投向、投资收益等情况，</w:t>
      </w:r>
      <w:r>
        <w:rPr>
          <w:rFonts w:hint="eastAsia" w:ascii="仿宋_GB2312" w:hAnsi="Calibri"/>
          <w:sz w:val="32"/>
          <w:szCs w:val="32"/>
          <w:highlight w:val="none"/>
          <w:lang w:val="en-US" w:eastAsia="zh-CN"/>
        </w:rPr>
        <w:t>各开发区汇总后向创新发展局同步报送</w:t>
      </w:r>
      <w:r>
        <w:rPr>
          <w:rFonts w:hint="default" w:ascii="仿宋_GB2312" w:hAnsi="Calibri"/>
          <w:sz w:val="32"/>
          <w:szCs w:val="32"/>
          <w:highlight w:val="none"/>
          <w:lang w:eastAsia="zh-CN"/>
        </w:rPr>
        <w:t>(</w:t>
      </w:r>
      <w:r>
        <w:rPr>
          <w:rFonts w:hint="eastAsia" w:ascii="仿宋_GB2312" w:hAnsi="Calibri"/>
          <w:sz w:val="32"/>
          <w:szCs w:val="32"/>
          <w:highlight w:val="none"/>
          <w:lang w:eastAsia="zh-CN"/>
        </w:rPr>
        <w:t>见附件</w:t>
      </w:r>
      <w:r>
        <w:rPr>
          <w:rFonts w:hint="eastAsia" w:ascii="仿宋_GB2312" w:hAnsi="Calibri"/>
          <w:sz w:val="32"/>
          <w:szCs w:val="32"/>
          <w:highlight w:val="none"/>
          <w:lang w:val="en-US" w:eastAsia="zh-CN"/>
        </w:rPr>
        <w:t>3</w:t>
      </w:r>
      <w:r>
        <w:rPr>
          <w:rFonts w:hint="default" w:ascii="仿宋_GB2312" w:hAnsi="Calibri"/>
          <w:sz w:val="32"/>
          <w:szCs w:val="32"/>
          <w:highlight w:val="none"/>
          <w:lang w:eastAsia="zh-CN"/>
        </w:rPr>
        <w:t>)</w:t>
      </w:r>
      <w:r>
        <w:rPr>
          <w:rFonts w:hint="eastAsia" w:ascii="仿宋_GB2312" w:hAnsi="Calibri"/>
          <w:sz w:val="32"/>
          <w:szCs w:val="32"/>
          <w:highlight w:val="none"/>
          <w:lang w:eastAsia="zh-CN"/>
        </w:rPr>
        <w:t>，</w:t>
      </w:r>
      <w:r>
        <w:rPr>
          <w:rFonts w:hint="eastAsia" w:ascii="仿宋_GB2312" w:hAnsi="Calibri" w:eastAsia="仿宋_GB2312"/>
          <w:sz w:val="32"/>
          <w:szCs w:val="32"/>
          <w:highlight w:val="none"/>
          <w:lang w:val="en-US" w:eastAsia="zh-CN"/>
        </w:rPr>
        <w:t>创新</w:t>
      </w:r>
      <w:r>
        <w:rPr>
          <w:rFonts w:hint="eastAsia" w:ascii="仿宋_GB2312" w:hAnsi="Calibri"/>
          <w:sz w:val="32"/>
          <w:szCs w:val="32"/>
          <w:highlight w:val="none"/>
          <w:lang w:val="en-US" w:eastAsia="zh-CN"/>
        </w:rPr>
        <w:t>发展</w:t>
      </w:r>
      <w:r>
        <w:rPr>
          <w:rFonts w:hint="eastAsia" w:ascii="仿宋_GB2312" w:hAnsi="Calibri" w:eastAsia="仿宋_GB2312"/>
          <w:sz w:val="32"/>
          <w:szCs w:val="32"/>
          <w:highlight w:val="none"/>
          <w:lang w:val="en-US" w:eastAsia="zh-CN"/>
        </w:rPr>
        <w:t>局汇总后报备</w:t>
      </w:r>
      <w:r>
        <w:rPr>
          <w:rFonts w:hint="eastAsia" w:ascii="仿宋_GB2312" w:hAnsi="Calibri"/>
          <w:sz w:val="32"/>
          <w:szCs w:val="32"/>
          <w:highlight w:val="none"/>
          <w:lang w:val="en-US" w:eastAsia="zh-CN"/>
        </w:rPr>
        <w:t>外汇管理局滨海新区分局、</w:t>
      </w:r>
      <w:r>
        <w:rPr>
          <w:rFonts w:hint="eastAsia" w:ascii="仿宋_GB2312" w:hAnsi="Calibri" w:eastAsia="仿宋_GB2312"/>
          <w:sz w:val="32"/>
          <w:szCs w:val="32"/>
          <w:highlight w:val="none"/>
          <w:lang w:val="en-US" w:eastAsia="zh-CN"/>
        </w:rPr>
        <w:t>滨海新区商促局、区财政局</w:t>
      </w:r>
      <w:r>
        <w:rPr>
          <w:rFonts w:hint="eastAsia" w:ascii="仿宋_GB2312" w:hAnsi="Calibri"/>
          <w:sz w:val="32"/>
          <w:szCs w:val="32"/>
          <w:highlight w:val="none"/>
          <w:lang w:eastAsia="zh-CN"/>
        </w:rPr>
        <w:t>。</w:t>
      </w:r>
    </w:p>
    <w:p w14:paraId="4A264EC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楷体_GB2312" w:hAnsi="Calibri" w:eastAsia="楷体_GB2312"/>
          <w:kern w:val="2"/>
          <w:sz w:val="32"/>
          <w:szCs w:val="32"/>
          <w:highlight w:val="none"/>
          <w:lang w:val="en-US" w:eastAsia="zh-CN"/>
        </w:rPr>
      </w:pPr>
    </w:p>
    <w:p w14:paraId="61E01CBA">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b/>
          <w:bCs/>
          <w:sz w:val="32"/>
          <w:szCs w:val="32"/>
          <w:highlight w:val="none"/>
        </w:rPr>
      </w:pPr>
      <w:r>
        <w:rPr>
          <w:rFonts w:hint="eastAsia" w:ascii="仿宋_GB2312" w:hAnsi="Calibri" w:eastAsia="仿宋_GB2312"/>
          <w:color w:val="auto"/>
          <w:kern w:val="2"/>
          <w:sz w:val="32"/>
          <w:szCs w:val="32"/>
          <w:highlight w:val="none"/>
          <w:lang w:val="en-US" w:eastAsia="zh-CN"/>
        </w:rPr>
        <w:t xml:space="preserve">第五章 </w:t>
      </w:r>
      <w:r>
        <w:rPr>
          <w:rFonts w:hint="eastAsia" w:ascii="仿宋_GB2312" w:hAnsi="Calibri" w:eastAsia="仿宋_GB2312"/>
          <w:color w:val="auto"/>
          <w:spacing w:val="0"/>
          <w:kern w:val="2"/>
          <w:sz w:val="32"/>
          <w:szCs w:val="32"/>
          <w:highlight w:val="none"/>
        </w:rPr>
        <w:t>附则</w:t>
      </w:r>
    </w:p>
    <w:p w14:paraId="0E9FAC8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color w:val="auto"/>
          <w:sz w:val="32"/>
          <w:szCs w:val="32"/>
          <w:highlight w:val="none"/>
        </w:rPr>
      </w:pPr>
      <w:r>
        <w:rPr>
          <w:rFonts w:hint="eastAsia" w:ascii="仿宋_GB2312" w:hAnsi="Calibri"/>
          <w:color w:val="auto"/>
          <w:sz w:val="32"/>
          <w:szCs w:val="32"/>
          <w:highlight w:val="none"/>
          <w:lang w:val="en-US" w:eastAsia="zh-CN"/>
        </w:rPr>
        <w:t xml:space="preserve">第二十条 </w:t>
      </w:r>
      <w:r>
        <w:rPr>
          <w:rFonts w:hint="eastAsia" w:ascii="仿宋_GB2312" w:hAnsi="Calibri"/>
          <w:color w:val="auto"/>
          <w:sz w:val="32"/>
          <w:szCs w:val="32"/>
          <w:highlight w:val="none"/>
        </w:rPr>
        <w:t>香港特别行政区、澳门特别行政区、台湾地区的投资者参与合格境外有限合伙人试点的，参照本试点办法执行。</w:t>
      </w:r>
    </w:p>
    <w:p w14:paraId="34AB494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color w:val="auto"/>
          <w:sz w:val="32"/>
          <w:szCs w:val="32"/>
          <w:highlight w:val="none"/>
        </w:rPr>
      </w:pPr>
      <w:r>
        <w:rPr>
          <w:rFonts w:hint="eastAsia" w:ascii="仿宋_GB2312" w:hAnsi="Calibri"/>
          <w:color w:val="auto"/>
          <w:sz w:val="32"/>
          <w:szCs w:val="32"/>
          <w:highlight w:val="none"/>
          <w:lang w:val="en-US" w:eastAsia="zh-CN"/>
        </w:rPr>
        <w:t>第二十一条</w:t>
      </w:r>
      <w:r>
        <w:rPr>
          <w:rFonts w:hint="eastAsia" w:ascii="仿宋_GB2312" w:hAnsi="Calibri"/>
          <w:color w:val="auto"/>
          <w:sz w:val="32"/>
          <w:szCs w:val="32"/>
          <w:highlight w:val="none"/>
        </w:rPr>
        <w:t xml:space="preserve"> 本试点办法由</w:t>
      </w:r>
      <w:r>
        <w:rPr>
          <w:rFonts w:hint="eastAsia" w:ascii="仿宋_GB2312" w:hAnsi="Calibri" w:cs="Times New Roman"/>
          <w:snapToGrid/>
          <w:color w:val="auto"/>
          <w:sz w:val="32"/>
          <w:szCs w:val="32"/>
          <w:highlight w:val="none"/>
          <w:lang w:eastAsia="zh-CN"/>
        </w:rPr>
        <w:t>创新发展局</w:t>
      </w:r>
      <w:r>
        <w:rPr>
          <w:rFonts w:hint="eastAsia" w:ascii="仿宋_GB2312" w:hAnsi="Calibri" w:eastAsia="仿宋_GB2312" w:cs="Times New Roman"/>
          <w:snapToGrid/>
          <w:color w:val="auto"/>
          <w:sz w:val="32"/>
          <w:szCs w:val="32"/>
          <w:highlight w:val="none"/>
        </w:rPr>
        <w:t>会同</w:t>
      </w:r>
      <w:r>
        <w:rPr>
          <w:rFonts w:hint="eastAsia" w:ascii="仿宋_GB2312" w:hAnsi="Calibri"/>
          <w:color w:val="auto"/>
          <w:sz w:val="32"/>
          <w:szCs w:val="32"/>
          <w:highlight w:val="none"/>
          <w:lang w:val="en-US" w:eastAsia="zh-CN"/>
        </w:rPr>
        <w:t>滨海新区商促局</w:t>
      </w:r>
      <w:r>
        <w:rPr>
          <w:rFonts w:hint="eastAsia" w:ascii="仿宋_GB2312" w:hAnsi="Calibri"/>
          <w:color w:val="auto"/>
          <w:sz w:val="32"/>
          <w:szCs w:val="32"/>
          <w:highlight w:val="none"/>
        </w:rPr>
        <w:t>负责具体解释工作。</w:t>
      </w:r>
    </w:p>
    <w:p w14:paraId="4D08C9B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color w:val="auto"/>
          <w:sz w:val="32"/>
          <w:szCs w:val="32"/>
          <w:highlight w:val="none"/>
          <w:lang w:val="en-US" w:eastAsia="zh-CN"/>
        </w:rPr>
      </w:pPr>
      <w:r>
        <w:rPr>
          <w:rFonts w:hint="eastAsia" w:ascii="仿宋_GB2312" w:hAnsi="Calibri"/>
          <w:color w:val="auto"/>
          <w:sz w:val="32"/>
          <w:szCs w:val="32"/>
          <w:highlight w:val="none"/>
          <w:lang w:val="en-US" w:eastAsia="zh-CN"/>
        </w:rPr>
        <w:t xml:space="preserve">第二十二条 </w:t>
      </w:r>
      <w:r>
        <w:rPr>
          <w:rFonts w:hint="eastAsia" w:ascii="仿宋_GB2312" w:hAnsi="Calibri"/>
          <w:color w:val="auto"/>
          <w:sz w:val="32"/>
          <w:szCs w:val="32"/>
          <w:highlight w:val="none"/>
        </w:rPr>
        <w:t>本试点办法自</w:t>
      </w:r>
      <w:r>
        <w:rPr>
          <w:rFonts w:hint="eastAsia" w:ascii="仿宋_GB2312" w:hAnsi="Calibri"/>
          <w:color w:val="auto"/>
          <w:sz w:val="32"/>
          <w:szCs w:val="32"/>
          <w:highlight w:val="none"/>
          <w:lang w:val="en-US" w:eastAsia="zh-CN"/>
        </w:rPr>
        <w:t>发布之</w:t>
      </w:r>
      <w:r>
        <w:rPr>
          <w:rFonts w:hint="eastAsia" w:ascii="仿宋_GB2312" w:hAnsi="Calibri"/>
          <w:color w:val="auto"/>
          <w:sz w:val="32"/>
          <w:szCs w:val="32"/>
          <w:highlight w:val="none"/>
        </w:rPr>
        <w:t>日起施行</w:t>
      </w:r>
      <w:r>
        <w:rPr>
          <w:rFonts w:hint="eastAsia" w:ascii="仿宋_GB2312" w:hAnsi="Calibri"/>
          <w:color w:val="auto"/>
          <w:sz w:val="32"/>
          <w:szCs w:val="32"/>
          <w:highlight w:val="none"/>
          <w:lang w:eastAsia="zh-CN"/>
        </w:rPr>
        <w:t>，有效期三年。</w:t>
      </w:r>
    </w:p>
    <w:sectPr>
      <w:footerReference r:id="rId3" w:type="default"/>
      <w:pgSz w:w="11907" w:h="16840"/>
      <w:pgMar w:top="2041" w:right="1559" w:bottom="1134" w:left="1559" w:header="851" w:footer="992" w:gutter="0"/>
      <w:cols w:space="720" w:num="1"/>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79C6">
    <w:pPr>
      <w:pStyle w:val="1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5E93C0">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115E93C0">
                    <w:pPr>
                      <w:pStyle w:val="10"/>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FCD0D"/>
    <w:multiLevelType w:val="singleLevel"/>
    <w:tmpl w:val="E7EFCD0D"/>
    <w:lvl w:ilvl="0" w:tentative="0">
      <w:start w:val="3"/>
      <w:numFmt w:val="chineseCounting"/>
      <w:suff w:val="nothing"/>
      <w:lvlText w:val="（%1）"/>
      <w:lvlJc w:val="left"/>
      <w:rPr>
        <w:rFonts w:hint="eastAsia"/>
      </w:rPr>
    </w:lvl>
  </w:abstractNum>
  <w:abstractNum w:abstractNumId="1">
    <w:nsid w:val="F7BC98F1"/>
    <w:multiLevelType w:val="singleLevel"/>
    <w:tmpl w:val="F7BC98F1"/>
    <w:lvl w:ilvl="0" w:tentative="0">
      <w:start w:val="4"/>
      <w:numFmt w:val="chineseCounting"/>
      <w:suff w:val="space"/>
      <w:lvlText w:val="第%1条"/>
      <w:lvlJc w:val="left"/>
      <w:rPr>
        <w:rFonts w:hint="eastAsia"/>
      </w:rPr>
    </w:lvl>
  </w:abstractNum>
  <w:abstractNum w:abstractNumId="2">
    <w:nsid w:val="7655F541"/>
    <w:multiLevelType w:val="singleLevel"/>
    <w:tmpl w:val="7655F541"/>
    <w:lvl w:ilvl="0" w:tentative="0">
      <w:start w:val="15"/>
      <w:numFmt w:val="chineseCounting"/>
      <w:suff w:val="space"/>
      <w:lvlText w:val="第%1条"/>
      <w:lvlJc w:val="left"/>
      <w:rPr>
        <w:rFonts w:hint="eastAsia"/>
      </w:rPr>
    </w:lvl>
  </w:abstractNum>
  <w:abstractNum w:abstractNumId="3">
    <w:nsid w:val="7DFB9473"/>
    <w:multiLevelType w:val="singleLevel"/>
    <w:tmpl w:val="7DFB9473"/>
    <w:lvl w:ilvl="0" w:tentative="0">
      <w:start w:val="19"/>
      <w:numFmt w:val="chineseCounting"/>
      <w:suff w:val="space"/>
      <w:lvlText w:val="第%1条"/>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doNotDisplayPageBoundaries w:val="1"/>
  <w:trackRevisions w:val="1"/>
  <w:documentProtection w:enforcement="0"/>
  <w:defaultTabStop w:val="425"/>
  <w:drawingGridHorizontalSpacing w:val="150"/>
  <w:drawingGridVerticalSpacing w:val="300"/>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GRmMWFmZTBkZjJjMzliNzk1NGZjMDY0Y2Y4MGIifQ=="/>
  </w:docVars>
  <w:rsids>
    <w:rsidRoot w:val="00000000"/>
    <w:rsid w:val="272E3A82"/>
    <w:rsid w:val="3BC067D1"/>
    <w:rsid w:val="45FF74AB"/>
    <w:rsid w:val="503D06D7"/>
    <w:rsid w:val="568F6F29"/>
    <w:rsid w:val="5BF4C286"/>
    <w:rsid w:val="5DD65628"/>
    <w:rsid w:val="60F70E69"/>
    <w:rsid w:val="627052CA"/>
    <w:rsid w:val="629A703D"/>
    <w:rsid w:val="66B96FB3"/>
    <w:rsid w:val="6BEC3627"/>
    <w:rsid w:val="6F6FEE44"/>
    <w:rsid w:val="6FFBC792"/>
    <w:rsid w:val="73FD0B5E"/>
    <w:rsid w:val="74AECB84"/>
    <w:rsid w:val="74FEDC90"/>
    <w:rsid w:val="7A6FB164"/>
    <w:rsid w:val="7C92375E"/>
    <w:rsid w:val="7D6CDE7E"/>
    <w:rsid w:val="7DBD19D8"/>
    <w:rsid w:val="7E9C0C54"/>
    <w:rsid w:val="7EDFE032"/>
    <w:rsid w:val="7FBC8F16"/>
    <w:rsid w:val="7FFFCCC3"/>
    <w:rsid w:val="9FCFA4DB"/>
    <w:rsid w:val="B5ED15B3"/>
    <w:rsid w:val="B6AC6A40"/>
    <w:rsid w:val="B73A8030"/>
    <w:rsid w:val="BD9FDADC"/>
    <w:rsid w:val="BEFD1B4A"/>
    <w:rsid w:val="BFE7209F"/>
    <w:rsid w:val="DCAED5D2"/>
    <w:rsid w:val="EFFF0CB7"/>
    <w:rsid w:val="EFFFE850"/>
    <w:rsid w:val="F5FE8662"/>
    <w:rsid w:val="F6BFE16D"/>
    <w:rsid w:val="F6D9E4A0"/>
    <w:rsid w:val="FAFD5F1D"/>
    <w:rsid w:val="FEF38A3B"/>
    <w:rsid w:val="FF3F8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5">
    <w:name w:val="Default Paragraph Font"/>
    <w:qFormat/>
    <w:uiPriority w:val="0"/>
  </w:style>
  <w:style w:type="table" w:default="1" w:styleId="14">
    <w:name w:val="Normal Table"/>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Document Map"/>
    <w:basedOn w:val="1"/>
    <w:qFormat/>
    <w:uiPriority w:val="0"/>
    <w:pPr>
      <w:shd w:val="clear" w:color="auto" w:fill="000080"/>
    </w:pPr>
  </w:style>
  <w:style w:type="paragraph" w:styleId="4">
    <w:name w:val="annotation text"/>
    <w:basedOn w:val="1"/>
    <w:qFormat/>
    <w:uiPriority w:val="0"/>
    <w:pPr>
      <w:jc w:val="left"/>
    </w:pPr>
  </w:style>
  <w:style w:type="paragraph" w:styleId="5">
    <w:name w:val="Body Text"/>
    <w:basedOn w:val="1"/>
    <w:next w:val="1"/>
    <w:qFormat/>
    <w:uiPriority w:val="99"/>
    <w:rPr>
      <w:rFonts w:ascii="仿宋_GB2312" w:eastAsia="仿宋_GB2312"/>
      <w:sz w:val="30"/>
    </w:rPr>
  </w:style>
  <w:style w:type="paragraph" w:styleId="6">
    <w:name w:val="Body Text Indent"/>
    <w:basedOn w:val="1"/>
    <w:qFormat/>
    <w:uiPriority w:val="0"/>
    <w:pPr>
      <w:spacing w:line="440" w:lineRule="exact"/>
      <w:ind w:firstLine="600"/>
    </w:pPr>
    <w:rPr>
      <w:rFonts w:ascii="仿宋_GB2312"/>
    </w:rPr>
  </w:style>
  <w:style w:type="paragraph" w:styleId="7">
    <w:name w:val="Plain Text"/>
    <w:basedOn w:val="1"/>
    <w:qFormat/>
    <w:uiPriority w:val="0"/>
    <w:rPr>
      <w:rFonts w:ascii="宋体" w:hAnsi="Courier New" w:eastAsia="宋体" w:cs="Courier New"/>
      <w:sz w:val="21"/>
      <w:szCs w:val="21"/>
    </w:rPr>
  </w:style>
  <w:style w:type="paragraph" w:styleId="8">
    <w:name w:val="Date"/>
    <w:basedOn w:val="1"/>
    <w:next w:val="1"/>
    <w:qFormat/>
    <w:uiPriority w:val="0"/>
    <w:pPr>
      <w:ind w:left="100" w:leftChars="2500"/>
    </w:pPr>
    <w:rPr>
      <w:rFonts w:ascii="仿宋_GB2312"/>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qFormat/>
    <w:uiPriority w:val="0"/>
    <w:pPr>
      <w:snapToGrid w:val="0"/>
      <w:jc w:val="left"/>
    </w:pPr>
    <w:rPr>
      <w:sz w:val="18"/>
    </w:rPr>
  </w:style>
  <w:style w:type="paragraph" w:styleId="13">
    <w:name w:val="Normal (Web)"/>
    <w:basedOn w:val="1"/>
    <w:qFormat/>
    <w:uiPriority w:val="0"/>
    <w:pPr>
      <w:widowControl/>
      <w:spacing w:before="100" w:beforeAutospacing="1" w:after="100" w:afterAutospacing="1" w:line="360" w:lineRule="auto"/>
      <w:ind w:firstLine="200" w:firstLineChars="200"/>
      <w:jc w:val="left"/>
    </w:pPr>
    <w:rPr>
      <w:rFonts w:ascii="宋体" w:hAnsi="宋体" w:eastAsia="宋体" w:cs="宋体"/>
      <w:kern w:val="0"/>
      <w:sz w:val="24"/>
      <w:szCs w:val="24"/>
      <w:lang w:val="en-US" w:eastAsia="zh-CN" w:bidi="ar-SA"/>
    </w:rPr>
  </w:style>
  <w:style w:type="character" w:styleId="16">
    <w:name w:val="Strong"/>
    <w:qFormat/>
    <w:uiPriority w:val="0"/>
    <w:rPr>
      <w:b/>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styleId="19">
    <w:name w:val="footnote reference"/>
    <w:basedOn w:val="15"/>
    <w:qFormat/>
    <w:uiPriority w:val="0"/>
    <w:rPr>
      <w:vertAlign w:val="superscript"/>
    </w:rPr>
  </w:style>
  <w:style w:type="paragraph" w:customStyle="1" w:styleId="20">
    <w:name w:val="Char"/>
    <w:basedOn w:val="1"/>
    <w:qFormat/>
    <w:uiPriority w:val="0"/>
    <w:pPr>
      <w:spacing w:line="360" w:lineRule="auto"/>
      <w:ind w:firstLine="200" w:firstLineChars="200"/>
    </w:pPr>
    <w:rPr>
      <w:rFonts w:ascii="宋体" w:hAnsi="宋体" w:cs="宋体"/>
      <w:sz w:val="24"/>
      <w:szCs w:val="32"/>
    </w:rPr>
  </w:style>
  <w:style w:type="paragraph" w:customStyle="1" w:styleId="21">
    <w:name w:val=" Char Char Char Char Char Char Char Char Char Char Char Char"/>
    <w:basedOn w:val="1"/>
    <w:qFormat/>
    <w:uiPriority w:val="0"/>
    <w:pPr>
      <w:widowControl/>
      <w:spacing w:after="160" w:line="240" w:lineRule="exact"/>
      <w:jc w:val="left"/>
    </w:pPr>
    <w:rPr>
      <w:rFonts w:ascii="Verdana" w:hAnsi="Verdana"/>
      <w:kern w:val="0"/>
      <w:sz w:val="24"/>
      <w:lang w:eastAsia="en-US"/>
    </w:rPr>
  </w:style>
  <w:style w:type="paragraph" w:customStyle="1" w:styleId="22">
    <w:name w:val=" Char1 Char Char Char"/>
    <w:basedOn w:val="1"/>
    <w:qFormat/>
    <w:uiPriority w:val="0"/>
    <w:rPr>
      <w:rFonts w:eastAsia="宋体"/>
      <w:sz w:val="21"/>
      <w:szCs w:val="24"/>
    </w:rPr>
  </w:style>
  <w:style w:type="paragraph" w:customStyle="1" w:styleId="23">
    <w:name w:val="Char Char1 Char"/>
    <w:basedOn w:val="1"/>
    <w:qFormat/>
    <w:uiPriority w:val="0"/>
    <w:rPr>
      <w:kern w:val="0"/>
      <w:sz w:val="32"/>
      <w:szCs w:val="21"/>
    </w:rPr>
  </w:style>
  <w:style w:type="paragraph" w:customStyle="1" w:styleId="24">
    <w:name w:val="默认段落字体 Para Char Char Char Char Char Char Char Char Char Char Char Char Char Char Char1 Char Char Char Char"/>
    <w:basedOn w:val="3"/>
    <w:qFormat/>
    <w:uiPriority w:val="0"/>
    <w:pPr>
      <w:adjustRightInd w:val="0"/>
      <w:spacing w:line="436" w:lineRule="exact"/>
      <w:ind w:left="357"/>
      <w:jc w:val="left"/>
      <w:outlineLvl w:val="3"/>
    </w:pPr>
    <w:rPr>
      <w:rFonts w:eastAsia="宋体"/>
      <w:sz w:val="21"/>
      <w:szCs w:val="24"/>
    </w:rPr>
  </w:style>
  <w:style w:type="character" w:customStyle="1" w:styleId="25">
    <w:name w:val="Body text|1_"/>
    <w:basedOn w:val="15"/>
    <w:link w:val="26"/>
    <w:qFormat/>
    <w:uiPriority w:val="0"/>
    <w:rPr>
      <w:rFonts w:ascii="宋体" w:hAnsi="宋体" w:eastAsia="宋体" w:cs="宋体"/>
      <w:sz w:val="30"/>
      <w:szCs w:val="30"/>
      <w:lang w:val="zh-TW" w:eastAsia="zh-TW" w:bidi="zh-TW"/>
    </w:rPr>
  </w:style>
  <w:style w:type="paragraph" w:customStyle="1" w:styleId="26">
    <w:name w:val="Body text|1"/>
    <w:basedOn w:val="1"/>
    <w:link w:val="25"/>
    <w:qFormat/>
    <w:uiPriority w:val="0"/>
    <w:pPr>
      <w:spacing w:line="398" w:lineRule="auto"/>
      <w:ind w:firstLine="400"/>
      <w:jc w:val="left"/>
    </w:pPr>
    <w:rPr>
      <w:rFonts w:ascii="宋体" w:hAnsi="宋体" w:eastAsia="宋体" w:cs="宋体"/>
      <w:kern w:val="0"/>
      <w:szCs w:val="30"/>
      <w:lang w:val="zh-TW" w:eastAsia="zh-TW" w:bidi="zh-TW"/>
    </w:rPr>
  </w:style>
  <w:style w:type="character" w:customStyle="1" w:styleId="27">
    <w:name w:val="NormalCharacter"/>
    <w:qFormat/>
    <w:uiPriority w:val="0"/>
  </w:style>
  <w:style w:type="character" w:customStyle="1" w:styleId="28">
    <w:name w:val="Hei Ti"/>
    <w:qFormat/>
    <w:uiPriority w:val="0"/>
    <w:rPr>
      <w:rFonts w:ascii="黑体" w:hAnsi="黑体" w:eastAsia="黑体" w:cs="黑体"/>
      <w:sz w:val="32"/>
    </w:rPr>
  </w:style>
  <w:style w:type="character" w:customStyle="1" w:styleId="29">
    <w:name w:val="Hei Ti Bold"/>
    <w:qFormat/>
    <w:uiPriority w:val="0"/>
    <w:rPr>
      <w:rFonts w:ascii="黑体" w:hAnsi="黑体" w:eastAsia="黑体" w:cs="黑体"/>
      <w:b/>
      <w:sz w:val="32"/>
    </w:rPr>
  </w:style>
  <w:style w:type="character" w:customStyle="1" w:styleId="30">
    <w:name w:val="Hei Ti Bold1"/>
    <w:qFormat/>
    <w:uiPriority w:val="0"/>
    <w:rPr>
      <w:rFonts w:ascii="黑体" w:hAnsi="黑体" w:eastAsia="黑体" w:cs="黑体"/>
      <w:b/>
      <w:sz w:val="36"/>
    </w:rPr>
  </w:style>
  <w:style w:type="character" w:customStyle="1" w:styleId="31">
    <w:name w:val="GB_2312"/>
    <w:qFormat/>
    <w:uiPriority w:val="0"/>
    <w:rPr>
      <w:rFonts w:ascii="仿宋_GB2312" w:hAnsi="仿宋_GB2312" w:eastAsia="仿宋_GB2312" w:cs="仿宋_GB2312"/>
      <w:sz w:val="32"/>
    </w:rPr>
  </w:style>
  <w:style w:type="character" w:customStyle="1" w:styleId="32">
    <w:name w:val="GB_23121"/>
    <w:qFormat/>
    <w:uiPriority w:val="0"/>
    <w:rPr>
      <w:rFonts w:ascii="仿宋_GB2312" w:hAnsi="仿宋_GB2312" w:eastAsia="仿宋_GB2312" w:cs="仿宋_GB2312"/>
      <w:sz w:val="36"/>
    </w:rPr>
  </w:style>
  <w:style w:type="character" w:customStyle="1" w:styleId="33">
    <w:name w:val="Red_Color"/>
    <w:qFormat/>
    <w:uiPriority w:val="0"/>
    <w:rPr>
      <w:rFonts w:ascii="方正小标宋简体" w:hAnsi="方正小标宋简体" w:eastAsia="方正小标宋简体" w:cs="方正小标宋简体"/>
      <w:color w:val="000000"/>
      <w:sz w:val="65"/>
    </w:rPr>
  </w:style>
  <w:style w:type="character" w:customStyle="1" w:styleId="34">
    <w:name w:val="KaiTi"/>
    <w:qFormat/>
    <w:uiPriority w:val="0"/>
    <w:rPr>
      <w:rFonts w:ascii="楷体_GB2312" w:hAnsi="楷体_GB2312" w:eastAsia="楷体_GB2312" w:cs="楷体_GB2312"/>
      <w:sz w:val="32"/>
    </w:rPr>
  </w:style>
  <w:style w:type="character" w:customStyle="1" w:styleId="35">
    <w:name w:val="Fz_Xbs"/>
    <w:qFormat/>
    <w:uiPriority w:val="0"/>
    <w:rPr>
      <w:rFonts w:ascii="方正小标宋简体" w:hAnsi="方正小标宋简体" w:eastAsia="方正小标宋简体" w:cs="方正小标宋简体"/>
      <w:sz w:val="44"/>
    </w:rPr>
  </w:style>
  <w:style w:type="character" w:customStyle="1" w:styleId="36">
    <w:name w:val="font91"/>
    <w:basedOn w:val="15"/>
    <w:qFormat/>
    <w:uiPriority w:val="0"/>
    <w:rPr>
      <w:rFonts w:ascii="宋体" w:hAnsi="宋体" w:eastAsia="宋体" w:cs="宋体"/>
      <w:color w:val="000000"/>
      <w:sz w:val="14"/>
      <w:szCs w:val="14"/>
      <w:u w:val="none"/>
    </w:rPr>
  </w:style>
  <w:style w:type="paragraph" w:customStyle="1" w:styleId="3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党政处</Company>
  <Pages>6</Pages>
  <Words>3068</Words>
  <Characters>3078</Characters>
  <Lines>0</Lines>
  <Paragraphs>58</Paragraphs>
  <TotalTime>29</TotalTime>
  <ScaleCrop>false</ScaleCrop>
  <LinksUpToDate>false</LinksUpToDate>
  <CharactersWithSpaces>3103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2020-12-03T02:09:00Z</dcterms:created>
  <dc:creator>Y</dc:creator>
  <cp:lastModifiedBy>Lydia</cp:lastModifiedBy>
  <cp:lastPrinted>2020-10-29T05:17:00Z</cp:lastPrinted>
  <dcterms:modified xsi:type="dcterms:W3CDTF">2025-11-17T02:43:06Z</dcterms:modified>
  <dc:title>公 示 通 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B20AFC56FA3E0E945DEF75671E28C167_43</vt:lpwstr>
  </property>
  <property fmtid="{D5CDD505-2E9C-101B-9397-08002B2CF9AE}" pid="4" name="KSOTemplateDocerSaveRecord">
    <vt:lpwstr>eyJoZGlkIjoiMGEzYjYzNTMyYjUwMTBkNGZkY2U4OTgyMGI1NzI5ZTkiLCJ1c2VySWQiOiI1NzkwNTY0NzYifQ==</vt:lpwstr>
  </property>
</Properties>
</file>