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06" w:type="dxa"/>
        <w:tblInd w:w="-106" w:type="dxa"/>
        <w:tblLayout w:type="fixed"/>
        <w:tblCellMar>
          <w:top w:w="0" w:type="dxa"/>
          <w:left w:w="108" w:type="dxa"/>
          <w:bottom w:w="0" w:type="dxa"/>
          <w:right w:w="108" w:type="dxa"/>
        </w:tblCellMar>
      </w:tblPr>
      <w:tblGrid>
        <w:gridCol w:w="343"/>
        <w:gridCol w:w="1695"/>
        <w:gridCol w:w="720"/>
        <w:gridCol w:w="5460"/>
        <w:gridCol w:w="1088"/>
      </w:tblGrid>
      <w:tr>
        <w:tblPrEx>
          <w:tblCellMar>
            <w:top w:w="0" w:type="dxa"/>
            <w:left w:w="108" w:type="dxa"/>
            <w:bottom w:w="0" w:type="dxa"/>
            <w:right w:w="108" w:type="dxa"/>
          </w:tblCellMar>
        </w:tblPrEx>
        <w:trPr>
          <w:trHeight w:val="621" w:hRule="atLeast"/>
        </w:trPr>
        <w:tc>
          <w:tcPr>
            <w:tcW w:w="9306" w:type="dxa"/>
            <w:gridSpan w:val="5"/>
            <w:tcBorders>
              <w:top w:val="nil"/>
              <w:left w:val="nil"/>
              <w:bottom w:val="nil"/>
              <w:right w:val="nil"/>
            </w:tcBorders>
            <w:vAlign w:val="center"/>
          </w:tcPr>
          <w:p>
            <w:pPr>
              <w:widowControl/>
              <w:jc w:val="center"/>
              <w:rPr>
                <w:rFonts w:ascii="宋体" w:cs="Times New Roman"/>
                <w:kern w:val="0"/>
                <w:sz w:val="24"/>
                <w:szCs w:val="24"/>
              </w:rPr>
            </w:pPr>
            <w:r>
              <w:rPr>
                <w:rFonts w:hint="eastAsia" w:ascii="方正小标宋简体" w:hAnsi="宋体" w:eastAsia="方正小标宋简体" w:cs="方正小标宋简体"/>
                <w:kern w:val="0"/>
                <w:sz w:val="44"/>
                <w:szCs w:val="44"/>
              </w:rPr>
              <w:t>职责目录</w:t>
            </w:r>
          </w:p>
        </w:tc>
      </w:tr>
      <w:tr>
        <w:tblPrEx>
          <w:tblCellMar>
            <w:top w:w="0" w:type="dxa"/>
            <w:left w:w="108" w:type="dxa"/>
            <w:bottom w:w="0" w:type="dxa"/>
            <w:right w:w="108" w:type="dxa"/>
          </w:tblCellMar>
        </w:tblPrEx>
        <w:trPr>
          <w:trHeight w:val="615" w:hRule="atLeast"/>
        </w:trPr>
        <w:tc>
          <w:tcPr>
            <w:tcW w:w="9306"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Times New Roman"/>
                <w:kern w:val="0"/>
                <w:sz w:val="28"/>
                <w:szCs w:val="28"/>
              </w:rPr>
            </w:pPr>
            <w:r>
              <w:rPr>
                <w:rFonts w:hint="eastAsia" w:ascii="方正小标宋简体" w:hAnsi="宋体" w:eastAsia="方正小标宋简体" w:cs="方正小标宋简体"/>
                <w:kern w:val="0"/>
                <w:sz w:val="28"/>
                <w:szCs w:val="28"/>
                <w:u w:val="single"/>
              </w:rPr>
              <w:t>（天津市滨海新区海滨街农业农村综合服务中心）</w:t>
            </w:r>
            <w:r>
              <w:rPr>
                <w:rFonts w:hint="eastAsia" w:ascii="方正小标宋简体" w:hAnsi="宋体" w:eastAsia="方正小标宋简体" w:cs="方正小标宋简体"/>
                <w:kern w:val="0"/>
                <w:sz w:val="28"/>
                <w:szCs w:val="28"/>
              </w:rPr>
              <w:t>职责目录</w:t>
            </w:r>
          </w:p>
        </w:tc>
      </w:tr>
      <w:tr>
        <w:tblPrEx>
          <w:tblCellMar>
            <w:top w:w="0" w:type="dxa"/>
            <w:left w:w="108" w:type="dxa"/>
            <w:bottom w:w="0" w:type="dxa"/>
            <w:right w:w="108" w:type="dxa"/>
          </w:tblCellMar>
        </w:tblPrEx>
        <w:trPr>
          <w:trHeight w:val="324" w:hRule="atLeast"/>
        </w:trPr>
        <w:tc>
          <w:tcPr>
            <w:tcW w:w="343"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序号</w:t>
            </w:r>
          </w:p>
        </w:tc>
        <w:tc>
          <w:tcPr>
            <w:tcW w:w="1695"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主要</w:t>
            </w:r>
          </w:p>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职责</w:t>
            </w:r>
          </w:p>
        </w:tc>
        <w:tc>
          <w:tcPr>
            <w:tcW w:w="7268"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职责事项</w:t>
            </w:r>
          </w:p>
        </w:tc>
      </w:tr>
      <w:tr>
        <w:tblPrEx>
          <w:tblCellMar>
            <w:top w:w="0" w:type="dxa"/>
            <w:left w:w="108" w:type="dxa"/>
            <w:bottom w:w="0" w:type="dxa"/>
            <w:right w:w="108" w:type="dxa"/>
          </w:tblCellMar>
        </w:tblPrEx>
        <w:trPr>
          <w:trHeight w:val="723"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Times New Roman"/>
                <w:kern w:val="0"/>
                <w:sz w:val="30"/>
                <w:szCs w:val="30"/>
              </w:rPr>
            </w:pPr>
          </w:p>
        </w:tc>
        <w:tc>
          <w:tcPr>
            <w:tcW w:w="169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Times New Roman"/>
                <w:kern w:val="0"/>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序号</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名称</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页码</w:t>
            </w:r>
          </w:p>
        </w:tc>
      </w:tr>
      <w:tr>
        <w:tblPrEx>
          <w:tblCellMar>
            <w:top w:w="0" w:type="dxa"/>
            <w:left w:w="108" w:type="dxa"/>
            <w:bottom w:w="0" w:type="dxa"/>
            <w:right w:w="108" w:type="dxa"/>
          </w:tblCellMar>
        </w:tblPrEx>
        <w:trPr>
          <w:trHeight w:val="435" w:hRule="atLeast"/>
        </w:trPr>
        <w:tc>
          <w:tcPr>
            <w:tcW w:w="343"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w:t>
            </w:r>
          </w:p>
        </w:tc>
        <w:tc>
          <w:tcPr>
            <w:tcW w:w="169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水产相关职责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1.1</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kern w:val="0"/>
                <w:sz w:val="30"/>
                <w:szCs w:val="30"/>
              </w:rPr>
            </w:pPr>
            <w:r>
              <w:rPr>
                <w:rFonts w:hint="eastAsia" w:ascii="仿宋" w:hAnsi="仿宋" w:eastAsia="仿宋" w:cs="仿宋"/>
                <w:sz w:val="28"/>
                <w:szCs w:val="28"/>
              </w:rPr>
              <w:t>水域滩涂养殖证办理的初审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1</w:t>
            </w:r>
          </w:p>
        </w:tc>
      </w:tr>
      <w:tr>
        <w:tblPrEx>
          <w:tblCellMar>
            <w:top w:w="0" w:type="dxa"/>
            <w:left w:w="108" w:type="dxa"/>
            <w:bottom w:w="0" w:type="dxa"/>
            <w:right w:w="108" w:type="dxa"/>
          </w:tblCellMar>
        </w:tblPrEx>
        <w:trPr>
          <w:trHeight w:val="435"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1.2</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kern w:val="0"/>
                <w:sz w:val="30"/>
                <w:szCs w:val="30"/>
              </w:rPr>
            </w:pPr>
            <w:r>
              <w:rPr>
                <w:rFonts w:hint="eastAsia" w:ascii="仿宋" w:hAnsi="仿宋" w:eastAsia="仿宋" w:cs="仿宋"/>
                <w:sz w:val="28"/>
                <w:szCs w:val="28"/>
              </w:rPr>
              <w:t>无公害水产品产地认定证书办理的初审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2</w:t>
            </w:r>
          </w:p>
        </w:tc>
      </w:tr>
      <w:tr>
        <w:tblPrEx>
          <w:tblCellMar>
            <w:top w:w="0" w:type="dxa"/>
            <w:left w:w="108" w:type="dxa"/>
            <w:bottom w:w="0" w:type="dxa"/>
            <w:right w:w="108" w:type="dxa"/>
          </w:tblCellMar>
        </w:tblPrEx>
        <w:trPr>
          <w:trHeight w:val="435"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1.3</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kern w:val="0"/>
                <w:sz w:val="30"/>
                <w:szCs w:val="30"/>
              </w:rPr>
            </w:pPr>
            <w:r>
              <w:rPr>
                <w:rFonts w:hint="eastAsia" w:ascii="仿宋" w:hAnsi="仿宋" w:eastAsia="仿宋" w:cs="仿宋"/>
                <w:sz w:val="28"/>
                <w:szCs w:val="28"/>
              </w:rPr>
              <w:t>渔船油价补贴的初审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3</w:t>
            </w:r>
          </w:p>
        </w:tc>
      </w:tr>
      <w:tr>
        <w:tblPrEx>
          <w:tblCellMar>
            <w:top w:w="0" w:type="dxa"/>
            <w:left w:w="108" w:type="dxa"/>
            <w:bottom w:w="0" w:type="dxa"/>
            <w:right w:w="108" w:type="dxa"/>
          </w:tblCellMar>
        </w:tblPrEx>
        <w:trPr>
          <w:trHeight w:val="450" w:hRule="atLeast"/>
        </w:trPr>
        <w:tc>
          <w:tcPr>
            <w:tcW w:w="343" w:type="dxa"/>
            <w:vMerge w:val="restart"/>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w:t>
            </w:r>
          </w:p>
        </w:tc>
        <w:tc>
          <w:tcPr>
            <w:tcW w:w="1695"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水利相关职责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2.1</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sz w:val="28"/>
                <w:szCs w:val="28"/>
              </w:rPr>
            </w:pPr>
            <w:r>
              <w:rPr>
                <w:rFonts w:hint="eastAsia" w:ascii="仿宋" w:hAnsi="仿宋" w:eastAsia="仿宋" w:cs="仿宋"/>
                <w:sz w:val="28"/>
                <w:szCs w:val="28"/>
              </w:rPr>
              <w:t>辖区内新打机井的初审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4</w:t>
            </w:r>
          </w:p>
        </w:tc>
      </w:tr>
      <w:tr>
        <w:tblPrEx>
          <w:tblCellMar>
            <w:top w:w="0" w:type="dxa"/>
            <w:left w:w="108" w:type="dxa"/>
            <w:bottom w:w="0" w:type="dxa"/>
            <w:right w:w="108" w:type="dxa"/>
          </w:tblCellMar>
        </w:tblPrEx>
        <w:trPr>
          <w:trHeight w:val="375" w:hRule="atLeast"/>
        </w:trPr>
        <w:tc>
          <w:tcPr>
            <w:tcW w:w="343" w:type="dxa"/>
            <w:vMerge w:val="continue"/>
            <w:tcBorders>
              <w:left w:val="single" w:color="auto" w:sz="4"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2.2</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sz w:val="28"/>
                <w:szCs w:val="28"/>
              </w:rPr>
            </w:pPr>
            <w:r>
              <w:rPr>
                <w:rFonts w:hint="eastAsia" w:ascii="仿宋" w:hAnsi="仿宋" w:eastAsia="仿宋" w:cs="仿宋"/>
                <w:sz w:val="28"/>
                <w:szCs w:val="28"/>
              </w:rPr>
              <w:t>对辖区内非法打井的处理</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5</w:t>
            </w:r>
          </w:p>
        </w:tc>
      </w:tr>
      <w:tr>
        <w:tblPrEx>
          <w:tblCellMar>
            <w:top w:w="0" w:type="dxa"/>
            <w:left w:w="108" w:type="dxa"/>
            <w:bottom w:w="0" w:type="dxa"/>
            <w:right w:w="108" w:type="dxa"/>
          </w:tblCellMar>
        </w:tblPrEx>
        <w:trPr>
          <w:trHeight w:val="561" w:hRule="atLeast"/>
        </w:trPr>
        <w:tc>
          <w:tcPr>
            <w:tcW w:w="343" w:type="dxa"/>
            <w:vMerge w:val="continue"/>
            <w:tcBorders>
              <w:left w:val="single" w:color="auto" w:sz="4"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2.3</w:t>
            </w:r>
          </w:p>
        </w:tc>
        <w:tc>
          <w:tcPr>
            <w:tcW w:w="546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Times New Roman"/>
                <w:sz w:val="28"/>
                <w:szCs w:val="28"/>
              </w:rPr>
            </w:pPr>
            <w:r>
              <w:rPr>
                <w:rFonts w:hint="eastAsia" w:ascii="仿宋" w:hAnsi="仿宋" w:eastAsia="仿宋" w:cs="仿宋"/>
                <w:sz w:val="28"/>
                <w:szCs w:val="28"/>
              </w:rPr>
              <w:t>对辖区内取水许可证更换的指导办理</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Times New Roman"/>
                <w:kern w:val="0"/>
                <w:sz w:val="30"/>
                <w:szCs w:val="30"/>
              </w:rPr>
            </w:pPr>
            <w:r>
              <w:rPr>
                <w:rFonts w:ascii="宋体" w:hAnsi="宋体" w:cs="宋体"/>
                <w:kern w:val="0"/>
                <w:sz w:val="30"/>
                <w:szCs w:val="30"/>
              </w:rPr>
              <w:t>6</w:t>
            </w:r>
          </w:p>
        </w:tc>
      </w:tr>
      <w:tr>
        <w:tblPrEx>
          <w:tblCellMar>
            <w:top w:w="0" w:type="dxa"/>
            <w:left w:w="108" w:type="dxa"/>
            <w:bottom w:w="0" w:type="dxa"/>
            <w:right w:w="108" w:type="dxa"/>
          </w:tblCellMar>
        </w:tblPrEx>
        <w:trPr>
          <w:trHeight w:val="435" w:hRule="atLeast"/>
        </w:trPr>
        <w:tc>
          <w:tcPr>
            <w:tcW w:w="343" w:type="dxa"/>
            <w:vMerge w:val="continue"/>
            <w:tcBorders>
              <w:left w:val="single" w:color="auto" w:sz="4"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2.4</w:t>
            </w:r>
          </w:p>
        </w:tc>
        <w:tc>
          <w:tcPr>
            <w:tcW w:w="54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8"/>
                <w:szCs w:val="28"/>
              </w:rPr>
            </w:pPr>
            <w:r>
              <w:rPr>
                <w:rFonts w:hint="eastAsia" w:ascii="仿宋" w:hAnsi="仿宋" w:eastAsia="仿宋" w:cs="仿宋"/>
                <w:sz w:val="28"/>
                <w:szCs w:val="28"/>
              </w:rPr>
              <w:t>负责全街农村供水方案</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hint="eastAsia" w:ascii="宋体" w:hAnsi="宋体" w:cs="宋体"/>
                <w:kern w:val="0"/>
                <w:sz w:val="30"/>
                <w:szCs w:val="30"/>
                <w:lang w:val="en-US" w:eastAsia="zh-CN"/>
              </w:rPr>
              <w:t>7</w:t>
            </w:r>
          </w:p>
        </w:tc>
      </w:tr>
      <w:tr>
        <w:tblPrEx>
          <w:tblCellMar>
            <w:top w:w="0" w:type="dxa"/>
            <w:left w:w="108" w:type="dxa"/>
            <w:bottom w:w="0" w:type="dxa"/>
            <w:right w:w="108" w:type="dxa"/>
          </w:tblCellMar>
        </w:tblPrEx>
        <w:trPr>
          <w:trHeight w:val="465" w:hRule="atLeast"/>
        </w:trPr>
        <w:tc>
          <w:tcPr>
            <w:tcW w:w="343" w:type="dxa"/>
            <w:vMerge w:val="continue"/>
            <w:tcBorders>
              <w:left w:val="single" w:color="auto" w:sz="4"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rPr>
                <w:rFonts w:ascii="宋体" w:cs="Times New Roman"/>
                <w:kern w:val="0"/>
                <w:sz w:val="30"/>
                <w:szCs w:val="30"/>
              </w:rPr>
            </w:pPr>
            <w:r>
              <w:rPr>
                <w:rFonts w:ascii="宋体" w:hAnsi="宋体" w:cs="宋体"/>
                <w:kern w:val="0"/>
                <w:sz w:val="30"/>
                <w:szCs w:val="30"/>
              </w:rPr>
              <w:t>2.5</w:t>
            </w:r>
          </w:p>
        </w:tc>
        <w:tc>
          <w:tcPr>
            <w:tcW w:w="54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8"/>
                <w:szCs w:val="28"/>
              </w:rPr>
            </w:pPr>
            <w:r>
              <w:rPr>
                <w:rFonts w:hint="eastAsia" w:ascii="仿宋" w:hAnsi="仿宋" w:eastAsia="仿宋" w:cs="仿宋"/>
                <w:sz w:val="28"/>
                <w:szCs w:val="28"/>
              </w:rPr>
              <w:t>农田水利设施的管理工作</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hint="eastAsia" w:ascii="宋体" w:hAnsi="宋体" w:cs="宋体"/>
                <w:kern w:val="0"/>
                <w:sz w:val="30"/>
                <w:szCs w:val="30"/>
                <w:lang w:val="en-US" w:eastAsia="zh-CN"/>
              </w:rPr>
              <w:t>8</w:t>
            </w:r>
          </w:p>
        </w:tc>
      </w:tr>
      <w:tr>
        <w:tblPrEx>
          <w:tblCellMar>
            <w:top w:w="0" w:type="dxa"/>
            <w:left w:w="108" w:type="dxa"/>
            <w:bottom w:w="0" w:type="dxa"/>
            <w:right w:w="108" w:type="dxa"/>
          </w:tblCellMar>
        </w:tblPrEx>
        <w:trPr>
          <w:trHeight w:val="465" w:hRule="atLeast"/>
        </w:trPr>
        <w:tc>
          <w:tcPr>
            <w:tcW w:w="343" w:type="dxa"/>
            <w:vMerge w:val="continue"/>
            <w:tcBorders>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2.6</w:t>
            </w:r>
          </w:p>
        </w:tc>
        <w:tc>
          <w:tcPr>
            <w:tcW w:w="54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8"/>
                <w:szCs w:val="28"/>
              </w:rPr>
            </w:pPr>
            <w:r>
              <w:rPr>
                <w:rFonts w:hint="eastAsia" w:ascii="仿宋" w:hAnsi="仿宋" w:eastAsia="仿宋" w:cs="仿宋"/>
                <w:sz w:val="28"/>
                <w:szCs w:val="28"/>
              </w:rPr>
              <w:t>管理好辖区田间路、桥的管理</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hint="eastAsia" w:ascii="宋体" w:hAnsi="宋体" w:cs="宋体"/>
                <w:kern w:val="0"/>
                <w:sz w:val="30"/>
                <w:szCs w:val="30"/>
                <w:lang w:val="en-US" w:eastAsia="zh-CN"/>
              </w:rPr>
              <w:t>9</w:t>
            </w:r>
          </w:p>
        </w:tc>
      </w:tr>
      <w:tr>
        <w:tblPrEx>
          <w:tblCellMar>
            <w:top w:w="0" w:type="dxa"/>
            <w:left w:w="108" w:type="dxa"/>
            <w:bottom w:w="0" w:type="dxa"/>
            <w:right w:w="108" w:type="dxa"/>
          </w:tblCellMar>
        </w:tblPrEx>
        <w:trPr>
          <w:trHeight w:val="690" w:hRule="atLeast"/>
        </w:trPr>
        <w:tc>
          <w:tcPr>
            <w:tcW w:w="343" w:type="dxa"/>
            <w:vMerge w:val="restart"/>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r>
              <w:rPr>
                <w:rFonts w:ascii="宋体" w:hAnsi="宋体" w:cs="宋体"/>
                <w:kern w:val="0"/>
                <w:sz w:val="30"/>
                <w:szCs w:val="30"/>
              </w:rPr>
              <w:t>3</w:t>
            </w:r>
          </w:p>
        </w:tc>
        <w:tc>
          <w:tcPr>
            <w:tcW w:w="169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农业相关职责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3.1</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对个别农户之间承包的耕地和草地适当调整、本集体经济组织以外的单位和个人承包农村土地的批准</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kern w:val="0"/>
                <w:sz w:val="30"/>
                <w:szCs w:val="30"/>
                <w:lang w:val="en-US" w:eastAsia="zh-CN"/>
              </w:rPr>
            </w:pPr>
            <w:r>
              <w:rPr>
                <w:rFonts w:hint="eastAsia" w:ascii="宋体" w:hAnsi="宋体" w:cs="宋体"/>
                <w:kern w:val="0"/>
                <w:sz w:val="30"/>
                <w:szCs w:val="30"/>
                <w:lang w:val="en-US" w:eastAsia="zh-CN"/>
              </w:rPr>
              <w:t>10</w:t>
            </w:r>
          </w:p>
        </w:tc>
      </w:tr>
      <w:tr>
        <w:tblPrEx>
          <w:tblCellMar>
            <w:top w:w="0" w:type="dxa"/>
            <w:left w:w="108" w:type="dxa"/>
            <w:bottom w:w="0" w:type="dxa"/>
            <w:right w:w="108" w:type="dxa"/>
          </w:tblCellMar>
        </w:tblPrEx>
        <w:trPr>
          <w:trHeight w:val="690"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3.2</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对家庭承包或招标、拍卖、公开协商等方式承包农村土地申请办理农村土地承包经营权证的初审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kern w:val="0"/>
                <w:sz w:val="30"/>
                <w:szCs w:val="30"/>
                <w:lang w:val="en-US" w:eastAsia="zh-CN"/>
              </w:rPr>
            </w:pPr>
            <w:r>
              <w:rPr>
                <w:rFonts w:hint="eastAsia" w:ascii="宋体" w:hAnsi="宋体" w:cs="宋体"/>
                <w:kern w:val="0"/>
                <w:sz w:val="30"/>
                <w:szCs w:val="30"/>
                <w:lang w:val="en-US" w:eastAsia="zh-CN"/>
              </w:rPr>
              <w:t>11-12</w:t>
            </w:r>
          </w:p>
        </w:tc>
      </w:tr>
      <w:tr>
        <w:tblPrEx>
          <w:tblCellMar>
            <w:top w:w="0" w:type="dxa"/>
            <w:left w:w="108" w:type="dxa"/>
            <w:bottom w:w="0" w:type="dxa"/>
            <w:right w:w="108" w:type="dxa"/>
          </w:tblCellMar>
        </w:tblPrEx>
        <w:trPr>
          <w:trHeight w:val="690"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3.3</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对农村土地承包经营权流转合同备案</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ascii="宋体" w:hAnsi="宋体" w:cs="宋体"/>
                <w:kern w:val="0"/>
                <w:sz w:val="30"/>
                <w:szCs w:val="30"/>
              </w:rPr>
              <w:t>1</w:t>
            </w:r>
            <w:r>
              <w:rPr>
                <w:rFonts w:hint="eastAsia" w:ascii="宋体" w:hAnsi="宋体" w:cs="宋体"/>
                <w:kern w:val="0"/>
                <w:sz w:val="30"/>
                <w:szCs w:val="30"/>
                <w:lang w:val="en-US" w:eastAsia="zh-CN"/>
              </w:rPr>
              <w:t>3</w:t>
            </w:r>
          </w:p>
        </w:tc>
      </w:tr>
    </w:tbl>
    <w:p>
      <w:pPr>
        <w:widowControl/>
        <w:jc w:val="left"/>
        <w:rPr>
          <w:rFonts w:ascii="宋体" w:cs="Times New Roman"/>
          <w:kern w:val="0"/>
          <w:sz w:val="30"/>
          <w:szCs w:val="30"/>
        </w:rPr>
        <w:sectPr>
          <w:pgSz w:w="11906" w:h="16838"/>
          <w:pgMar w:top="1440" w:right="1800" w:bottom="1440" w:left="1800" w:header="851" w:footer="992" w:gutter="0"/>
          <w:cols w:space="720" w:num="1"/>
          <w:docGrid w:type="lines" w:linePitch="312" w:charSpace="0"/>
        </w:sectPr>
      </w:pPr>
    </w:p>
    <w:tbl>
      <w:tblPr>
        <w:tblStyle w:val="7"/>
        <w:tblW w:w="9306" w:type="dxa"/>
        <w:tblInd w:w="-106" w:type="dxa"/>
        <w:tblLayout w:type="fixed"/>
        <w:tblCellMar>
          <w:top w:w="0" w:type="dxa"/>
          <w:left w:w="108" w:type="dxa"/>
          <w:bottom w:w="0" w:type="dxa"/>
          <w:right w:w="108" w:type="dxa"/>
        </w:tblCellMar>
      </w:tblPr>
      <w:tblGrid>
        <w:gridCol w:w="343"/>
        <w:gridCol w:w="27"/>
        <w:gridCol w:w="1668"/>
        <w:gridCol w:w="720"/>
        <w:gridCol w:w="5460"/>
        <w:gridCol w:w="1088"/>
      </w:tblGrid>
      <w:tr>
        <w:tblPrEx>
          <w:tblCellMar>
            <w:top w:w="0" w:type="dxa"/>
            <w:left w:w="108" w:type="dxa"/>
            <w:bottom w:w="0" w:type="dxa"/>
            <w:right w:w="108" w:type="dxa"/>
          </w:tblCellMar>
        </w:tblPrEx>
        <w:trPr>
          <w:trHeight w:val="690" w:hRule="atLeast"/>
        </w:trPr>
        <w:tc>
          <w:tcPr>
            <w:tcW w:w="343" w:type="dxa"/>
            <w:vMerge w:val="restart"/>
            <w:tcBorders>
              <w:top w:val="single" w:color="auto" w:sz="6" w:space="0"/>
              <w:left w:val="single" w:color="auto" w:sz="4" w:space="0"/>
              <w:right w:val="single" w:color="auto" w:sz="6" w:space="0"/>
            </w:tcBorders>
            <w:vAlign w:val="center"/>
          </w:tcPr>
          <w:p>
            <w:pPr>
              <w:widowControl/>
              <w:jc w:val="left"/>
              <w:rPr>
                <w:rFonts w:ascii="宋体" w:cs="Times New Roman"/>
                <w:kern w:val="0"/>
                <w:sz w:val="30"/>
                <w:szCs w:val="30"/>
              </w:rPr>
            </w:pPr>
          </w:p>
        </w:tc>
        <w:tc>
          <w:tcPr>
            <w:tcW w:w="1695" w:type="dxa"/>
            <w:gridSpan w:val="2"/>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3.4</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对农村土地承包经营权流转情况的登记</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hint="eastAsia" w:ascii="宋体" w:hAnsi="宋体" w:cs="宋体"/>
                <w:kern w:val="0"/>
                <w:sz w:val="30"/>
                <w:szCs w:val="30"/>
                <w:lang w:val="en-US" w:eastAsia="zh-CN"/>
              </w:rPr>
              <w:t>14</w:t>
            </w:r>
          </w:p>
        </w:tc>
      </w:tr>
      <w:tr>
        <w:tblPrEx>
          <w:tblCellMar>
            <w:top w:w="0" w:type="dxa"/>
            <w:left w:w="108" w:type="dxa"/>
            <w:bottom w:w="0" w:type="dxa"/>
            <w:right w:w="108" w:type="dxa"/>
          </w:tblCellMar>
        </w:tblPrEx>
        <w:trPr>
          <w:trHeight w:val="690" w:hRule="atLeast"/>
        </w:trPr>
        <w:tc>
          <w:tcPr>
            <w:tcW w:w="34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Times New Roman"/>
                <w:kern w:val="0"/>
                <w:sz w:val="30"/>
                <w:szCs w:val="30"/>
              </w:rPr>
            </w:pPr>
          </w:p>
        </w:tc>
        <w:tc>
          <w:tcPr>
            <w:tcW w:w="169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3.5</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农业新品种新技术引进推广项目申请初审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kern w:val="0"/>
                <w:sz w:val="30"/>
                <w:szCs w:val="30"/>
                <w:lang w:val="en-US" w:eastAsia="zh-CN"/>
              </w:rPr>
            </w:pPr>
            <w:r>
              <w:rPr>
                <w:rFonts w:hint="eastAsia" w:ascii="宋体" w:hAnsi="宋体" w:cs="宋体"/>
                <w:kern w:val="0"/>
                <w:sz w:val="30"/>
                <w:szCs w:val="30"/>
                <w:lang w:val="en-US" w:eastAsia="zh-CN"/>
              </w:rPr>
              <w:t>15</w:t>
            </w:r>
          </w:p>
        </w:tc>
      </w:tr>
      <w:tr>
        <w:tblPrEx>
          <w:tblCellMar>
            <w:top w:w="0" w:type="dxa"/>
            <w:left w:w="108" w:type="dxa"/>
            <w:bottom w:w="0" w:type="dxa"/>
            <w:right w:w="108" w:type="dxa"/>
          </w:tblCellMar>
        </w:tblPrEx>
        <w:trPr>
          <w:trHeight w:val="690" w:hRule="atLeast"/>
        </w:trPr>
        <w:tc>
          <w:tcPr>
            <w:tcW w:w="34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楷体" w:hAnsi="楷体" w:eastAsia="楷体" w:cs="楷体"/>
                <w:kern w:val="0"/>
                <w:sz w:val="28"/>
                <w:szCs w:val="28"/>
              </w:rPr>
              <w:t>4</w:t>
            </w:r>
          </w:p>
        </w:tc>
        <w:tc>
          <w:tcPr>
            <w:tcW w:w="16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林业相关职责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4.1</w:t>
            </w:r>
          </w:p>
        </w:tc>
        <w:tc>
          <w:tcPr>
            <w:tcW w:w="5460" w:type="dxa"/>
            <w:tcBorders>
              <w:top w:val="single" w:color="auto" w:sz="6" w:space="0"/>
              <w:left w:val="single" w:color="auto" w:sz="6" w:space="0"/>
              <w:bottom w:val="single" w:color="auto" w:sz="6" w:space="0"/>
              <w:right w:val="single" w:color="auto" w:sz="6" w:space="0"/>
            </w:tcBorders>
            <w:vAlign w:val="center"/>
          </w:tcPr>
          <w:p>
            <w:pPr>
              <w:pStyle w:val="6"/>
              <w:jc w:val="center"/>
              <w:rPr>
                <w:rFonts w:ascii="仿宋" w:hAnsi="仿宋" w:eastAsia="仿宋" w:cs="Times New Roman"/>
                <w:kern w:val="2"/>
                <w:sz w:val="28"/>
                <w:szCs w:val="28"/>
              </w:rPr>
            </w:pPr>
            <w:r>
              <w:rPr>
                <w:rFonts w:hint="eastAsia" w:ascii="仿宋" w:hAnsi="仿宋" w:eastAsia="仿宋" w:cs="仿宋"/>
                <w:kern w:val="2"/>
                <w:sz w:val="28"/>
                <w:szCs w:val="28"/>
              </w:rPr>
              <w:t>对绿化工作成绩显著的单位和个人给予表彰和奖励</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eastAsia="宋体" w:cs="Times New Roman"/>
                <w:kern w:val="0"/>
                <w:sz w:val="30"/>
                <w:szCs w:val="30"/>
                <w:lang w:eastAsia="zh-CN"/>
              </w:rPr>
            </w:pPr>
            <w:r>
              <w:rPr>
                <w:rFonts w:ascii="宋体" w:hAnsi="宋体" w:cs="宋体"/>
                <w:kern w:val="0"/>
                <w:sz w:val="30"/>
                <w:szCs w:val="30"/>
              </w:rPr>
              <w:t>1</w:t>
            </w:r>
            <w:r>
              <w:rPr>
                <w:rFonts w:hint="eastAsia" w:ascii="宋体" w:hAnsi="宋体" w:cs="宋体"/>
                <w:kern w:val="0"/>
                <w:sz w:val="30"/>
                <w:szCs w:val="30"/>
                <w:lang w:val="en-US" w:eastAsia="zh-CN"/>
              </w:rPr>
              <w:t>6</w:t>
            </w:r>
          </w:p>
        </w:tc>
      </w:tr>
      <w:tr>
        <w:tblPrEx>
          <w:tblCellMar>
            <w:top w:w="0" w:type="dxa"/>
            <w:left w:w="108" w:type="dxa"/>
            <w:bottom w:w="0" w:type="dxa"/>
            <w:right w:w="108" w:type="dxa"/>
          </w:tblCellMar>
        </w:tblPrEx>
        <w:trPr>
          <w:trHeight w:val="690" w:hRule="atLeast"/>
        </w:trPr>
        <w:tc>
          <w:tcPr>
            <w:tcW w:w="34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楷体" w:hAnsi="楷体" w:eastAsia="楷体" w:cs="楷体"/>
                <w:kern w:val="0"/>
                <w:sz w:val="28"/>
                <w:szCs w:val="28"/>
              </w:rPr>
              <w:t>5</w:t>
            </w:r>
            <w:r>
              <w:rPr>
                <w:rFonts w:hint="eastAsia" w:ascii="楷体" w:hAnsi="楷体" w:eastAsia="楷体" w:cs="楷体"/>
                <w:kern w:val="0"/>
                <w:sz w:val="28"/>
                <w:szCs w:val="28"/>
              </w:rPr>
              <w:t>　</w:t>
            </w:r>
          </w:p>
        </w:tc>
        <w:tc>
          <w:tcPr>
            <w:tcW w:w="16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种植业相关职责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5.1</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对种粮农户实行农业支持保护补贴</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kern w:val="0"/>
                <w:sz w:val="30"/>
                <w:szCs w:val="30"/>
                <w:lang w:val="en-US" w:eastAsia="zh-CN"/>
              </w:rPr>
            </w:pPr>
            <w:r>
              <w:rPr>
                <w:rFonts w:hint="eastAsia" w:ascii="宋体" w:hAnsi="宋体" w:cs="宋体"/>
                <w:kern w:val="0"/>
                <w:sz w:val="30"/>
                <w:szCs w:val="30"/>
                <w:lang w:val="en-US" w:eastAsia="zh-CN"/>
              </w:rPr>
              <w:t>17</w:t>
            </w:r>
          </w:p>
        </w:tc>
      </w:tr>
      <w:tr>
        <w:tblPrEx>
          <w:tblCellMar>
            <w:top w:w="0" w:type="dxa"/>
            <w:left w:w="108" w:type="dxa"/>
            <w:bottom w:w="0" w:type="dxa"/>
            <w:right w:w="108" w:type="dxa"/>
          </w:tblCellMar>
        </w:tblPrEx>
        <w:trPr>
          <w:trHeight w:val="690" w:hRule="atLeast"/>
        </w:trPr>
        <w:tc>
          <w:tcPr>
            <w:tcW w:w="34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楷体" w:hAnsi="楷体" w:eastAsia="楷体" w:cs="楷体"/>
                <w:kern w:val="0"/>
                <w:sz w:val="28"/>
                <w:szCs w:val="28"/>
              </w:rPr>
              <w:t>6</w:t>
            </w:r>
          </w:p>
        </w:tc>
        <w:tc>
          <w:tcPr>
            <w:tcW w:w="16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畜牧业相关职责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6.1</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对在动物防疫工作、动物防疫科学研究中做出成绩和贡献的单位和个人的奖励</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r>
      <w:tr>
        <w:tblPrEx>
          <w:tblCellMar>
            <w:top w:w="0" w:type="dxa"/>
            <w:left w:w="108" w:type="dxa"/>
            <w:bottom w:w="0" w:type="dxa"/>
            <w:right w:w="108" w:type="dxa"/>
          </w:tblCellMar>
        </w:tblPrEx>
        <w:trPr>
          <w:trHeight w:val="690" w:hRule="atLeast"/>
        </w:trPr>
        <w:tc>
          <w:tcPr>
            <w:tcW w:w="34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楷体" w:hAnsi="楷体" w:eastAsia="楷体" w:cs="楷体"/>
                <w:kern w:val="0"/>
                <w:sz w:val="28"/>
                <w:szCs w:val="28"/>
              </w:rPr>
              <w:t>7</w:t>
            </w:r>
          </w:p>
        </w:tc>
        <w:tc>
          <w:tcPr>
            <w:tcW w:w="169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农机相关职责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7.1</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组织开展以农业生产为主要内容的农业机械服务</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kern w:val="0"/>
                <w:sz w:val="30"/>
                <w:szCs w:val="30"/>
                <w:lang w:val="en-US" w:eastAsia="zh-CN"/>
              </w:rPr>
            </w:pPr>
            <w:r>
              <w:rPr>
                <w:rFonts w:hint="eastAsia" w:ascii="宋体" w:hAnsi="宋体" w:cs="宋体"/>
                <w:kern w:val="0"/>
                <w:sz w:val="30"/>
                <w:szCs w:val="30"/>
                <w:lang w:val="en-US" w:eastAsia="zh-CN"/>
              </w:rPr>
              <w:t>19</w:t>
            </w:r>
          </w:p>
        </w:tc>
      </w:tr>
      <w:tr>
        <w:tblPrEx>
          <w:tblCellMar>
            <w:top w:w="0" w:type="dxa"/>
            <w:left w:w="108" w:type="dxa"/>
            <w:bottom w:w="0" w:type="dxa"/>
            <w:right w:w="108" w:type="dxa"/>
          </w:tblCellMar>
        </w:tblPrEx>
        <w:trPr>
          <w:trHeight w:val="690" w:hRule="atLeast"/>
        </w:trPr>
        <w:tc>
          <w:tcPr>
            <w:tcW w:w="37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楷体简体" w:hAnsi="宋体" w:eastAsia="方正楷体简体" w:cs="方正楷体简体"/>
                <w:kern w:val="0"/>
                <w:sz w:val="28"/>
                <w:szCs w:val="28"/>
              </w:rPr>
            </w:pPr>
            <w:r>
              <w:rPr>
                <w:rFonts w:ascii="方正楷体简体" w:hAnsi="宋体" w:eastAsia="方正楷体简体" w:cs="方正楷体简体"/>
                <w:kern w:val="0"/>
                <w:sz w:val="28"/>
                <w:szCs w:val="28"/>
              </w:rPr>
              <w:t>8</w:t>
            </w:r>
          </w:p>
        </w:tc>
        <w:tc>
          <w:tcPr>
            <w:tcW w:w="16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方正楷体简体" w:hAnsi="宋体" w:eastAsia="方正楷体简体" w:cs="方正楷体简体"/>
                <w:kern w:val="0"/>
                <w:sz w:val="28"/>
                <w:szCs w:val="28"/>
              </w:rPr>
              <w:t>农产品质量安全相关职责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8.1</w:t>
            </w:r>
          </w:p>
        </w:tc>
        <w:tc>
          <w:tcPr>
            <w:tcW w:w="5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8"/>
                <w:szCs w:val="28"/>
              </w:rPr>
            </w:pPr>
            <w:r>
              <w:rPr>
                <w:rFonts w:hint="eastAsia" w:ascii="仿宋" w:hAnsi="仿宋" w:eastAsia="仿宋" w:cs="仿宋"/>
                <w:sz w:val="28"/>
                <w:szCs w:val="28"/>
              </w:rPr>
              <w:t>发生农产品质量安全事故时，收到报告后应当及时处理并报上一级人民政府和有关部门</w:t>
            </w:r>
          </w:p>
        </w:tc>
        <w:tc>
          <w:tcPr>
            <w:tcW w:w="1088"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eastAsia="宋体" w:cs="Times New Roman"/>
                <w:sz w:val="28"/>
                <w:szCs w:val="28"/>
                <w:lang w:val="en-US" w:eastAsia="zh-CN"/>
              </w:rPr>
            </w:pPr>
            <w:r>
              <w:rPr>
                <w:rFonts w:hint="eastAsia" w:ascii="宋体" w:hAnsi="宋体" w:cs="宋体"/>
                <w:kern w:val="0"/>
                <w:sz w:val="30"/>
                <w:szCs w:val="30"/>
                <w:lang w:val="en-US" w:eastAsia="zh-CN"/>
              </w:rPr>
              <w:t>20</w:t>
            </w:r>
          </w:p>
        </w:tc>
      </w:tr>
    </w:tbl>
    <w:p>
      <w:pPr>
        <w:rPr>
          <w:rFonts w:cs="Times New Roman"/>
        </w:rPr>
      </w:pPr>
    </w:p>
    <w:p>
      <w:pPr>
        <w:rPr>
          <w:rFonts w:cs="Times New Roman"/>
        </w:rPr>
      </w:pPr>
    </w:p>
    <w:p>
      <w:pPr>
        <w:rPr>
          <w:rFonts w:cs="Times New Roman"/>
        </w:rPr>
      </w:pPr>
    </w:p>
    <w:p>
      <w:pPr>
        <w:rPr>
          <w:rFonts w:cs="Times New Roman"/>
        </w:rPr>
        <w:sectPr>
          <w:footerReference r:id="rId3" w:type="default"/>
          <w:pgSz w:w="11906" w:h="16838"/>
          <w:pgMar w:top="1440" w:right="1800" w:bottom="1440" w:left="1800" w:header="851" w:footer="992" w:gutter="0"/>
          <w:pgNumType w:start="1"/>
          <w:cols w:space="720" w:num="1"/>
          <w:docGrid w:type="lines" w:linePitch="312" w:charSpace="0"/>
        </w:sect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60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对水域滩涂养殖证办理申请的初审</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1.1</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对水域滩涂养殖证办理申请的初审</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ascii="仿宋" w:hAnsi="仿宋" w:eastAsia="仿宋" w:cs="仿宋"/>
                <w:sz w:val="18"/>
                <w:szCs w:val="18"/>
              </w:rPr>
              <w:t>1</w:t>
            </w:r>
            <w:r>
              <w:rPr>
                <w:rFonts w:hint="eastAsia" w:ascii="仿宋" w:hAnsi="仿宋" w:eastAsia="仿宋" w:cs="仿宋"/>
                <w:sz w:val="18"/>
                <w:szCs w:val="18"/>
              </w:rPr>
              <w:t>、《中华人民共和国渔业法》第十一条</w:t>
            </w:r>
            <w:r>
              <w:rPr>
                <w:rFonts w:ascii="仿宋" w:hAnsi="仿宋" w:eastAsia="仿宋" w:cs="仿宋"/>
                <w:sz w:val="18"/>
                <w:szCs w:val="18"/>
              </w:rPr>
              <w:t xml:space="preserve">  </w:t>
            </w:r>
            <w:r>
              <w:rPr>
                <w:rFonts w:hint="eastAsia" w:ascii="仿宋" w:hAnsi="仿宋" w:eastAsia="仿宋" w:cs="仿宋"/>
                <w:sz w:val="18"/>
                <w:szCs w:val="18"/>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p>
          <w:p>
            <w:pPr>
              <w:jc w:val="left"/>
              <w:rPr>
                <w:rFonts w:ascii="仿宋" w:hAnsi="仿宋" w:eastAsia="仿宋" w:cs="Times New Roman"/>
                <w:kern w:val="0"/>
                <w:sz w:val="18"/>
                <w:szCs w:val="18"/>
              </w:rPr>
            </w:pPr>
            <w:r>
              <w:rPr>
                <w:rFonts w:ascii="仿宋" w:hAnsi="仿宋" w:eastAsia="仿宋" w:cs="仿宋"/>
                <w:sz w:val="18"/>
                <w:szCs w:val="18"/>
              </w:rPr>
              <w:t>2</w:t>
            </w:r>
            <w:r>
              <w:rPr>
                <w:rFonts w:hint="eastAsia" w:ascii="仿宋" w:hAnsi="仿宋" w:eastAsia="仿宋" w:cs="仿宋"/>
                <w:sz w:val="18"/>
                <w:szCs w:val="18"/>
              </w:rPr>
              <w:t>、《水域滩涂养殖发证登记办法》第三条</w:t>
            </w:r>
            <w:r>
              <w:rPr>
                <w:rFonts w:ascii="仿宋" w:hAnsi="仿宋" w:eastAsia="仿宋" w:cs="仿宋"/>
                <w:sz w:val="18"/>
                <w:szCs w:val="18"/>
              </w:rPr>
              <w:t xml:space="preserve">  </w:t>
            </w:r>
            <w:r>
              <w:rPr>
                <w:rFonts w:hint="eastAsia" w:ascii="仿宋" w:hAnsi="仿宋" w:eastAsia="仿宋" w:cs="仿宋"/>
                <w:sz w:val="18"/>
                <w:szCs w:val="18"/>
              </w:rPr>
              <w:t>使用水域、滩涂从事养殖生产，由县级以上地方人民政府核发养殖证，确认水域滩涂养殖权。县级以上地方人民政府渔业行政主管部门负责水域、滩涂养殖发证登记具体工作，并建立登记簿，记载养殖证载明的事项。第六条</w:t>
            </w:r>
            <w:r>
              <w:rPr>
                <w:rFonts w:ascii="仿宋" w:hAnsi="仿宋" w:eastAsia="仿宋" w:cs="仿宋"/>
                <w:sz w:val="18"/>
                <w:szCs w:val="18"/>
              </w:rPr>
              <w:t xml:space="preserve"> </w:t>
            </w:r>
            <w:r>
              <w:rPr>
                <w:rFonts w:hint="eastAsia" w:ascii="仿宋" w:hAnsi="仿宋" w:eastAsia="仿宋" w:cs="仿宋"/>
                <w:sz w:val="18"/>
                <w:szCs w:val="18"/>
              </w:rPr>
              <w:t>县级以上地方人民政府渔业行政主管部门应当在受理后</w:t>
            </w:r>
            <w:r>
              <w:rPr>
                <w:rFonts w:ascii="仿宋" w:hAnsi="仿宋" w:eastAsia="仿宋" w:cs="仿宋"/>
                <w:sz w:val="18"/>
                <w:szCs w:val="18"/>
              </w:rPr>
              <w:t>15</w:t>
            </w:r>
            <w:r>
              <w:rPr>
                <w:rFonts w:hint="eastAsia" w:ascii="仿宋" w:hAnsi="仿宋" w:eastAsia="仿宋" w:cs="仿宋"/>
                <w:sz w:val="18"/>
                <w:szCs w:val="18"/>
              </w:rPr>
              <w:t>个工作日内对申请材料进行书面审查和实地核查。符合规定的，应当将申请在水域、滩涂所在地进行公示，公示期为</w:t>
            </w:r>
            <w:r>
              <w:rPr>
                <w:rFonts w:ascii="仿宋" w:hAnsi="仿宋" w:eastAsia="仿宋" w:cs="仿宋"/>
                <w:sz w:val="18"/>
                <w:szCs w:val="18"/>
              </w:rPr>
              <w:t>10</w:t>
            </w:r>
            <w:r>
              <w:rPr>
                <w:rFonts w:hint="eastAsia" w:ascii="仿宋" w:hAnsi="仿宋" w:eastAsia="仿宋" w:cs="仿宋"/>
                <w:sz w:val="18"/>
                <w:szCs w:val="18"/>
              </w:rPr>
              <w:t>日；不符合规定的，书面通知申请人。第七条</w:t>
            </w:r>
            <w:r>
              <w:rPr>
                <w:rFonts w:ascii="仿宋" w:hAnsi="仿宋" w:eastAsia="仿宋" w:cs="仿宋"/>
                <w:sz w:val="18"/>
                <w:szCs w:val="18"/>
              </w:rPr>
              <w:t xml:space="preserve">  </w:t>
            </w:r>
            <w:r>
              <w:rPr>
                <w:rFonts w:hint="eastAsia" w:ascii="仿宋" w:hAnsi="仿宋" w:eastAsia="仿宋" w:cs="仿宋"/>
                <w:sz w:val="18"/>
                <w:szCs w:val="18"/>
              </w:rPr>
              <w:t>公示期满后，符合下列条件的，县级以上地方人民政府渔业行政主管部门应当报请同级人民政府核发养殖证，并将养殖证载明事项载入登记簿：（一）水域、滩涂依法可以用于养殖生产；（二）证明材料合法有效；（三）无权属争议。登记簿应当准确记载养殖证载明的全部事项。</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街道权限（初审上报）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初审</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反馈</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、土地所有权证或土地使用证明；</w:t>
            </w:r>
            <w:r>
              <w:rPr>
                <w:rFonts w:ascii="仿宋" w:hAnsi="仿宋" w:eastAsia="仿宋" w:cs="仿宋"/>
                <w:kern w:val="0"/>
                <w:sz w:val="18"/>
                <w:szCs w:val="18"/>
              </w:rPr>
              <w:t>2</w:t>
            </w:r>
            <w:r>
              <w:rPr>
                <w:rFonts w:hint="eastAsia" w:ascii="仿宋" w:hAnsi="仿宋" w:eastAsia="仿宋" w:cs="仿宋"/>
                <w:kern w:val="0"/>
                <w:sz w:val="18"/>
                <w:szCs w:val="18"/>
              </w:rPr>
              <w:t>、组织机构代码证；</w:t>
            </w:r>
            <w:r>
              <w:rPr>
                <w:rFonts w:ascii="仿宋" w:hAnsi="仿宋" w:eastAsia="仿宋" w:cs="仿宋"/>
                <w:kern w:val="0"/>
                <w:sz w:val="18"/>
                <w:szCs w:val="18"/>
              </w:rPr>
              <w:t>3</w:t>
            </w:r>
            <w:r>
              <w:rPr>
                <w:rFonts w:hint="eastAsia" w:ascii="仿宋" w:hAnsi="仿宋" w:eastAsia="仿宋" w:cs="仿宋"/>
                <w:kern w:val="0"/>
                <w:sz w:val="18"/>
                <w:szCs w:val="18"/>
              </w:rPr>
              <w:t>、中华人民共和国水域滩涂养殖证申请表；</w:t>
            </w:r>
            <w:r>
              <w:rPr>
                <w:rFonts w:ascii="仿宋" w:hAnsi="仿宋" w:eastAsia="仿宋" w:cs="仿宋"/>
                <w:kern w:val="0"/>
                <w:sz w:val="18"/>
                <w:szCs w:val="18"/>
              </w:rPr>
              <w:t>4</w:t>
            </w:r>
            <w:r>
              <w:rPr>
                <w:rFonts w:hint="eastAsia" w:ascii="仿宋" w:hAnsi="仿宋" w:eastAsia="仿宋" w:cs="仿宋"/>
                <w:kern w:val="0"/>
                <w:sz w:val="18"/>
                <w:szCs w:val="18"/>
              </w:rPr>
              <w:t>、法人单位及法人代表证明，个人报件需提供身份证复印件；</w:t>
            </w:r>
            <w:r>
              <w:rPr>
                <w:rFonts w:ascii="仿宋" w:hAnsi="仿宋" w:eastAsia="仿宋" w:cs="仿宋"/>
                <w:kern w:val="0"/>
                <w:sz w:val="18"/>
                <w:szCs w:val="18"/>
              </w:rPr>
              <w:t>5</w:t>
            </w:r>
            <w:r>
              <w:rPr>
                <w:rFonts w:hint="eastAsia" w:ascii="仿宋" w:hAnsi="仿宋" w:eastAsia="仿宋" w:cs="仿宋"/>
                <w:kern w:val="0"/>
                <w:sz w:val="18"/>
                <w:szCs w:val="18"/>
              </w:rPr>
              <w:t>、土地承包合同或土地流转合同</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vAlign w:val="center"/>
          </w:tcPr>
          <w:p>
            <w:pPr>
              <w:pStyle w:val="12"/>
              <w:ind w:firstLine="0" w:firstLineChars="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公示依法应当提交的材料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一次性告知补正材料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依法受理或不予受理（不予受理的告知理由）</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对行政相对人申报的材料进行初步审查</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在法定或承诺期限内，上报上级行政管理部门</w:t>
            </w:r>
          </w:p>
          <w:p>
            <w:pPr>
              <w:widowControl/>
              <w:jc w:val="left"/>
              <w:rPr>
                <w:rFonts w:ascii="仿宋" w:hAnsi="仿宋" w:eastAsia="仿宋" w:cs="Times New Roman"/>
                <w:kern w:val="0"/>
                <w:sz w:val="24"/>
                <w:szCs w:val="24"/>
              </w:rPr>
            </w:pPr>
            <w:r>
              <w:rPr>
                <w:rFonts w:hint="eastAsia" w:ascii="仿宋" w:hAnsi="仿宋" w:eastAsia="仿宋" w:cs="仿宋"/>
                <w:sz w:val="24"/>
                <w:szCs w:val="24"/>
              </w:rPr>
              <w:t>向行政相对人反馈上级行政管理部门决定</w:t>
            </w: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rPr>
          <w:rFonts w:cs="Times New Roman"/>
        </w:rPr>
      </w:pPr>
    </w:p>
    <w:p>
      <w:pPr>
        <w:spacing w:line="588" w:lineRule="exact"/>
        <w:ind w:right="1432"/>
        <w:rPr>
          <w:rFonts w:ascii="方正仿宋简体" w:eastAsia="方正仿宋简体" w:cs="Times New Roman"/>
          <w:sz w:val="34"/>
          <w:szCs w:val="34"/>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对无公害水产品产地认定证书申请的初审</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1.2</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对无公害水产品产地认定证书申请的初审</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ascii="仿宋" w:hAnsi="仿宋" w:eastAsia="仿宋" w:cs="仿宋"/>
                <w:sz w:val="18"/>
                <w:szCs w:val="18"/>
              </w:rPr>
              <w:t>1</w:t>
            </w:r>
            <w:r>
              <w:rPr>
                <w:rFonts w:hint="eastAsia" w:ascii="仿宋" w:hAnsi="仿宋" w:eastAsia="仿宋" w:cs="仿宋"/>
                <w:sz w:val="18"/>
                <w:szCs w:val="18"/>
              </w:rPr>
              <w:t>、《无公害农产品管理办法》第二十二条</w:t>
            </w:r>
            <w:r>
              <w:rPr>
                <w:rFonts w:ascii="仿宋" w:hAnsi="仿宋" w:eastAsia="仿宋" w:cs="仿宋"/>
                <w:sz w:val="18"/>
                <w:szCs w:val="18"/>
              </w:rPr>
              <w:t xml:space="preserve">  </w:t>
            </w:r>
            <w:r>
              <w:rPr>
                <w:rFonts w:hint="eastAsia" w:ascii="仿宋" w:hAnsi="仿宋" w:eastAsia="仿宋" w:cs="仿宋"/>
                <w:sz w:val="18"/>
                <w:szCs w:val="18"/>
              </w:rPr>
              <w:t>申请无公害产品认证的单位或者个人（以下简称申请人），应当向认证机构提交书面申请。第二十三条</w:t>
            </w:r>
            <w:r>
              <w:rPr>
                <w:rFonts w:ascii="仿宋" w:hAnsi="仿宋" w:eastAsia="仿宋" w:cs="仿宋"/>
                <w:sz w:val="18"/>
                <w:szCs w:val="18"/>
              </w:rPr>
              <w:t xml:space="preserve">  </w:t>
            </w:r>
            <w:r>
              <w:rPr>
                <w:rFonts w:hint="eastAsia" w:ascii="仿宋" w:hAnsi="仿宋" w:eastAsia="仿宋" w:cs="仿宋"/>
                <w:sz w:val="18"/>
                <w:szCs w:val="18"/>
              </w:rPr>
              <w:t>认证机构自收到无公害农产品认证申请之日起，应当在</w:t>
            </w:r>
            <w:r>
              <w:rPr>
                <w:rFonts w:ascii="仿宋" w:hAnsi="仿宋" w:eastAsia="仿宋" w:cs="仿宋"/>
                <w:sz w:val="18"/>
                <w:szCs w:val="18"/>
              </w:rPr>
              <w:t>15</w:t>
            </w:r>
            <w:r>
              <w:rPr>
                <w:rFonts w:hint="eastAsia" w:ascii="仿宋" w:hAnsi="仿宋" w:eastAsia="仿宋" w:cs="仿宋"/>
                <w:sz w:val="18"/>
                <w:szCs w:val="18"/>
              </w:rPr>
              <w:t>个工作日内完成对申请材料的审核。材料审核不符合要求的，应当书面通知申请人。</w:t>
            </w:r>
          </w:p>
          <w:p>
            <w:pPr>
              <w:jc w:val="left"/>
              <w:rPr>
                <w:rFonts w:ascii="仿宋" w:hAnsi="仿宋" w:eastAsia="仿宋" w:cs="Times New Roman"/>
                <w:kern w:val="0"/>
                <w:sz w:val="18"/>
                <w:szCs w:val="18"/>
              </w:rPr>
            </w:pPr>
            <w:r>
              <w:rPr>
                <w:rFonts w:hint="eastAsia" w:ascii="仿宋" w:hAnsi="仿宋" w:eastAsia="仿宋" w:cs="仿宋"/>
                <w:sz w:val="18"/>
                <w:szCs w:val="18"/>
              </w:rPr>
              <w:t>第二十四条</w:t>
            </w:r>
            <w:r>
              <w:rPr>
                <w:rFonts w:ascii="仿宋" w:hAnsi="仿宋" w:eastAsia="仿宋" w:cs="仿宋"/>
                <w:sz w:val="18"/>
                <w:szCs w:val="18"/>
              </w:rPr>
              <w:t xml:space="preserve">  </w:t>
            </w:r>
            <w:r>
              <w:rPr>
                <w:rFonts w:hint="eastAsia" w:ascii="仿宋" w:hAnsi="仿宋" w:eastAsia="仿宋" w:cs="仿宋"/>
                <w:sz w:val="18"/>
                <w:szCs w:val="18"/>
              </w:rPr>
              <w:t>符合要求的，认证机构可以根据需要派员对产地环境、区域范围、生产规模、质量控制措施、生产计划、标准和规范的执行情况等进行现场检查。现场检查不符合要求的，应当书面通知申请人。第二十五条</w:t>
            </w:r>
            <w:r>
              <w:rPr>
                <w:rFonts w:ascii="仿宋" w:hAnsi="仿宋" w:eastAsia="仿宋" w:cs="仿宋"/>
                <w:sz w:val="18"/>
                <w:szCs w:val="18"/>
              </w:rPr>
              <w:t xml:space="preserve">  </w:t>
            </w:r>
            <w:r>
              <w:rPr>
                <w:rFonts w:hint="eastAsia" w:ascii="仿宋" w:hAnsi="仿宋" w:eastAsia="仿宋" w:cs="仿宋"/>
                <w:sz w:val="18"/>
                <w:szCs w:val="18"/>
              </w:rPr>
              <w:t>材料审核符合要求的或者材料审核和现场检查符合要求的（限于需要对现场进行检查时），认证机构应当通知申请人委托具有资质资格的检测机构对产品进行检测。承担产品检测任务的机构，根据检测结果出具产品检测报告。第二十六条</w:t>
            </w:r>
            <w:r>
              <w:rPr>
                <w:rFonts w:ascii="仿宋" w:hAnsi="仿宋" w:eastAsia="仿宋" w:cs="仿宋"/>
                <w:sz w:val="18"/>
                <w:szCs w:val="18"/>
              </w:rPr>
              <w:t xml:space="preserve">  </w:t>
            </w:r>
            <w:r>
              <w:rPr>
                <w:rFonts w:hint="eastAsia" w:ascii="仿宋" w:hAnsi="仿宋" w:eastAsia="仿宋" w:cs="仿宋"/>
                <w:sz w:val="18"/>
                <w:szCs w:val="18"/>
              </w:rPr>
              <w:t>认证机构对材料审核、现场检查（限于需要对现场进行检查时）和产品检测结果符合要求的，应当在自收到现场检查报告和产品检测报告之日起，</w:t>
            </w:r>
            <w:r>
              <w:rPr>
                <w:rFonts w:ascii="仿宋" w:hAnsi="仿宋" w:eastAsia="仿宋" w:cs="仿宋"/>
                <w:sz w:val="18"/>
                <w:szCs w:val="18"/>
              </w:rPr>
              <w:t>30</w:t>
            </w:r>
            <w:r>
              <w:rPr>
                <w:rFonts w:hint="eastAsia" w:ascii="仿宋" w:hAnsi="仿宋" w:eastAsia="仿宋" w:cs="仿宋"/>
                <w:sz w:val="18"/>
                <w:szCs w:val="18"/>
              </w:rPr>
              <w:t>个工作日内颁发无公害农产品认证证书。不符合要求的，应当书面通知申请人。第二十七条</w:t>
            </w:r>
            <w:r>
              <w:rPr>
                <w:rFonts w:ascii="仿宋" w:hAnsi="仿宋" w:eastAsia="仿宋" w:cs="仿宋"/>
                <w:sz w:val="18"/>
                <w:szCs w:val="18"/>
              </w:rPr>
              <w:t xml:space="preserve">  </w:t>
            </w:r>
            <w:r>
              <w:rPr>
                <w:rFonts w:hint="eastAsia" w:ascii="仿宋" w:hAnsi="仿宋" w:eastAsia="仿宋" w:cs="仿宋"/>
                <w:sz w:val="18"/>
                <w:szCs w:val="18"/>
              </w:rPr>
              <w:t>认证机构应当自颁发无公害农产品认证证书后</w:t>
            </w:r>
            <w:r>
              <w:rPr>
                <w:rFonts w:ascii="仿宋" w:hAnsi="仿宋" w:eastAsia="仿宋" w:cs="仿宋"/>
                <w:sz w:val="18"/>
                <w:szCs w:val="18"/>
              </w:rPr>
              <w:t>30</w:t>
            </w:r>
            <w:r>
              <w:rPr>
                <w:rFonts w:hint="eastAsia" w:ascii="仿宋" w:hAnsi="仿宋" w:eastAsia="仿宋" w:cs="仿宋"/>
                <w:sz w:val="18"/>
                <w:szCs w:val="18"/>
              </w:rPr>
              <w:t>个工作日内，将其颁发的认证证书副本同时报农业部和国家认证认可监督管理委员会备案，由农业部和国家认证认可监督管理委员会公告。</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街道权限（初审上报）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初审</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反馈</w:t>
            </w:r>
          </w:p>
        </w:tc>
      </w:tr>
      <w:tr>
        <w:tblPrEx>
          <w:tblCellMar>
            <w:top w:w="0" w:type="dxa"/>
            <w:left w:w="108" w:type="dxa"/>
            <w:bottom w:w="0" w:type="dxa"/>
            <w:right w:w="108" w:type="dxa"/>
          </w:tblCellMar>
        </w:tblPrEx>
        <w:trPr>
          <w:trHeight w:val="69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、土地所有权证或土地使用证明；</w:t>
            </w:r>
            <w:r>
              <w:rPr>
                <w:rFonts w:ascii="仿宋" w:hAnsi="仿宋" w:eastAsia="仿宋" w:cs="仿宋"/>
                <w:kern w:val="0"/>
                <w:sz w:val="18"/>
                <w:szCs w:val="18"/>
              </w:rPr>
              <w:t>2</w:t>
            </w:r>
            <w:r>
              <w:rPr>
                <w:rFonts w:hint="eastAsia" w:ascii="仿宋" w:hAnsi="仿宋" w:eastAsia="仿宋" w:cs="仿宋"/>
                <w:kern w:val="0"/>
                <w:sz w:val="18"/>
                <w:szCs w:val="18"/>
              </w:rPr>
              <w:t>、组织机构代码证；</w:t>
            </w:r>
            <w:r>
              <w:rPr>
                <w:rFonts w:ascii="仿宋" w:hAnsi="仿宋" w:eastAsia="仿宋" w:cs="仿宋"/>
                <w:kern w:val="0"/>
                <w:sz w:val="18"/>
                <w:szCs w:val="18"/>
              </w:rPr>
              <w:t>3</w:t>
            </w:r>
            <w:r>
              <w:rPr>
                <w:rFonts w:hint="eastAsia" w:ascii="仿宋" w:hAnsi="仿宋" w:eastAsia="仿宋" w:cs="仿宋"/>
                <w:kern w:val="0"/>
                <w:sz w:val="18"/>
                <w:szCs w:val="18"/>
              </w:rPr>
              <w:t>、无公害养殖申请表；</w:t>
            </w:r>
            <w:r>
              <w:rPr>
                <w:rFonts w:ascii="仿宋" w:hAnsi="仿宋" w:eastAsia="仿宋" w:cs="仿宋"/>
                <w:kern w:val="0"/>
                <w:sz w:val="18"/>
                <w:szCs w:val="18"/>
              </w:rPr>
              <w:t>4</w:t>
            </w:r>
            <w:r>
              <w:rPr>
                <w:rFonts w:hint="eastAsia" w:ascii="仿宋" w:hAnsi="仿宋" w:eastAsia="仿宋" w:cs="仿宋"/>
                <w:kern w:val="0"/>
                <w:sz w:val="18"/>
                <w:szCs w:val="18"/>
              </w:rPr>
              <w:t>、法人单位及法人代表证明；</w:t>
            </w:r>
            <w:r>
              <w:rPr>
                <w:rFonts w:ascii="仿宋" w:hAnsi="仿宋" w:eastAsia="仿宋" w:cs="仿宋"/>
                <w:kern w:val="0"/>
                <w:sz w:val="18"/>
                <w:szCs w:val="18"/>
              </w:rPr>
              <w:t>5</w:t>
            </w:r>
            <w:r>
              <w:rPr>
                <w:rFonts w:hint="eastAsia" w:ascii="仿宋" w:hAnsi="仿宋" w:eastAsia="仿宋" w:cs="仿宋"/>
                <w:kern w:val="0"/>
                <w:sz w:val="18"/>
                <w:szCs w:val="18"/>
              </w:rPr>
              <w:t>、土地承包合同或土地流转合同；</w:t>
            </w:r>
            <w:r>
              <w:rPr>
                <w:rFonts w:ascii="仿宋" w:hAnsi="仿宋" w:eastAsia="仿宋" w:cs="仿宋"/>
                <w:kern w:val="0"/>
                <w:sz w:val="18"/>
                <w:szCs w:val="18"/>
              </w:rPr>
              <w:t>6</w:t>
            </w:r>
            <w:r>
              <w:rPr>
                <w:rFonts w:hint="eastAsia" w:ascii="仿宋" w:hAnsi="仿宋" w:eastAsia="仿宋" w:cs="仿宋"/>
                <w:kern w:val="0"/>
                <w:sz w:val="18"/>
                <w:szCs w:val="18"/>
              </w:rPr>
              <w:t>、养殖证</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vAlign w:val="center"/>
          </w:tcPr>
          <w:p>
            <w:pPr>
              <w:pStyle w:val="12"/>
              <w:ind w:firstLine="0" w:firstLineChars="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公示依法应当提交的材料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一次性告知补正材料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依法受理或不予受理（不予受理的告知理由）</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对行政相对人申报的材料进行初步审查</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在法定或承诺期限内，上报上级行政管理部门</w:t>
            </w:r>
          </w:p>
          <w:p>
            <w:pPr>
              <w:pStyle w:val="12"/>
              <w:ind w:firstLine="0" w:firstLineChars="0"/>
              <w:jc w:val="left"/>
              <w:rPr>
                <w:rFonts w:ascii="仿宋" w:hAnsi="仿宋" w:eastAsia="仿宋" w:cs="Times New Roman"/>
                <w:kern w:val="0"/>
                <w:sz w:val="24"/>
                <w:szCs w:val="24"/>
              </w:rPr>
            </w:pPr>
            <w:r>
              <w:rPr>
                <w:rFonts w:ascii="仿宋" w:hAnsi="仿宋" w:eastAsia="仿宋" w:cs="仿宋"/>
                <w:sz w:val="24"/>
                <w:szCs w:val="24"/>
              </w:rPr>
              <w:t>6.</w:t>
            </w:r>
            <w:r>
              <w:rPr>
                <w:rFonts w:hint="eastAsia" w:ascii="仿宋" w:hAnsi="仿宋" w:eastAsia="仿宋" w:cs="仿宋"/>
                <w:sz w:val="24"/>
                <w:szCs w:val="24"/>
              </w:rPr>
              <w:t>向行政相对人反馈上级行政管理部门决定</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spacing w:line="588" w:lineRule="exact"/>
        <w:ind w:right="1432"/>
        <w:rPr>
          <w:rFonts w:ascii="方正仿宋简体" w:eastAsia="方正仿宋简体" w:cs="Times New Roman"/>
          <w:sz w:val="34"/>
          <w:szCs w:val="34"/>
        </w:rPr>
      </w:pPr>
    </w:p>
    <w:p>
      <w:pPr>
        <w:spacing w:line="588" w:lineRule="exact"/>
        <w:ind w:right="1432"/>
        <w:rPr>
          <w:rFonts w:ascii="方正仿宋简体" w:eastAsia="方正仿宋简体" w:cs="Times New Roman"/>
          <w:sz w:val="34"/>
          <w:szCs w:val="34"/>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对渔船油价补贴申请的初审</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1.3</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对渔船油价补贴申请的初审</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spacing w:line="360" w:lineRule="auto"/>
              <w:jc w:val="left"/>
              <w:rPr>
                <w:rFonts w:ascii="仿宋" w:hAnsi="仿宋" w:eastAsia="仿宋" w:cs="Times New Roman"/>
                <w:sz w:val="18"/>
                <w:szCs w:val="18"/>
              </w:rPr>
            </w:pPr>
            <w:r>
              <w:rPr>
                <w:rFonts w:ascii="仿宋" w:hAnsi="仿宋" w:eastAsia="仿宋" w:cs="仿宋"/>
                <w:sz w:val="18"/>
                <w:szCs w:val="18"/>
              </w:rPr>
              <w:t>1</w:t>
            </w:r>
            <w:r>
              <w:rPr>
                <w:rFonts w:hint="eastAsia" w:ascii="仿宋" w:hAnsi="仿宋" w:eastAsia="仿宋" w:cs="仿宋"/>
                <w:sz w:val="18"/>
                <w:szCs w:val="18"/>
              </w:rPr>
              <w:t>、《渔业成品油价格补助专项资金管理暂行办法》</w:t>
            </w:r>
          </w:p>
          <w:p>
            <w:pPr>
              <w:spacing w:line="360" w:lineRule="auto"/>
              <w:jc w:val="left"/>
              <w:rPr>
                <w:rFonts w:ascii="仿宋" w:hAnsi="仿宋" w:eastAsia="仿宋" w:cs="Times New Roman"/>
                <w:sz w:val="18"/>
                <w:szCs w:val="18"/>
              </w:rPr>
            </w:pPr>
            <w:r>
              <w:rPr>
                <w:rFonts w:hint="eastAsia" w:ascii="仿宋" w:hAnsi="仿宋" w:eastAsia="仿宋" w:cs="仿宋"/>
                <w:sz w:val="18"/>
                <w:szCs w:val="18"/>
              </w:rPr>
              <w:t>第十一条</w:t>
            </w:r>
            <w:r>
              <w:rPr>
                <w:rFonts w:ascii="仿宋" w:hAnsi="仿宋" w:eastAsia="仿宋" w:cs="仿宋"/>
                <w:sz w:val="18"/>
                <w:szCs w:val="18"/>
              </w:rPr>
              <w:t xml:space="preserve">  </w:t>
            </w:r>
            <w:r>
              <w:rPr>
                <w:rFonts w:hint="eastAsia" w:ascii="仿宋" w:hAnsi="仿宋" w:eastAsia="仿宋" w:cs="仿宋"/>
                <w:sz w:val="18"/>
                <w:szCs w:val="18"/>
              </w:rPr>
              <w:t>县级渔业主管部门对补助申请表进行初核、汇总，并对渔业生产者的补助申请资格进行公示（不少于</w:t>
            </w:r>
            <w:r>
              <w:rPr>
                <w:rFonts w:ascii="仿宋" w:hAnsi="仿宋" w:eastAsia="仿宋" w:cs="仿宋"/>
                <w:sz w:val="18"/>
                <w:szCs w:val="18"/>
              </w:rPr>
              <w:t>5</w:t>
            </w:r>
            <w:r>
              <w:rPr>
                <w:rFonts w:hint="eastAsia" w:ascii="仿宋" w:hAnsi="仿宋" w:eastAsia="仿宋" w:cs="仿宋"/>
                <w:sz w:val="18"/>
                <w:szCs w:val="18"/>
              </w:rPr>
              <w:t>个工作日），重点公示渔船在补助年度内是否正常生产作业。公示结束后，县级渔业主管部门应根据第八条进行补助用油量测算，并于</w:t>
            </w:r>
            <w:r>
              <w:rPr>
                <w:rFonts w:ascii="仿宋" w:hAnsi="仿宋" w:eastAsia="仿宋" w:cs="仿宋"/>
                <w:sz w:val="18"/>
                <w:szCs w:val="18"/>
              </w:rPr>
              <w:t>2</w:t>
            </w:r>
            <w:r>
              <w:rPr>
                <w:rFonts w:hint="eastAsia" w:ascii="仿宋" w:hAnsi="仿宋" w:eastAsia="仿宋" w:cs="仿宋"/>
                <w:sz w:val="18"/>
                <w:szCs w:val="18"/>
              </w:rPr>
              <w:t>月底前将补助年度内国内捕捞机动渔船、养殖机动渔船统计和补助用油量测算情况逐级报送省级渔业主管部门，抄送同级财政、审计部门。</w:t>
            </w:r>
          </w:p>
          <w:p>
            <w:pPr>
              <w:spacing w:line="360" w:lineRule="auto"/>
              <w:jc w:val="left"/>
              <w:rPr>
                <w:rFonts w:ascii="仿宋" w:hAnsi="仿宋" w:eastAsia="仿宋" w:cs="Times New Roman"/>
                <w:kern w:val="0"/>
                <w:sz w:val="18"/>
                <w:szCs w:val="18"/>
              </w:rPr>
            </w:pPr>
            <w:r>
              <w:rPr>
                <w:rFonts w:ascii="仿宋" w:hAnsi="仿宋" w:eastAsia="仿宋" w:cs="仿宋"/>
                <w:sz w:val="18"/>
                <w:szCs w:val="18"/>
              </w:rPr>
              <w:t>2</w:t>
            </w:r>
            <w:r>
              <w:rPr>
                <w:rFonts w:hint="eastAsia" w:ascii="仿宋" w:hAnsi="仿宋" w:eastAsia="仿宋" w:cs="仿宋"/>
                <w:sz w:val="18"/>
                <w:szCs w:val="18"/>
              </w:rPr>
              <w:t>、《天津市国内渔业捕捞和养殖业油价补贴政策调整项目和资金管理办法》</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街道权限（初审上报）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初审</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反馈</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24"/>
                <w:szCs w:val="24"/>
              </w:rPr>
              <w:t>1</w:t>
            </w:r>
            <w:r>
              <w:rPr>
                <w:rFonts w:hint="eastAsia" w:ascii="仿宋" w:hAnsi="仿宋" w:eastAsia="仿宋" w:cs="仿宋"/>
                <w:kern w:val="0"/>
                <w:sz w:val="24"/>
                <w:szCs w:val="24"/>
              </w:rPr>
              <w:t>、天津市国内渔船油价补贴申请表</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vAlign w:val="center"/>
          </w:tcPr>
          <w:p>
            <w:pPr>
              <w:pStyle w:val="12"/>
              <w:ind w:firstLine="0" w:firstLineChars="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公示依法应当提交的材料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一次性告知补正材料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依法受理或不予受理（不予受理的告知理由）</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对行政相对人申报的材料进行初步审查</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在法定或承诺期限内，上报上级行政管理部门</w:t>
            </w:r>
          </w:p>
          <w:p>
            <w:pPr>
              <w:pStyle w:val="12"/>
              <w:ind w:firstLine="0" w:firstLineChars="0"/>
              <w:jc w:val="left"/>
              <w:rPr>
                <w:rFonts w:ascii="仿宋" w:hAnsi="仿宋" w:eastAsia="仿宋" w:cs="Times New Roman"/>
                <w:kern w:val="0"/>
                <w:sz w:val="24"/>
                <w:szCs w:val="24"/>
              </w:rPr>
            </w:pPr>
            <w:r>
              <w:rPr>
                <w:rFonts w:ascii="仿宋" w:hAnsi="仿宋" w:eastAsia="仿宋" w:cs="仿宋"/>
                <w:sz w:val="24"/>
                <w:szCs w:val="24"/>
              </w:rPr>
              <w:t>6.</w:t>
            </w:r>
            <w:r>
              <w:rPr>
                <w:rFonts w:hint="eastAsia" w:ascii="仿宋" w:hAnsi="仿宋" w:eastAsia="仿宋" w:cs="仿宋"/>
                <w:sz w:val="24"/>
                <w:szCs w:val="24"/>
              </w:rPr>
              <w:t>向行政相对人反馈上级行政管理部门决定</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rPr>
          <w:rFonts w:cs="Times New Roman"/>
          <w:color w:val="FF0000"/>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对辖区内新打机井申请的初审</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2.1</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对辖区内新打机井申请的初审</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w:t>
            </w:r>
          </w:p>
          <w:p>
            <w:pPr>
              <w:jc w:val="left"/>
              <w:rPr>
                <w:rFonts w:ascii="仿宋" w:hAnsi="仿宋" w:eastAsia="仿宋" w:cs="Times New Roman"/>
                <w:sz w:val="18"/>
                <w:szCs w:val="18"/>
              </w:rPr>
            </w:pPr>
            <w:r>
              <w:rPr>
                <w:rFonts w:hint="eastAsia" w:ascii="仿宋" w:hAnsi="仿宋" w:eastAsia="仿宋" w:cs="仿宋"/>
                <w:sz w:val="18"/>
                <w:szCs w:val="18"/>
              </w:rPr>
              <w:t>第三条　水资源属于国家所有。水资源的所有权由国务院代表国家行使。农村集体经济组织的水塘和由农村集体经济组织修建管理的水库中的水，归各农村集体经济组织使用。</w:t>
            </w:r>
          </w:p>
          <w:p>
            <w:pPr>
              <w:jc w:val="left"/>
              <w:rPr>
                <w:rFonts w:ascii="仿宋" w:hAnsi="仿宋" w:eastAsia="仿宋" w:cs="Times New Roman"/>
                <w:sz w:val="18"/>
                <w:szCs w:val="18"/>
              </w:rPr>
            </w:pPr>
            <w:r>
              <w:rPr>
                <w:rFonts w:hint="eastAsia" w:ascii="仿宋" w:hAnsi="仿宋" w:eastAsia="仿宋" w:cs="仿宋"/>
                <w:sz w:val="18"/>
                <w:szCs w:val="18"/>
              </w:rPr>
              <w:t>第十六条　制定规划，必须进行水资源综合科学考察和调查评价。水资源综合科学考察和调查评价，由县级以上人民政府水行政主管部门会同同级有关部门组织进行。</w:t>
            </w:r>
          </w:p>
          <w:p>
            <w:pPr>
              <w:jc w:val="left"/>
              <w:rPr>
                <w:rFonts w:ascii="仿宋" w:hAnsi="仿宋" w:eastAsia="仿宋" w:cs="Times New Roman"/>
                <w:sz w:val="18"/>
                <w:szCs w:val="18"/>
              </w:rPr>
            </w:pPr>
            <w:r>
              <w:rPr>
                <w:rFonts w:hint="eastAsia" w:ascii="仿宋" w:hAnsi="仿宋" w:eastAsia="仿宋" w:cs="仿宋"/>
                <w:sz w:val="18"/>
                <w:szCs w:val="18"/>
              </w:rPr>
              <w:t>第二十一条　开发、利用水资源，应当首先满足城乡居民生活用水，并兼顾农业、工业、生态环境用水以及航运等需要。</w:t>
            </w:r>
          </w:p>
          <w:p>
            <w:pPr>
              <w:jc w:val="left"/>
              <w:rPr>
                <w:rFonts w:ascii="仿宋" w:hAnsi="仿宋" w:eastAsia="仿宋" w:cs="Times New Roman"/>
                <w:sz w:val="18"/>
                <w:szCs w:val="18"/>
              </w:rPr>
            </w:pPr>
            <w:r>
              <w:rPr>
                <w:rFonts w:hint="eastAsia" w:ascii="仿宋" w:hAnsi="仿宋" w:eastAsia="仿宋" w:cs="仿宋"/>
                <w:sz w:val="18"/>
                <w:szCs w:val="18"/>
              </w:rPr>
              <w:t>在干旱和半干旱地区开发、利用水资源，应当充分考虑生态环境用水需要。</w:t>
            </w:r>
          </w:p>
          <w:p>
            <w:pPr>
              <w:jc w:val="left"/>
              <w:rPr>
                <w:rFonts w:ascii="仿宋" w:hAnsi="仿宋" w:eastAsia="仿宋" w:cs="Times New Roman"/>
                <w:kern w:val="0"/>
                <w:sz w:val="18"/>
                <w:szCs w:val="18"/>
              </w:rPr>
            </w:pPr>
            <w:r>
              <w:rPr>
                <w:rFonts w:hint="eastAsia" w:ascii="仿宋" w:hAnsi="仿宋" w:eastAsia="仿宋" w:cs="仿宋"/>
                <w:sz w:val="18"/>
                <w:szCs w:val="18"/>
              </w:rPr>
              <w:t>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街道权限（勘察分析上报）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初审</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反馈</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24"/>
                <w:szCs w:val="24"/>
              </w:rPr>
              <w:t>1.</w:t>
            </w:r>
            <w:r>
              <w:rPr>
                <w:rFonts w:hint="eastAsia" w:ascii="仿宋" w:hAnsi="仿宋" w:eastAsia="仿宋" w:cs="仿宋"/>
                <w:kern w:val="0"/>
                <w:sz w:val="24"/>
                <w:szCs w:val="24"/>
              </w:rPr>
              <w:t>评估表</w:t>
            </w:r>
            <w:r>
              <w:rPr>
                <w:rFonts w:ascii="仿宋" w:hAnsi="仿宋" w:eastAsia="仿宋" w:cs="仿宋"/>
                <w:kern w:val="0"/>
                <w:sz w:val="24"/>
                <w:szCs w:val="24"/>
              </w:rPr>
              <w:t>;     2.</w:t>
            </w:r>
            <w:r>
              <w:rPr>
                <w:rFonts w:hint="eastAsia" w:ascii="仿宋" w:hAnsi="仿宋" w:eastAsia="仿宋" w:cs="仿宋"/>
                <w:kern w:val="0"/>
                <w:sz w:val="24"/>
                <w:szCs w:val="24"/>
              </w:rPr>
              <w:t>取水许可申请书</w:t>
            </w:r>
            <w:r>
              <w:rPr>
                <w:rFonts w:ascii="仿宋" w:hAnsi="仿宋" w:eastAsia="仿宋" w:cs="仿宋"/>
                <w:kern w:val="0"/>
                <w:sz w:val="24"/>
                <w:szCs w:val="24"/>
              </w:rPr>
              <w:t>;       3.</w:t>
            </w:r>
            <w:r>
              <w:rPr>
                <w:rFonts w:hint="eastAsia" w:ascii="仿宋" w:hAnsi="仿宋" w:eastAsia="仿宋" w:cs="仿宋"/>
                <w:kern w:val="0"/>
                <w:sz w:val="24"/>
                <w:szCs w:val="24"/>
              </w:rPr>
              <w:t>取水延展评估表</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vAlign w:val="center"/>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审核用水户打井需求材料。</w:t>
            </w:r>
          </w:p>
          <w:p>
            <w:pPr>
              <w:pStyle w:val="12"/>
              <w:ind w:firstLine="0" w:firstLineChars="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实地检查新打机井的可行性、必要性。</w:t>
            </w:r>
          </w:p>
          <w:p>
            <w:pPr>
              <w:pStyle w:val="12"/>
              <w:ind w:firstLine="0" w:firstLineChars="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在法定或承诺期限内，上报上级行政管理部门</w:t>
            </w:r>
          </w:p>
          <w:p>
            <w:pPr>
              <w:pStyle w:val="12"/>
              <w:ind w:firstLine="0" w:firstLineChars="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向用水户反馈上级部门的决定。</w:t>
            </w:r>
          </w:p>
          <w:p>
            <w:pPr>
              <w:pStyle w:val="12"/>
              <w:ind w:firstLine="0" w:firstLineChars="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上级部门批准后，配合上级单位进行施工。</w:t>
            </w:r>
          </w:p>
          <w:p>
            <w:pPr>
              <w:pStyle w:val="12"/>
              <w:ind w:firstLine="0" w:firstLineChars="0"/>
              <w:jc w:val="left"/>
              <w:rPr>
                <w:rFonts w:ascii="仿宋" w:hAnsi="仿宋" w:eastAsia="仿宋" w:cs="Times New Roman"/>
                <w:kern w:val="0"/>
                <w:sz w:val="24"/>
                <w:szCs w:val="24"/>
              </w:rPr>
            </w:pPr>
            <w:r>
              <w:rPr>
                <w:rFonts w:hint="eastAsia" w:ascii="仿宋" w:hAnsi="仿宋" w:eastAsia="仿宋" w:cs="仿宋"/>
                <w:sz w:val="24"/>
                <w:szCs w:val="24"/>
              </w:rPr>
              <w:t>未批准的，向用水户解释原因。</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spacing w:line="588" w:lineRule="exact"/>
        <w:ind w:right="1432"/>
        <w:rPr>
          <w:rFonts w:ascii="方正仿宋简体" w:eastAsia="方正仿宋简体" w:cs="Times New Roman"/>
          <w:color w:val="FF0000"/>
          <w:sz w:val="34"/>
          <w:szCs w:val="34"/>
        </w:rPr>
      </w:pPr>
    </w:p>
    <w:p>
      <w:pPr>
        <w:spacing w:line="588" w:lineRule="exact"/>
        <w:ind w:right="1432"/>
        <w:rPr>
          <w:rFonts w:ascii="方正仿宋简体" w:eastAsia="方正仿宋简体" w:cs="Times New Roman"/>
          <w:color w:val="FF0000"/>
          <w:sz w:val="34"/>
          <w:szCs w:val="34"/>
        </w:rPr>
      </w:pPr>
    </w:p>
    <w:p>
      <w:pPr>
        <w:spacing w:line="588" w:lineRule="exact"/>
        <w:ind w:right="1432"/>
        <w:rPr>
          <w:rFonts w:ascii="方正仿宋简体" w:eastAsia="方正仿宋简体" w:cs="Times New Roman"/>
          <w:sz w:val="34"/>
          <w:szCs w:val="34"/>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对辖区内非法打井的处理</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2.2</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对辖区内非法打井的处理</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w:t>
            </w:r>
          </w:p>
          <w:p>
            <w:pPr>
              <w:jc w:val="left"/>
              <w:rPr>
                <w:rFonts w:ascii="仿宋" w:hAnsi="仿宋" w:eastAsia="仿宋" w:cs="Times New Roman"/>
                <w:sz w:val="18"/>
                <w:szCs w:val="18"/>
              </w:rPr>
            </w:pPr>
            <w:r>
              <w:rPr>
                <w:rFonts w:hint="eastAsia" w:ascii="仿宋" w:hAnsi="仿宋" w:eastAsia="仿宋" w:cs="仿宋"/>
                <w:sz w:val="18"/>
                <w:szCs w:val="18"/>
              </w:rPr>
              <w:t>第三条　水资源属于国家所有。水资源的所有权由国务院代表国家行使。农村集体经济组织的水塘和由农村集体经济组织修建管理的水库中的水，归各农村集体经济组织使用。</w:t>
            </w:r>
          </w:p>
          <w:p>
            <w:pPr>
              <w:jc w:val="left"/>
              <w:rPr>
                <w:rFonts w:ascii="仿宋" w:hAnsi="仿宋" w:eastAsia="仿宋" w:cs="Times New Roman"/>
                <w:sz w:val="18"/>
                <w:szCs w:val="18"/>
              </w:rPr>
            </w:pPr>
            <w:r>
              <w:rPr>
                <w:rFonts w:hint="eastAsia" w:ascii="仿宋" w:hAnsi="仿宋" w:eastAsia="仿宋" w:cs="仿宋"/>
                <w:sz w:val="18"/>
                <w:szCs w:val="18"/>
              </w:rPr>
              <w:t>第三十一条　从事水资源开发、利用、节约、保护和防治水害等水事活动，应当遵守经批准的规划；因违反规划造成江河和湖泊水域使用功能降低、地下水超采、地面沉降、水体污染的，应当承担治理责任。</w:t>
            </w:r>
          </w:p>
          <w:p>
            <w:pPr>
              <w:jc w:val="left"/>
              <w:rPr>
                <w:rFonts w:ascii="仿宋" w:hAnsi="仿宋" w:eastAsia="仿宋" w:cs="Times New Roman"/>
                <w:sz w:val="18"/>
                <w:szCs w:val="18"/>
              </w:rPr>
            </w:pPr>
            <w:r>
              <w:rPr>
                <w:rFonts w:hint="eastAsia" w:ascii="仿宋" w:hAnsi="仿宋" w:eastAsia="仿宋" w:cs="仿宋"/>
                <w:sz w:val="18"/>
                <w:szCs w:val="18"/>
              </w:rPr>
              <w:t>第六十九条　有下列行为之一的，由县级以上人民政府水行政主管部门或者流域管理机构依据职权，责令停止违法行为，限期采取补救措施，处二万元以上十万元以下的罚款；情节严重的，吊销其取水许可证：</w:t>
            </w:r>
          </w:p>
          <w:p>
            <w:pPr>
              <w:jc w:val="left"/>
              <w:rPr>
                <w:rFonts w:ascii="仿宋" w:hAnsi="仿宋" w:eastAsia="仿宋" w:cs="Times New Roman"/>
                <w:sz w:val="18"/>
                <w:szCs w:val="18"/>
              </w:rPr>
            </w:pPr>
            <w:r>
              <w:rPr>
                <w:rFonts w:hint="eastAsia" w:ascii="仿宋" w:hAnsi="仿宋" w:eastAsia="仿宋" w:cs="仿宋"/>
                <w:sz w:val="18"/>
                <w:szCs w:val="18"/>
              </w:rPr>
              <w:t>（一）未经批准擅自取水的；</w:t>
            </w:r>
          </w:p>
          <w:p>
            <w:pPr>
              <w:jc w:val="left"/>
              <w:rPr>
                <w:rFonts w:ascii="仿宋" w:hAnsi="仿宋" w:eastAsia="仿宋" w:cs="Times New Roman"/>
                <w:kern w:val="0"/>
                <w:sz w:val="18"/>
                <w:szCs w:val="18"/>
              </w:rPr>
            </w:pPr>
            <w:r>
              <w:rPr>
                <w:rFonts w:hint="eastAsia" w:ascii="仿宋" w:hAnsi="仿宋" w:eastAsia="仿宋" w:cs="仿宋"/>
                <w:sz w:val="18"/>
                <w:szCs w:val="18"/>
              </w:rPr>
              <w:t>（二）未依照批准的取水许可规定条件取水的。</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街道权限（检查、上报）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发现</w:t>
            </w:r>
            <w:r>
              <w:rPr>
                <w:rFonts w:ascii="仿宋" w:hAnsi="仿宋" w:eastAsia="仿宋" w:cs="仿宋"/>
                <w:sz w:val="24"/>
                <w:szCs w:val="24"/>
              </w:rPr>
              <w:t>—</w:t>
            </w:r>
            <w:r>
              <w:rPr>
                <w:rFonts w:hint="eastAsia" w:ascii="仿宋" w:hAnsi="仿宋" w:eastAsia="仿宋" w:cs="仿宋"/>
                <w:sz w:val="24"/>
                <w:szCs w:val="24"/>
              </w:rPr>
              <w:t>制止</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封停</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仿宋" w:hAnsi="仿宋" w:eastAsia="仿宋" w:cs="Times New Roman"/>
                <w:kern w:val="0"/>
                <w:sz w:val="18"/>
                <w:szCs w:val="18"/>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检查发现辖区内非法私打的机井。</w:t>
            </w:r>
          </w:p>
          <w:p>
            <w:pPr>
              <w:pStyle w:val="12"/>
              <w:ind w:left="31680" w:hanging="240" w:hangingChars="1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对于正在施工的机井予以停工，对于已经打成在使用的机井，向上级有关部门汇报进行惩罚。</w:t>
            </w:r>
          </w:p>
          <w:p>
            <w:pPr>
              <w:pStyle w:val="12"/>
              <w:ind w:firstLine="0" w:firstLineChars="0"/>
              <w:rPr>
                <w:rFonts w:ascii="仿宋" w:hAnsi="仿宋" w:eastAsia="仿宋" w:cs="Times New Roman"/>
                <w:kern w:val="0"/>
                <w:sz w:val="24"/>
                <w:szCs w:val="24"/>
              </w:rPr>
            </w:pPr>
            <w:r>
              <w:rPr>
                <w:rFonts w:ascii="仿宋" w:hAnsi="仿宋" w:eastAsia="仿宋" w:cs="仿宋"/>
                <w:sz w:val="24"/>
                <w:szCs w:val="24"/>
              </w:rPr>
              <w:t>3.</w:t>
            </w:r>
            <w:r>
              <w:rPr>
                <w:rFonts w:hint="eastAsia" w:ascii="仿宋" w:hAnsi="仿宋" w:eastAsia="仿宋" w:cs="仿宋"/>
                <w:sz w:val="24"/>
                <w:szCs w:val="24"/>
              </w:rPr>
              <w:t>配合上级行政管理部门予以处罚机井封停</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spacing w:line="588" w:lineRule="exact"/>
        <w:ind w:right="1432"/>
        <w:rPr>
          <w:rFonts w:ascii="方正仿宋简体" w:eastAsia="方正仿宋简体" w:cs="Times New Roman"/>
          <w:sz w:val="34"/>
          <w:szCs w:val="34"/>
        </w:rPr>
      </w:pPr>
    </w:p>
    <w:p>
      <w:pPr>
        <w:spacing w:line="588" w:lineRule="exact"/>
        <w:ind w:right="1432"/>
        <w:rPr>
          <w:rFonts w:ascii="方正仿宋简体" w:eastAsia="方正仿宋简体" w:cs="Times New Roman"/>
          <w:sz w:val="34"/>
          <w:szCs w:val="34"/>
        </w:rPr>
      </w:pPr>
    </w:p>
    <w:p>
      <w:pPr>
        <w:spacing w:line="588" w:lineRule="exact"/>
        <w:ind w:right="1432"/>
        <w:rPr>
          <w:rFonts w:ascii="方正仿宋简体" w:eastAsia="方正仿宋简体" w:cs="Times New Roman"/>
          <w:sz w:val="34"/>
          <w:szCs w:val="34"/>
        </w:rPr>
      </w:pPr>
    </w:p>
    <w:p>
      <w:pPr>
        <w:spacing w:line="588" w:lineRule="exact"/>
        <w:ind w:right="1432"/>
        <w:rPr>
          <w:rFonts w:ascii="方正仿宋简体" w:eastAsia="方正仿宋简体" w:cs="Times New Roman"/>
          <w:sz w:val="34"/>
          <w:szCs w:val="34"/>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对辖区内取水许可证更换的指导办理</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2.3</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对辖区内取水许可证更换的指导办理</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w:t>
            </w:r>
          </w:p>
          <w:p>
            <w:pPr>
              <w:jc w:val="left"/>
              <w:rPr>
                <w:rFonts w:ascii="仿宋" w:hAnsi="仿宋" w:eastAsia="仿宋" w:cs="Times New Roman"/>
                <w:sz w:val="18"/>
                <w:szCs w:val="18"/>
              </w:rPr>
            </w:pPr>
            <w:r>
              <w:rPr>
                <w:rFonts w:hint="eastAsia" w:ascii="仿宋" w:hAnsi="仿宋" w:eastAsia="仿宋" w:cs="仿宋"/>
                <w:sz w:val="18"/>
                <w:szCs w:val="18"/>
              </w:rPr>
              <w:t>第三条　水资源属于国家所有。水资源的所有权由国务院代表国家行使。农村集体经济组织的水塘和由农村集体经济组织修建管理的水库中的水，归各该农村集体经济组织使用。</w:t>
            </w:r>
          </w:p>
          <w:p>
            <w:pPr>
              <w:jc w:val="left"/>
              <w:rPr>
                <w:rFonts w:ascii="仿宋" w:hAnsi="仿宋" w:eastAsia="仿宋" w:cs="Times New Roman"/>
                <w:sz w:val="18"/>
                <w:szCs w:val="18"/>
              </w:rPr>
            </w:pPr>
            <w:r>
              <w:rPr>
                <w:rFonts w:hint="eastAsia" w:ascii="仿宋" w:hAnsi="仿宋" w:eastAsia="仿宋" w:cs="仿宋"/>
                <w:sz w:val="18"/>
                <w:szCs w:val="18"/>
              </w:rPr>
              <w:t>第三十一条　从事水资源开发、利用、节约、保护和防治水害等水事活动，应当遵守经批准的规划；因违反规划造成江河和湖泊水域使用功能降低、地下水超采、地面沉降、水体污染的，应当承担治理责任。</w:t>
            </w:r>
          </w:p>
          <w:p>
            <w:pPr>
              <w:jc w:val="left"/>
              <w:rPr>
                <w:rFonts w:ascii="仿宋" w:hAnsi="仿宋" w:eastAsia="仿宋" w:cs="Times New Roman"/>
                <w:sz w:val="18"/>
                <w:szCs w:val="18"/>
              </w:rPr>
            </w:pPr>
            <w:r>
              <w:rPr>
                <w:rFonts w:hint="eastAsia" w:ascii="仿宋" w:hAnsi="仿宋" w:eastAsia="仿宋" w:cs="仿宋"/>
                <w:sz w:val="18"/>
                <w:szCs w:val="18"/>
              </w:rPr>
              <w:t>第六十九条　有下列行为之一的，由县级以上人民政府水行政主管部门或者流域管理机构依据职权，责令停止违法行为，限期采取补救措施，处二万元以上十万元以下的罚款；情节严重的，吊销其取水许可证：</w:t>
            </w:r>
          </w:p>
          <w:p>
            <w:pPr>
              <w:jc w:val="left"/>
              <w:rPr>
                <w:rFonts w:ascii="仿宋" w:hAnsi="仿宋" w:eastAsia="仿宋" w:cs="Times New Roman"/>
                <w:sz w:val="18"/>
                <w:szCs w:val="18"/>
              </w:rPr>
            </w:pPr>
            <w:r>
              <w:rPr>
                <w:rFonts w:hint="eastAsia" w:ascii="仿宋" w:hAnsi="仿宋" w:eastAsia="仿宋" w:cs="仿宋"/>
                <w:sz w:val="18"/>
                <w:szCs w:val="18"/>
              </w:rPr>
              <w:t>（一）未经批准擅自取水的；</w:t>
            </w:r>
          </w:p>
          <w:p>
            <w:pPr>
              <w:jc w:val="left"/>
              <w:rPr>
                <w:rFonts w:ascii="仿宋" w:hAnsi="仿宋" w:eastAsia="仿宋" w:cs="Times New Roman"/>
                <w:kern w:val="0"/>
                <w:sz w:val="18"/>
                <w:szCs w:val="18"/>
              </w:rPr>
            </w:pPr>
            <w:r>
              <w:rPr>
                <w:rFonts w:hint="eastAsia" w:ascii="仿宋" w:hAnsi="仿宋" w:eastAsia="仿宋" w:cs="仿宋"/>
                <w:sz w:val="18"/>
                <w:szCs w:val="18"/>
              </w:rPr>
              <w:t>（二）未依照批准的取水许可规定条件取水的。</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街道权限（督促上报）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指导</w:t>
            </w:r>
            <w:r>
              <w:rPr>
                <w:rFonts w:ascii="仿宋" w:hAnsi="仿宋" w:eastAsia="仿宋" w:cs="仿宋"/>
                <w:sz w:val="24"/>
                <w:szCs w:val="24"/>
              </w:rPr>
              <w:t>—</w:t>
            </w:r>
            <w:r>
              <w:rPr>
                <w:rFonts w:hint="eastAsia" w:ascii="仿宋" w:hAnsi="仿宋" w:eastAsia="仿宋" w:cs="仿宋"/>
                <w:sz w:val="24"/>
                <w:szCs w:val="24"/>
              </w:rPr>
              <w:t>上报上级部门审批</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接到上级取水许可证更换的通知</w:t>
            </w:r>
          </w:p>
          <w:p>
            <w:pPr>
              <w:pStyle w:val="12"/>
              <w:ind w:firstLine="0" w:firstLineChars="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按照通知转发指导各水户填写取水许可证换证申请表等相关资料</w:t>
            </w:r>
          </w:p>
          <w:p>
            <w:pPr>
              <w:pStyle w:val="12"/>
              <w:ind w:firstLine="0" w:firstLineChars="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向上级部门申报审批换证</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spacing w:line="588" w:lineRule="exact"/>
        <w:ind w:right="1432"/>
        <w:rPr>
          <w:rFonts w:ascii="方正仿宋简体" w:eastAsia="方正仿宋简体" w:cs="Times New Roman"/>
          <w:sz w:val="34"/>
          <w:szCs w:val="34"/>
        </w:rPr>
      </w:pPr>
    </w:p>
    <w:p>
      <w:pPr>
        <w:spacing w:line="588" w:lineRule="exact"/>
        <w:ind w:right="1432"/>
        <w:rPr>
          <w:rFonts w:ascii="方正仿宋简体" w:eastAsia="方正仿宋简体" w:cs="Times New Roman"/>
          <w:color w:val="FF0000"/>
          <w:sz w:val="34"/>
          <w:szCs w:val="34"/>
        </w:rPr>
      </w:pPr>
    </w:p>
    <w:p>
      <w:pPr>
        <w:spacing w:line="588" w:lineRule="exact"/>
        <w:ind w:right="1432"/>
        <w:rPr>
          <w:rFonts w:ascii="方正仿宋简体" w:eastAsia="方正仿宋简体" w:cs="Times New Roman"/>
          <w:color w:val="FF0000"/>
          <w:sz w:val="34"/>
          <w:szCs w:val="34"/>
        </w:rPr>
      </w:pPr>
    </w:p>
    <w:p>
      <w:pPr>
        <w:spacing w:line="588" w:lineRule="exact"/>
        <w:ind w:right="1432"/>
        <w:rPr>
          <w:rFonts w:ascii="方正仿宋简体" w:eastAsia="方正仿宋简体" w:cs="Times New Roman"/>
          <w:sz w:val="34"/>
          <w:szCs w:val="34"/>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负责全街供水方案</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2.4</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负责全街供水方案</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》第三章　水资源开发利用</w:t>
            </w:r>
          </w:p>
          <w:p>
            <w:pPr>
              <w:jc w:val="left"/>
              <w:rPr>
                <w:rFonts w:ascii="仿宋" w:hAnsi="仿宋" w:eastAsia="仿宋" w:cs="Times New Roman"/>
                <w:sz w:val="18"/>
                <w:szCs w:val="18"/>
              </w:rPr>
            </w:pPr>
            <w:r>
              <w:rPr>
                <w:rFonts w:hint="eastAsia" w:ascii="仿宋" w:hAnsi="仿宋" w:eastAsia="仿宋" w:cs="仿宋"/>
                <w:sz w:val="18"/>
                <w:szCs w:val="18"/>
              </w:rPr>
              <w:t>第二十条　开发、利用水资源，应当坚持兴利与除害相结合，兼顾上下游、左右岸和有关地区之间的利益，充分发挥水资源的综合效益，并服从防洪的总体安排。</w:t>
            </w:r>
          </w:p>
          <w:p>
            <w:pPr>
              <w:jc w:val="left"/>
              <w:rPr>
                <w:rFonts w:ascii="仿宋" w:hAnsi="仿宋" w:eastAsia="仿宋" w:cs="Times New Roman"/>
                <w:sz w:val="18"/>
                <w:szCs w:val="18"/>
              </w:rPr>
            </w:pPr>
            <w:r>
              <w:rPr>
                <w:rFonts w:hint="eastAsia" w:ascii="仿宋" w:hAnsi="仿宋" w:eastAsia="仿宋" w:cs="仿宋"/>
                <w:sz w:val="18"/>
                <w:szCs w:val="18"/>
              </w:rPr>
              <w:t>第二十一条　开发、利用水资源，应当首先满足城乡居民生活用水，并兼顾农业、工业、生态环境用水以及航运等需要。</w:t>
            </w:r>
          </w:p>
          <w:p>
            <w:pPr>
              <w:jc w:val="left"/>
              <w:rPr>
                <w:rFonts w:ascii="仿宋" w:hAnsi="仿宋" w:eastAsia="仿宋" w:cs="Times New Roman"/>
                <w:sz w:val="18"/>
                <w:szCs w:val="18"/>
              </w:rPr>
            </w:pPr>
            <w:r>
              <w:rPr>
                <w:rFonts w:hint="eastAsia" w:ascii="仿宋" w:hAnsi="仿宋" w:eastAsia="仿宋" w:cs="仿宋"/>
                <w:sz w:val="18"/>
                <w:szCs w:val="18"/>
              </w:rPr>
              <w:t>在干旱和半干旱地区开发、利用水资源，应当充分考虑生态环境用水需要。</w:t>
            </w:r>
          </w:p>
          <w:p>
            <w:pPr>
              <w:jc w:val="left"/>
              <w:rPr>
                <w:rFonts w:ascii="仿宋" w:hAnsi="仿宋" w:eastAsia="仿宋" w:cs="Times New Roman"/>
                <w:sz w:val="18"/>
                <w:szCs w:val="18"/>
              </w:rPr>
            </w:pPr>
            <w:r>
              <w:rPr>
                <w:rFonts w:hint="eastAsia" w:ascii="仿宋" w:hAnsi="仿宋" w:eastAsia="仿宋" w:cs="仿宋"/>
                <w:sz w:val="18"/>
                <w:szCs w:val="18"/>
              </w:rPr>
              <w:t>第二十三条　地方各级人民政府应当结合本地区水资源的实际情况，按照地表水与地下水统一调度开发、开源与节流相结合、节流优先和污水处理再利用的原则，合理组织开发、综合利用水资源。</w:t>
            </w:r>
          </w:p>
          <w:p>
            <w:pPr>
              <w:jc w:val="left"/>
              <w:rPr>
                <w:rFonts w:ascii="仿宋" w:hAnsi="仿宋" w:eastAsia="仿宋" w:cs="Times New Roman"/>
                <w:kern w:val="0"/>
                <w:sz w:val="18"/>
                <w:szCs w:val="18"/>
              </w:rPr>
            </w:pPr>
            <w:r>
              <w:rPr>
                <w:rFonts w:hint="eastAsia" w:ascii="仿宋" w:hAnsi="仿宋" w:eastAsia="仿宋" w:cs="仿宋"/>
                <w:sz w:val="18"/>
                <w:szCs w:val="18"/>
              </w:rPr>
              <w:t>第三十三条　国家建立饮用水水源保护区制度。省、自治区、直辖市人民政府应当划定饮用水水源保护区，并采取措施，防止水源枯竭和水体污染，保证城乡居民饮用水安全。</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街道权限（勘察分析上报）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勘察</w:t>
            </w:r>
            <w:r>
              <w:rPr>
                <w:rFonts w:ascii="仿宋" w:hAnsi="仿宋" w:eastAsia="仿宋" w:cs="仿宋"/>
                <w:sz w:val="24"/>
                <w:szCs w:val="24"/>
              </w:rPr>
              <w:t>—</w:t>
            </w:r>
            <w:r>
              <w:rPr>
                <w:rFonts w:hint="eastAsia" w:ascii="仿宋" w:hAnsi="仿宋" w:eastAsia="仿宋" w:cs="仿宋"/>
                <w:sz w:val="24"/>
                <w:szCs w:val="24"/>
              </w:rPr>
              <w:t>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ind w:firstLine="360" w:firstLineChars="200"/>
              <w:jc w:val="left"/>
              <w:rPr>
                <w:rFonts w:ascii="仿宋" w:hAnsi="仿宋" w:eastAsia="仿宋" w:cs="Times New Roman"/>
                <w:kern w:val="0"/>
                <w:sz w:val="18"/>
                <w:szCs w:val="18"/>
              </w:rPr>
            </w:pPr>
            <w:r>
              <w:rPr>
                <w:rFonts w:hint="eastAsia" w:ascii="仿宋" w:hAnsi="仿宋" w:eastAsia="仿宋" w:cs="仿宋"/>
                <w:kern w:val="0"/>
                <w:sz w:val="18"/>
                <w:szCs w:val="18"/>
              </w:rPr>
              <w:t>无</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掌握全街楼区及平房户的饮水情况。</w:t>
            </w:r>
          </w:p>
          <w:p>
            <w:pPr>
              <w:pStyle w:val="12"/>
              <w:ind w:firstLine="0" w:firstLineChars="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对于未引入滦河水的小区向上级部门申报，规划供水。</w:t>
            </w:r>
          </w:p>
          <w:p>
            <w:pPr>
              <w:pStyle w:val="12"/>
              <w:ind w:firstLine="0" w:firstLineChars="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对居、村民反映的水质问题向相关部门申请对水质进行化验。</w:t>
            </w:r>
          </w:p>
          <w:p>
            <w:pPr>
              <w:pStyle w:val="12"/>
              <w:ind w:firstLine="0" w:firstLineChars="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按照上级要求开展节约用水宣传等工作。</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418"/>
        <w:gridCol w:w="262"/>
        <w:gridCol w:w="7940"/>
      </w:tblGrid>
      <w:tr>
        <w:tblPrEx>
          <w:tblCellMar>
            <w:top w:w="0" w:type="dxa"/>
            <w:left w:w="108" w:type="dxa"/>
            <w:bottom w:w="0" w:type="dxa"/>
            <w:right w:w="108" w:type="dxa"/>
          </w:tblCellMar>
        </w:tblPrEx>
        <w:trPr>
          <w:trHeight w:val="576"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3"/>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农田水利设施的管理工作</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2.5</w:t>
            </w:r>
          </w:p>
        </w:tc>
      </w:tr>
      <w:tr>
        <w:tblPrEx>
          <w:tblCellMar>
            <w:top w:w="0" w:type="dxa"/>
            <w:left w:w="108" w:type="dxa"/>
            <w:bottom w:w="0" w:type="dxa"/>
            <w:right w:w="108" w:type="dxa"/>
          </w:tblCellMar>
        </w:tblPrEx>
        <w:trPr>
          <w:trHeight w:val="429"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农田水利设施的管理工作</w:t>
            </w:r>
          </w:p>
        </w:tc>
      </w:tr>
      <w:tr>
        <w:tblPrEx>
          <w:tblCellMar>
            <w:top w:w="0" w:type="dxa"/>
            <w:left w:w="108" w:type="dxa"/>
            <w:bottom w:w="0" w:type="dxa"/>
            <w:right w:w="108" w:type="dxa"/>
          </w:tblCellMar>
        </w:tblPrEx>
        <w:trPr>
          <w:trHeight w:val="1960"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》第五条　县级以上人民政府应当加强水利基础设施建设，并将其纳入本级国民经济和社会发展计划。第二十五条　地方各级人民政府应当加强对灌溉、排涝、水土保持工作的领导，促进农业生产发展；在容易发生盐碱化和渍害的地区，应当采取措施，控制和降低地下水的水位。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p>
            <w:pPr>
              <w:jc w:val="left"/>
              <w:rPr>
                <w:rFonts w:ascii="仿宋" w:hAnsi="仿宋" w:eastAsia="仿宋" w:cs="Times New Roman"/>
                <w:kern w:val="0"/>
                <w:sz w:val="18"/>
                <w:szCs w:val="18"/>
              </w:rPr>
            </w:pPr>
            <w:r>
              <w:rPr>
                <w:rFonts w:hint="eastAsia" w:ascii="仿宋" w:hAnsi="仿宋" w:eastAsia="仿宋" w:cs="仿宋"/>
                <w:sz w:val="18"/>
                <w:szCs w:val="18"/>
              </w:rPr>
              <w:t>第十四条　国家制定全国水资源战略规划。开发、利用、节约、保护水资源和防治水害，应当按照流域、区域统一制定规划。规划分为流域规划和区域规划。流域规划包括流域综合规划和流域专业规划；区域规划包括区域综合规划和区域专业规划。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tc>
      </w:tr>
      <w:tr>
        <w:tblPrEx>
          <w:tblCellMar>
            <w:top w:w="0" w:type="dxa"/>
            <w:left w:w="108" w:type="dxa"/>
            <w:bottom w:w="0" w:type="dxa"/>
            <w:right w:w="108" w:type="dxa"/>
          </w:tblCellMar>
        </w:tblPrEx>
        <w:trPr>
          <w:trHeight w:val="903"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4"/>
                <w:szCs w:val="24"/>
              </w:rPr>
              <w:t>街道权限（勘察分析上报）</w:t>
            </w:r>
          </w:p>
        </w:tc>
      </w:tr>
      <w:tr>
        <w:tblPrEx>
          <w:tblCellMar>
            <w:top w:w="0" w:type="dxa"/>
            <w:left w:w="108" w:type="dxa"/>
            <w:bottom w:w="0" w:type="dxa"/>
            <w:right w:w="108" w:type="dxa"/>
          </w:tblCellMar>
        </w:tblPrEx>
        <w:trPr>
          <w:trHeight w:val="476"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勘察</w:t>
            </w:r>
            <w:r>
              <w:rPr>
                <w:rFonts w:ascii="仿宋" w:hAnsi="仿宋" w:eastAsia="仿宋" w:cs="仿宋"/>
                <w:sz w:val="24"/>
                <w:szCs w:val="24"/>
              </w:rPr>
              <w:t>—</w:t>
            </w:r>
            <w:r>
              <w:rPr>
                <w:rFonts w:hint="eastAsia" w:ascii="仿宋" w:hAnsi="仿宋" w:eastAsia="仿宋" w:cs="仿宋"/>
                <w:sz w:val="24"/>
                <w:szCs w:val="24"/>
              </w:rPr>
              <w:t>上报</w:t>
            </w:r>
          </w:p>
        </w:tc>
      </w:tr>
      <w:tr>
        <w:tblPrEx>
          <w:tblCellMar>
            <w:top w:w="0" w:type="dxa"/>
            <w:left w:w="108" w:type="dxa"/>
            <w:bottom w:w="0" w:type="dxa"/>
            <w:right w:w="108" w:type="dxa"/>
          </w:tblCellMar>
        </w:tblPrEx>
        <w:trPr>
          <w:trHeight w:val="476"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hint="eastAsia" w:ascii="仿宋" w:hAnsi="仿宋" w:eastAsia="仿宋" w:cs="仿宋"/>
                <w:kern w:val="0"/>
                <w:sz w:val="18"/>
                <w:szCs w:val="18"/>
              </w:rPr>
              <w:t>无</w:t>
            </w:r>
          </w:p>
        </w:tc>
      </w:tr>
      <w:tr>
        <w:tblPrEx>
          <w:tblCellMar>
            <w:top w:w="0" w:type="dxa"/>
            <w:left w:w="108" w:type="dxa"/>
            <w:bottom w:w="0" w:type="dxa"/>
            <w:right w:w="108" w:type="dxa"/>
          </w:tblCellMar>
        </w:tblPrEx>
        <w:trPr>
          <w:trHeight w:val="378" w:hRule="atLeast"/>
        </w:trPr>
        <w:tc>
          <w:tcPr>
            <w:tcW w:w="1680"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检查辖区内农田排灌渠系、闸函、中小型泵站的管理维护工作。</w:t>
            </w:r>
          </w:p>
          <w:p>
            <w:pPr>
              <w:pStyle w:val="12"/>
              <w:ind w:firstLine="0" w:firstLineChars="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对于需要清淤的渠道、维修重建新建的涵闸、泵站向上级部门汇报申请实施。</w:t>
            </w:r>
          </w:p>
        </w:tc>
      </w:tr>
      <w:tr>
        <w:tblPrEx>
          <w:tblCellMar>
            <w:top w:w="0" w:type="dxa"/>
            <w:left w:w="108" w:type="dxa"/>
            <w:bottom w:w="0" w:type="dxa"/>
            <w:right w:w="108" w:type="dxa"/>
          </w:tblCellMar>
        </w:tblPrEx>
        <w:trPr>
          <w:trHeight w:val="1024" w:hRule="atLeast"/>
        </w:trPr>
        <w:tc>
          <w:tcPr>
            <w:tcW w:w="1680"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r>
        <w:tblPrEx>
          <w:tblCellMar>
            <w:top w:w="0" w:type="dxa"/>
            <w:left w:w="108" w:type="dxa"/>
            <w:bottom w:w="0" w:type="dxa"/>
            <w:right w:w="108" w:type="dxa"/>
          </w:tblCellMar>
        </w:tblPrEx>
        <w:trPr>
          <w:trHeight w:val="696"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3"/>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管理好辖区田间路、桥、一二级河道的管理</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519" w:hRule="atLeast"/>
        </w:trPr>
        <w:tc>
          <w:tcPr>
            <w:tcW w:w="141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8202"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2.6</w:t>
            </w:r>
          </w:p>
        </w:tc>
      </w:tr>
      <w:tr>
        <w:tblPrEx>
          <w:tblCellMar>
            <w:top w:w="0" w:type="dxa"/>
            <w:left w:w="108" w:type="dxa"/>
            <w:bottom w:w="0" w:type="dxa"/>
            <w:right w:w="108" w:type="dxa"/>
          </w:tblCellMar>
        </w:tblPrEx>
        <w:trPr>
          <w:trHeight w:val="474"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8202"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管理好辖区田间路、桥、一二级河道的管理</w:t>
            </w:r>
          </w:p>
        </w:tc>
      </w:tr>
      <w:tr>
        <w:tblPrEx>
          <w:tblCellMar>
            <w:top w:w="0" w:type="dxa"/>
            <w:left w:w="108" w:type="dxa"/>
            <w:bottom w:w="0" w:type="dxa"/>
            <w:right w:w="108" w:type="dxa"/>
          </w:tblCellMar>
        </w:tblPrEx>
        <w:trPr>
          <w:trHeight w:val="5561" w:hRule="atLeast"/>
        </w:trPr>
        <w:tc>
          <w:tcPr>
            <w:tcW w:w="1418" w:type="dxa"/>
            <w:tcBorders>
              <w:top w:val="single" w:color="auto" w:sz="6" w:space="0"/>
              <w:left w:val="single" w:color="auto" w:sz="4" w:space="0"/>
              <w:bottom w:val="single" w:color="auto" w:sz="6" w:space="0"/>
              <w:right w:val="single" w:color="auto" w:sz="6" w:space="0"/>
            </w:tcBorders>
          </w:tcPr>
          <w:p>
            <w:pPr>
              <w:widowControl/>
              <w:jc w:val="left"/>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8202" w:type="dxa"/>
            <w:gridSpan w:val="2"/>
            <w:tcBorders>
              <w:top w:val="single" w:color="auto" w:sz="6" w:space="0"/>
              <w:left w:val="single" w:color="auto" w:sz="6" w:space="0"/>
              <w:bottom w:val="single" w:color="auto" w:sz="6" w:space="0"/>
              <w:right w:val="single" w:color="auto" w:sz="4" w:space="0"/>
            </w:tcBorders>
          </w:tcPr>
          <w:p>
            <w:pPr>
              <w:jc w:val="left"/>
              <w:rPr>
                <w:rFonts w:ascii="仿宋" w:hAnsi="仿宋" w:eastAsia="仿宋" w:cs="Times New Roman"/>
                <w:sz w:val="18"/>
                <w:szCs w:val="18"/>
              </w:rPr>
            </w:pPr>
          </w:p>
          <w:p>
            <w:pPr>
              <w:jc w:val="left"/>
              <w:rPr>
                <w:rFonts w:ascii="仿宋" w:hAnsi="仿宋" w:eastAsia="仿宋" w:cs="Times New Roman"/>
                <w:sz w:val="18"/>
                <w:szCs w:val="18"/>
              </w:rPr>
            </w:pPr>
          </w:p>
          <w:p>
            <w:pPr>
              <w:jc w:val="left"/>
              <w:rPr>
                <w:rFonts w:ascii="仿宋" w:hAnsi="仿宋" w:eastAsia="仿宋" w:cs="Times New Roman"/>
                <w:sz w:val="18"/>
                <w:szCs w:val="18"/>
              </w:rPr>
            </w:pPr>
          </w:p>
          <w:p>
            <w:pPr>
              <w:jc w:val="left"/>
              <w:rPr>
                <w:rFonts w:ascii="仿宋" w:hAnsi="仿宋" w:eastAsia="仿宋" w:cs="Times New Roman"/>
                <w:sz w:val="18"/>
                <w:szCs w:val="18"/>
              </w:rPr>
            </w:pPr>
            <w:r>
              <w:rPr>
                <w:rFonts w:hint="eastAsia" w:ascii="仿宋" w:hAnsi="仿宋" w:eastAsia="仿宋" w:cs="仿宋"/>
                <w:sz w:val="18"/>
                <w:szCs w:val="18"/>
              </w:rPr>
              <w:t>《</w:t>
            </w:r>
            <w:r>
              <w:fldChar w:fldCharType="begin"/>
            </w:r>
            <w:r>
              <w:instrText xml:space="preserve"> HYPERLINK "https://baike.baidu.com/item/%E4%B8%AD%E5%8D%8E%E4%BA%BA%E6%B0%91%E5%85%B1%E5%92%8C%E5%9B%BD%E6%B0%B4%E6%B3%95/720080" \t "_blank" </w:instrText>
            </w:r>
            <w:r>
              <w:fldChar w:fldCharType="separate"/>
            </w:r>
            <w:r>
              <w:rPr>
                <w:rFonts w:hint="eastAsia" w:ascii="仿宋" w:hAnsi="仿宋" w:eastAsia="仿宋" w:cs="仿宋"/>
                <w:sz w:val="18"/>
                <w:szCs w:val="18"/>
              </w:rPr>
              <w:t>中华人民共和国水法</w:t>
            </w:r>
            <w:r>
              <w:rPr>
                <w:rFonts w:hint="eastAsia" w:ascii="仿宋" w:hAnsi="仿宋" w:eastAsia="仿宋" w:cs="仿宋"/>
                <w:sz w:val="18"/>
                <w:szCs w:val="18"/>
              </w:rPr>
              <w:fldChar w:fldCharType="end"/>
            </w:r>
            <w:r>
              <w:rPr>
                <w:rFonts w:hint="eastAsia" w:ascii="仿宋" w:hAnsi="仿宋" w:eastAsia="仿宋" w:cs="仿宋"/>
                <w:sz w:val="18"/>
                <w:szCs w:val="18"/>
              </w:rPr>
              <w:t>》第二十五条　地方各级人民政府应当加强对灌溉、排涝、水土保持工作的领导，促进农业生产发展；在容易发生盐碱化和渍害的地区，应当采取措施，控制和降低地下水的水位。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p>
            <w:pPr>
              <w:jc w:val="left"/>
              <w:rPr>
                <w:rFonts w:ascii="仿宋" w:hAnsi="仿宋" w:eastAsia="仿宋" w:cs="Times New Roman"/>
                <w:sz w:val="18"/>
                <w:szCs w:val="18"/>
              </w:rPr>
            </w:pPr>
            <w:r>
              <w:rPr>
                <w:rFonts w:hint="eastAsia" w:ascii="仿宋" w:hAnsi="仿宋" w:eastAsia="仿宋" w:cs="仿宋"/>
                <w:sz w:val="18"/>
                <w:szCs w:val="18"/>
              </w:rPr>
              <w:t>第三十五条　从事工程建设，占用农业灌溉水源、灌排工程设施，或者对原有灌溉用水、供水水源有不利影响的，建设单位应当采取相应的补救措施；造成损失的，依法给予补偿</w:t>
            </w:r>
          </w:p>
          <w:p>
            <w:pPr>
              <w:jc w:val="left"/>
              <w:rPr>
                <w:rFonts w:ascii="仿宋" w:hAnsi="仿宋" w:eastAsia="仿宋" w:cs="Times New Roman"/>
                <w:kern w:val="0"/>
                <w:sz w:val="18"/>
                <w:szCs w:val="18"/>
              </w:rPr>
            </w:pPr>
            <w:r>
              <w:rPr>
                <w:rFonts w:hint="eastAsia" w:ascii="仿宋" w:hAnsi="仿宋" w:eastAsia="仿宋" w:cs="仿宋"/>
                <w:sz w:val="18"/>
                <w:szCs w:val="18"/>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因建设前款工程设施，需要扩建、改建、拆除或者损坏原有水工程设施的，建设单位应当负担扩建、改建的费用和损失补偿。但是，原有工程设施属于违法工程的除外。</w:t>
            </w:r>
          </w:p>
        </w:tc>
      </w:tr>
      <w:tr>
        <w:tblPrEx>
          <w:tblCellMar>
            <w:top w:w="0" w:type="dxa"/>
            <w:left w:w="108" w:type="dxa"/>
            <w:bottom w:w="0" w:type="dxa"/>
            <w:right w:w="108" w:type="dxa"/>
          </w:tblCellMar>
        </w:tblPrEx>
        <w:trPr>
          <w:trHeight w:val="423"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8202"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44"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8202"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街道权限（勘察分析上报）</w:t>
            </w:r>
          </w:p>
        </w:tc>
      </w:tr>
      <w:tr>
        <w:tblPrEx>
          <w:tblCellMar>
            <w:top w:w="0" w:type="dxa"/>
            <w:left w:w="108" w:type="dxa"/>
            <w:bottom w:w="0" w:type="dxa"/>
            <w:right w:w="108" w:type="dxa"/>
          </w:tblCellMar>
        </w:tblPrEx>
        <w:trPr>
          <w:trHeight w:val="429"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8202"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勘察</w:t>
            </w:r>
            <w:r>
              <w:rPr>
                <w:rFonts w:ascii="仿宋" w:hAnsi="仿宋" w:eastAsia="仿宋" w:cs="仿宋"/>
                <w:sz w:val="24"/>
                <w:szCs w:val="24"/>
              </w:rPr>
              <w:t>—</w:t>
            </w:r>
            <w:r>
              <w:rPr>
                <w:rFonts w:hint="eastAsia" w:ascii="仿宋" w:hAnsi="仿宋" w:eastAsia="仿宋" w:cs="仿宋"/>
                <w:sz w:val="24"/>
                <w:szCs w:val="24"/>
              </w:rPr>
              <w:t>上报</w:t>
            </w:r>
          </w:p>
        </w:tc>
      </w:tr>
      <w:tr>
        <w:tblPrEx>
          <w:tblCellMar>
            <w:top w:w="0" w:type="dxa"/>
            <w:left w:w="108" w:type="dxa"/>
            <w:bottom w:w="0" w:type="dxa"/>
            <w:right w:w="108" w:type="dxa"/>
          </w:tblCellMar>
        </w:tblPrEx>
        <w:trPr>
          <w:trHeight w:val="399"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8202"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hint="eastAsia" w:ascii="仿宋" w:hAnsi="仿宋" w:eastAsia="仿宋" w:cs="仿宋"/>
                <w:kern w:val="0"/>
                <w:sz w:val="18"/>
                <w:szCs w:val="18"/>
              </w:rPr>
              <w:t>无</w:t>
            </w:r>
          </w:p>
        </w:tc>
      </w:tr>
      <w:tr>
        <w:tblPrEx>
          <w:tblCellMar>
            <w:top w:w="0" w:type="dxa"/>
            <w:left w:w="108" w:type="dxa"/>
            <w:bottom w:w="0" w:type="dxa"/>
            <w:right w:w="108" w:type="dxa"/>
          </w:tblCellMar>
        </w:tblPrEx>
        <w:trPr>
          <w:trHeight w:val="378" w:hRule="atLeast"/>
        </w:trPr>
        <w:tc>
          <w:tcPr>
            <w:tcW w:w="141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8202" w:type="dxa"/>
            <w:gridSpan w:val="2"/>
            <w:tcBorders>
              <w:top w:val="single" w:color="auto" w:sz="6" w:space="0"/>
              <w:left w:val="single" w:color="auto" w:sz="6" w:space="0"/>
              <w:bottom w:val="single" w:color="auto" w:sz="6" w:space="0"/>
              <w:right w:val="single" w:color="auto" w:sz="4" w:space="0"/>
            </w:tcBorders>
          </w:tcPr>
          <w:p>
            <w:pPr>
              <w:pStyle w:val="12"/>
              <w:ind w:firstLine="0" w:firstLineChars="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规划辖区内田间公路、运输桥的维护、新建申报。</w:t>
            </w:r>
          </w:p>
          <w:p>
            <w:pPr>
              <w:pStyle w:val="12"/>
              <w:ind w:firstLine="0" w:firstLineChars="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做好辖区内一、二级河道的巡查，汛期检查，发现问题及时向上级部门汇报。</w:t>
            </w:r>
          </w:p>
        </w:tc>
      </w:tr>
      <w:tr>
        <w:tblPrEx>
          <w:tblCellMar>
            <w:top w:w="0" w:type="dxa"/>
            <w:left w:w="108" w:type="dxa"/>
            <w:bottom w:w="0" w:type="dxa"/>
            <w:right w:w="108" w:type="dxa"/>
          </w:tblCellMar>
        </w:tblPrEx>
        <w:trPr>
          <w:trHeight w:val="1024" w:hRule="atLeast"/>
        </w:trPr>
        <w:tc>
          <w:tcPr>
            <w:tcW w:w="141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8202"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656"/>
        <w:gridCol w:w="7262"/>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黑体" w:hAnsi="黑体" w:eastAsia="黑体" w:cs="Times New Roman"/>
                <w:kern w:val="0"/>
                <w:sz w:val="28"/>
                <w:szCs w:val="28"/>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Times New Roman"/>
                <w:sz w:val="28"/>
                <w:szCs w:val="28"/>
              </w:rPr>
            </w:pPr>
            <w:r>
              <w:rPr>
                <w:rFonts w:hint="eastAsia" w:ascii="黑体" w:hAnsi="黑体" w:eastAsia="黑体" w:cs="黑体"/>
                <w:kern w:val="0"/>
                <w:sz w:val="28"/>
                <w:szCs w:val="28"/>
                <w:u w:val="single"/>
              </w:rPr>
              <w:t>（</w:t>
            </w:r>
            <w:r>
              <w:rPr>
                <w:rFonts w:hint="eastAsia" w:ascii="仿宋" w:hAnsi="仿宋" w:eastAsia="仿宋" w:cs="仿宋"/>
                <w:sz w:val="28"/>
                <w:szCs w:val="28"/>
              </w:rPr>
              <w:t>对个别农户之间承包的耕地和草地适当调整、</w:t>
            </w:r>
          </w:p>
          <w:p>
            <w:pPr>
              <w:widowControl/>
              <w:jc w:val="center"/>
              <w:rPr>
                <w:rFonts w:ascii="黑体" w:hAnsi="黑体" w:eastAsia="黑体" w:cs="Times New Roman"/>
                <w:kern w:val="0"/>
                <w:sz w:val="28"/>
                <w:szCs w:val="28"/>
                <w:u w:val="single"/>
              </w:rPr>
            </w:pPr>
            <w:r>
              <w:rPr>
                <w:rFonts w:hint="eastAsia" w:ascii="仿宋" w:hAnsi="仿宋" w:eastAsia="仿宋" w:cs="仿宋"/>
                <w:sz w:val="28"/>
                <w:szCs w:val="28"/>
              </w:rPr>
              <w:t>本集体经济组织以外的单位和个人承包农村土地的批准</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656"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262"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3.1</w:t>
            </w:r>
          </w:p>
        </w:tc>
      </w:tr>
      <w:tr>
        <w:tblPrEx>
          <w:tblCellMar>
            <w:top w:w="0" w:type="dxa"/>
            <w:left w:w="108" w:type="dxa"/>
            <w:bottom w:w="0" w:type="dxa"/>
            <w:right w:w="108" w:type="dxa"/>
          </w:tblCellMar>
        </w:tblPrEx>
        <w:trPr>
          <w:gridAfter w:val="1"/>
          <w:wAfter w:w="702" w:type="dxa"/>
          <w:trHeight w:val="720"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对个别农户之间承包的耕地和草地适当调整、本集体经济组织以外的单位和个人承包农村土地的批准</w:t>
            </w:r>
          </w:p>
        </w:tc>
      </w:tr>
      <w:tr>
        <w:tblPrEx>
          <w:tblCellMar>
            <w:top w:w="0" w:type="dxa"/>
            <w:left w:w="108" w:type="dxa"/>
            <w:bottom w:w="0" w:type="dxa"/>
            <w:right w:w="108" w:type="dxa"/>
          </w:tblCellMar>
        </w:tblPrEx>
        <w:trPr>
          <w:gridAfter w:val="1"/>
          <w:wAfter w:w="702" w:type="dxa"/>
          <w:trHeight w:val="595"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18"/>
                <w:szCs w:val="18"/>
              </w:rPr>
              <w:t>《中华人民共和国农村土地承包法》第二十七条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第四十八条发包方将农村土地发包给本集体经济组织以外的单位或者个人承包，应当事先经本集体经济组织成员的村民会议三分之二以上成员或者三分之二以上村民代表的同意，并报乡（镇）人民政府批准。</w:t>
            </w:r>
          </w:p>
        </w:tc>
      </w:tr>
      <w:tr>
        <w:tblPrEx>
          <w:tblCellMar>
            <w:top w:w="0" w:type="dxa"/>
            <w:left w:w="108" w:type="dxa"/>
            <w:bottom w:w="0" w:type="dxa"/>
            <w:right w:w="108" w:type="dxa"/>
          </w:tblCellMar>
        </w:tblPrEx>
        <w:trPr>
          <w:gridAfter w:val="1"/>
          <w:wAfter w:w="702" w:type="dxa"/>
          <w:trHeight w:val="1131"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848"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街道权限（核实上报）</w:t>
            </w:r>
          </w:p>
        </w:tc>
      </w:tr>
      <w:tr>
        <w:tblPrEx>
          <w:tblCellMar>
            <w:top w:w="0" w:type="dxa"/>
            <w:left w:w="108" w:type="dxa"/>
            <w:bottom w:w="0" w:type="dxa"/>
            <w:right w:w="108" w:type="dxa"/>
          </w:tblCellMar>
        </w:tblPrEx>
        <w:trPr>
          <w:gridAfter w:val="1"/>
          <w:wAfter w:w="702" w:type="dxa"/>
          <w:trHeight w:val="810"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提出申请经本集体经济组织成员的村民会议三分之二以上成员或者三分之二以上村民代表的同意。</w:t>
            </w:r>
          </w:p>
          <w:p>
            <w:pPr>
              <w:widowControl/>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将申请材料报送街农服中心办理。</w:t>
            </w:r>
          </w:p>
          <w:p>
            <w:pPr>
              <w:widowControl/>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街农服中心办理批准。</w:t>
            </w:r>
          </w:p>
        </w:tc>
      </w:tr>
      <w:tr>
        <w:tblPrEx>
          <w:tblCellMar>
            <w:top w:w="0" w:type="dxa"/>
            <w:left w:w="108" w:type="dxa"/>
            <w:bottom w:w="0" w:type="dxa"/>
            <w:right w:w="108" w:type="dxa"/>
          </w:tblCellMar>
        </w:tblPrEx>
        <w:trPr>
          <w:gridAfter w:val="1"/>
          <w:wAfter w:w="702" w:type="dxa"/>
          <w:trHeight w:val="933"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农村土地承包经营权证。</w:t>
            </w:r>
          </w:p>
          <w:p>
            <w:pPr>
              <w:widowControl/>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村民会议或村民代表会议记录。</w:t>
            </w:r>
          </w:p>
          <w:p>
            <w:pPr>
              <w:widowControl/>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承包方资信和经营情况材料。</w:t>
            </w:r>
          </w:p>
        </w:tc>
      </w:tr>
      <w:tr>
        <w:tblPrEx>
          <w:tblCellMar>
            <w:top w:w="0" w:type="dxa"/>
            <w:left w:w="108" w:type="dxa"/>
            <w:bottom w:w="0" w:type="dxa"/>
            <w:right w:w="108" w:type="dxa"/>
          </w:tblCellMar>
        </w:tblPrEx>
        <w:trPr>
          <w:gridAfter w:val="1"/>
          <w:wAfter w:w="702" w:type="dxa"/>
          <w:trHeight w:val="918" w:hRule="atLeast"/>
        </w:trPr>
        <w:tc>
          <w:tcPr>
            <w:tcW w:w="165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262"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　告知办理事项所需证明及办理地点</w:t>
            </w:r>
          </w:p>
        </w:tc>
      </w:tr>
      <w:tr>
        <w:tblPrEx>
          <w:tblCellMar>
            <w:top w:w="0" w:type="dxa"/>
            <w:left w:w="108" w:type="dxa"/>
            <w:bottom w:w="0" w:type="dxa"/>
            <w:right w:w="108" w:type="dxa"/>
          </w:tblCellMar>
        </w:tblPrEx>
        <w:trPr>
          <w:gridAfter w:val="1"/>
          <w:wAfter w:w="702" w:type="dxa"/>
          <w:trHeight w:val="579" w:hRule="atLeast"/>
        </w:trPr>
        <w:tc>
          <w:tcPr>
            <w:tcW w:w="165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262"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521"/>
        <w:gridCol w:w="240"/>
        <w:gridCol w:w="30"/>
        <w:gridCol w:w="7127"/>
        <w:gridCol w:w="702"/>
      </w:tblGrid>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r>
              <w:rPr>
                <w:rFonts w:hint="eastAsia" w:ascii="方正小标宋简体" w:hAnsi="宋体" w:eastAsia="方正小标宋简体" w:cs="方正小标宋简体"/>
                <w:kern w:val="0"/>
                <w:sz w:val="44"/>
                <w:szCs w:val="44"/>
              </w:rPr>
              <w:t>职责事项信息表</w:t>
            </w:r>
          </w:p>
          <w:p>
            <w:pPr>
              <w:widowControl/>
              <w:jc w:val="center"/>
              <w:rPr>
                <w:rFonts w:ascii="仿宋" w:hAnsi="仿宋" w:eastAsia="仿宋" w:cs="Times New Roman"/>
                <w:sz w:val="28"/>
                <w:szCs w:val="28"/>
              </w:rPr>
            </w:pPr>
            <w:r>
              <w:rPr>
                <w:rFonts w:hint="eastAsia" w:ascii="仿宋" w:hAnsi="仿宋" w:eastAsia="仿宋" w:cs="仿宋"/>
                <w:sz w:val="28"/>
                <w:szCs w:val="28"/>
              </w:rPr>
              <w:t>（对家庭承包或招标、拍卖、公开协商等方式承包</w:t>
            </w:r>
          </w:p>
          <w:p>
            <w:pPr>
              <w:widowControl/>
              <w:jc w:val="center"/>
              <w:rPr>
                <w:rFonts w:ascii="黑体" w:hAnsi="黑体" w:eastAsia="黑体" w:cs="Times New Roman"/>
                <w:kern w:val="0"/>
                <w:sz w:val="28"/>
                <w:szCs w:val="28"/>
                <w:u w:val="single"/>
              </w:rPr>
            </w:pPr>
            <w:r>
              <w:rPr>
                <w:rFonts w:hint="eastAsia" w:ascii="仿宋" w:hAnsi="仿宋" w:eastAsia="仿宋" w:cs="仿宋"/>
                <w:sz w:val="28"/>
                <w:szCs w:val="28"/>
              </w:rPr>
              <w:t>农村土地申请办理农村土地承包经营权证的初审）</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52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397" w:type="dxa"/>
            <w:gridSpan w:val="3"/>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3.2</w:t>
            </w:r>
          </w:p>
        </w:tc>
      </w:tr>
      <w:tr>
        <w:tblPrEx>
          <w:tblCellMar>
            <w:top w:w="0" w:type="dxa"/>
            <w:left w:w="108" w:type="dxa"/>
            <w:bottom w:w="0" w:type="dxa"/>
            <w:right w:w="108" w:type="dxa"/>
          </w:tblCellMar>
        </w:tblPrEx>
        <w:trPr>
          <w:gridAfter w:val="1"/>
          <w:wAfter w:w="702" w:type="dxa"/>
          <w:trHeight w:val="720"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对家庭承包或招标、拍卖、公开协商等方式承包农村土地申请办理农村土地承包经营权证的初审</w:t>
            </w:r>
          </w:p>
        </w:tc>
      </w:tr>
      <w:tr>
        <w:tblPrEx>
          <w:tblCellMar>
            <w:top w:w="0" w:type="dxa"/>
            <w:left w:w="108" w:type="dxa"/>
            <w:bottom w:w="0" w:type="dxa"/>
            <w:right w:w="108" w:type="dxa"/>
          </w:tblCellMar>
        </w:tblPrEx>
        <w:trPr>
          <w:gridAfter w:val="1"/>
          <w:wAfter w:w="702" w:type="dxa"/>
          <w:trHeight w:val="880"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《中华人民共和国农村土地承包经营权证管理办法》（</w:t>
            </w:r>
            <w:r>
              <w:rPr>
                <w:rFonts w:ascii="仿宋" w:hAnsi="仿宋" w:eastAsia="仿宋" w:cs="仿宋"/>
                <w:kern w:val="2"/>
                <w:sz w:val="18"/>
                <w:szCs w:val="18"/>
              </w:rPr>
              <w:t>2005</w:t>
            </w:r>
            <w:r>
              <w:rPr>
                <w:rFonts w:hint="eastAsia" w:ascii="仿宋" w:hAnsi="仿宋" w:eastAsia="仿宋" w:cs="仿宋"/>
                <w:kern w:val="2"/>
                <w:sz w:val="18"/>
                <w:szCs w:val="18"/>
              </w:rPr>
              <w:t>年农业部令第</w:t>
            </w:r>
            <w:r>
              <w:rPr>
                <w:rFonts w:ascii="仿宋" w:hAnsi="仿宋" w:eastAsia="仿宋" w:cs="仿宋"/>
                <w:kern w:val="2"/>
                <w:sz w:val="18"/>
                <w:szCs w:val="18"/>
              </w:rPr>
              <w:t>47</w:t>
            </w:r>
            <w:r>
              <w:rPr>
                <w:rFonts w:hint="eastAsia" w:ascii="仿宋" w:hAnsi="仿宋" w:eastAsia="仿宋" w:cs="仿宋"/>
                <w:kern w:val="2"/>
                <w:sz w:val="18"/>
                <w:szCs w:val="18"/>
              </w:rPr>
              <w:t>号）第七条实行家庭承包的，按下列程序颁发农村土地承包经营权证：</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（一）土地承包合同生效后，发包方应在</w:t>
            </w:r>
            <w:r>
              <w:rPr>
                <w:rFonts w:ascii="仿宋" w:hAnsi="仿宋" w:eastAsia="仿宋" w:cs="仿宋"/>
                <w:kern w:val="2"/>
                <w:sz w:val="18"/>
                <w:szCs w:val="18"/>
              </w:rPr>
              <w:t>30</w:t>
            </w:r>
            <w:r>
              <w:rPr>
                <w:rFonts w:hint="eastAsia" w:ascii="仿宋" w:hAnsi="仿宋" w:eastAsia="仿宋" w:cs="仿宋"/>
                <w:kern w:val="2"/>
                <w:sz w:val="18"/>
                <w:szCs w:val="18"/>
              </w:rPr>
              <w:t>个工作日内，将土地承包方案、承包方及承包土地的详细情况、土地承包合同等材料一式两份报乡（镇）人民政府农村经营管理部门。</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二）乡（镇）人民政府农村经营管理部门对发包方报送的材料予以初审。材料符合规定的，及时登记造册，由乡（镇）人民政府向县级以上地方人民政府提出颁发农村土地承包经营权证的书面申请；材料不符合规定的，应在</w:t>
            </w:r>
            <w:r>
              <w:rPr>
                <w:rFonts w:ascii="仿宋" w:hAnsi="仿宋" w:eastAsia="仿宋" w:cs="仿宋"/>
                <w:kern w:val="2"/>
                <w:sz w:val="18"/>
                <w:szCs w:val="18"/>
              </w:rPr>
              <w:t>15</w:t>
            </w:r>
            <w:r>
              <w:rPr>
                <w:rFonts w:hint="eastAsia" w:ascii="仿宋" w:hAnsi="仿宋" w:eastAsia="仿宋" w:cs="仿宋"/>
                <w:kern w:val="2"/>
                <w:sz w:val="18"/>
                <w:szCs w:val="18"/>
              </w:rPr>
              <w:t>个工作日内补正。</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第八条</w:t>
            </w:r>
            <w:r>
              <w:rPr>
                <w:rFonts w:ascii="仿宋" w:hAnsi="仿宋" w:eastAsia="仿宋" w:cs="仿宋"/>
                <w:kern w:val="2"/>
                <w:sz w:val="18"/>
                <w:szCs w:val="18"/>
              </w:rPr>
              <w:t xml:space="preserve"> </w:t>
            </w:r>
            <w:r>
              <w:rPr>
                <w:rFonts w:hint="eastAsia" w:ascii="仿宋" w:hAnsi="仿宋" w:eastAsia="仿宋" w:cs="仿宋"/>
                <w:kern w:val="2"/>
                <w:sz w:val="18"/>
                <w:szCs w:val="18"/>
              </w:rPr>
              <w:t>实行招标、拍卖、公开协商等方式承包农村土地的，按下列程序办理农村土地承包经营权证：</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（一）土地承包合同生效后，承包方填写农村土地承包经营权证登记申请书，报承包土地所在乡（镇）人民政府农村经营管理部门。</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（二）乡（镇）人民政府农村经营管理部门对发包方和承包方的资格、发包程序、承包期限、承包地用途等予以初审，并在农村土地承包经营权证登记申请书上签署初审意见。</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仿宋"/>
                <w:kern w:val="2"/>
                <w:sz w:val="18"/>
                <w:szCs w:val="18"/>
              </w:rPr>
            </w:pPr>
            <w:r>
              <w:rPr>
                <w:rFonts w:hint="eastAsia" w:ascii="仿宋" w:hAnsi="仿宋" w:eastAsia="仿宋" w:cs="仿宋"/>
                <w:kern w:val="2"/>
                <w:sz w:val="18"/>
                <w:szCs w:val="18"/>
              </w:rPr>
              <w:t>（三）承包方持乡（镇）人民政府初审通过的农村土地承包经营权登记申请书，向县级以上地方人民政府申请农村土地承包经营权证登记。</w:t>
            </w:r>
            <w:r>
              <w:rPr>
                <w:rFonts w:ascii="仿宋" w:hAnsi="仿宋" w:eastAsia="仿宋" w:cs="仿宋"/>
                <w:kern w:val="2"/>
                <w:sz w:val="18"/>
                <w:szCs w:val="18"/>
              </w:rPr>
              <w:t xml:space="preserve"> </w:t>
            </w:r>
          </w:p>
          <w:p>
            <w:pPr>
              <w:pStyle w:val="6"/>
              <w:spacing w:before="90" w:beforeAutospacing="0" w:after="0" w:afterAutospacing="0" w:line="300" w:lineRule="atLeast"/>
              <w:ind w:right="45"/>
              <w:rPr>
                <w:rFonts w:ascii="仿宋" w:hAnsi="仿宋" w:eastAsia="仿宋" w:cs="Times New Roman"/>
                <w:kern w:val="2"/>
              </w:rPr>
            </w:pPr>
            <w:r>
              <w:rPr>
                <w:rFonts w:hint="eastAsia" w:ascii="仿宋" w:hAnsi="仿宋" w:eastAsia="仿宋" w:cs="仿宋"/>
                <w:kern w:val="2"/>
                <w:sz w:val="18"/>
                <w:szCs w:val="18"/>
              </w:rPr>
              <w:t>（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Fonts w:ascii="仿宋" w:hAnsi="仿宋" w:eastAsia="仿宋" w:cs="仿宋"/>
                <w:kern w:val="2"/>
                <w:sz w:val="18"/>
                <w:szCs w:val="18"/>
              </w:rPr>
              <w:t xml:space="preserve"> </w:t>
            </w:r>
          </w:p>
        </w:tc>
      </w:tr>
      <w:tr>
        <w:tblPrEx>
          <w:tblCellMar>
            <w:top w:w="0" w:type="dxa"/>
            <w:left w:w="108" w:type="dxa"/>
            <w:bottom w:w="0" w:type="dxa"/>
            <w:right w:w="108" w:type="dxa"/>
          </w:tblCellMar>
        </w:tblPrEx>
        <w:trPr>
          <w:gridAfter w:val="1"/>
          <w:wAfter w:w="702" w:type="dxa"/>
          <w:trHeight w:val="726"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533"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街道权限（核实上报）</w:t>
            </w:r>
          </w:p>
        </w:tc>
      </w:tr>
      <w:tr>
        <w:tblPrEx>
          <w:tblCellMar>
            <w:top w:w="0" w:type="dxa"/>
            <w:left w:w="108" w:type="dxa"/>
            <w:bottom w:w="0" w:type="dxa"/>
            <w:right w:w="108" w:type="dxa"/>
          </w:tblCellMar>
        </w:tblPrEx>
        <w:trPr>
          <w:gridAfter w:val="1"/>
          <w:wAfter w:w="702" w:type="dxa"/>
          <w:trHeight w:val="810"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rPr>
            </w:pPr>
            <w:r>
              <w:rPr>
                <w:rFonts w:hint="eastAsia" w:ascii="仿宋" w:hAnsi="仿宋" w:eastAsia="仿宋" w:cs="仿宋"/>
                <w:sz w:val="24"/>
                <w:szCs w:val="24"/>
              </w:rPr>
              <w:t>　</w:t>
            </w:r>
            <w:r>
              <w:rPr>
                <w:rFonts w:hint="eastAsia" w:ascii="仿宋" w:hAnsi="仿宋" w:eastAsia="仿宋" w:cs="仿宋"/>
              </w:rPr>
              <w:t>实行家庭承包：</w:t>
            </w:r>
          </w:p>
          <w:p>
            <w:pPr>
              <w:widowControl/>
              <w:jc w:val="left"/>
              <w:rPr>
                <w:rFonts w:ascii="仿宋" w:hAnsi="仿宋" w:eastAsia="仿宋" w:cs="Times New Roman"/>
              </w:rPr>
            </w:pPr>
            <w:r>
              <w:rPr>
                <w:rFonts w:hint="eastAsia" w:ascii="仿宋" w:hAnsi="仿宋" w:eastAsia="仿宋" w:cs="仿宋"/>
              </w:rPr>
              <w:t>（一）土地承包合同生效后，发包方在</w:t>
            </w:r>
            <w:r>
              <w:rPr>
                <w:rFonts w:ascii="仿宋" w:hAnsi="仿宋" w:eastAsia="仿宋" w:cs="仿宋"/>
              </w:rPr>
              <w:t>30</w:t>
            </w:r>
            <w:r>
              <w:rPr>
                <w:rFonts w:hint="eastAsia" w:ascii="仿宋" w:hAnsi="仿宋" w:eastAsia="仿宋" w:cs="仿宋"/>
              </w:rPr>
              <w:t>个工作日内，将土地承包方案、承包方及承包土地的详细情况、农村集体土地家庭承包合同等材料一式两份报街农服中心。</w:t>
            </w:r>
          </w:p>
          <w:p>
            <w:pPr>
              <w:widowControl/>
              <w:jc w:val="left"/>
              <w:rPr>
                <w:rFonts w:ascii="仿宋" w:hAnsi="仿宋" w:eastAsia="仿宋" w:cs="Times New Roman"/>
              </w:rPr>
            </w:pPr>
            <w:r>
              <w:rPr>
                <w:rFonts w:hint="eastAsia" w:ascii="仿宋" w:hAnsi="仿宋" w:eastAsia="仿宋" w:cs="仿宋"/>
              </w:rPr>
              <w:t>（二）街农服中心对发包方报送的材料予以初审。材料符合规定的，登记造册，由街道办事处向新区人民政府提出颁发农村土地承包经营权证的书面申请；材料不符合规定的，应在</w:t>
            </w:r>
            <w:r>
              <w:rPr>
                <w:rFonts w:ascii="仿宋" w:hAnsi="仿宋" w:eastAsia="仿宋" w:cs="仿宋"/>
              </w:rPr>
              <w:t>15</w:t>
            </w:r>
            <w:r>
              <w:rPr>
                <w:rFonts w:hint="eastAsia" w:ascii="仿宋" w:hAnsi="仿宋" w:eastAsia="仿宋" w:cs="仿宋"/>
              </w:rPr>
              <w:t>个工作日内补正。</w:t>
            </w:r>
          </w:p>
          <w:p>
            <w:pPr>
              <w:widowControl/>
              <w:jc w:val="left"/>
              <w:rPr>
                <w:rFonts w:ascii="仿宋" w:hAnsi="仿宋" w:eastAsia="仿宋" w:cs="Times New Roman"/>
              </w:rPr>
            </w:pPr>
            <w:r>
              <w:rPr>
                <w:rFonts w:hint="eastAsia" w:ascii="仿宋" w:hAnsi="仿宋" w:eastAsia="仿宋" w:cs="仿宋"/>
              </w:rPr>
              <w:t>实行招标、拍卖、公开协商等方式承包农村土地：</w:t>
            </w:r>
          </w:p>
          <w:p>
            <w:pPr>
              <w:widowControl/>
              <w:jc w:val="left"/>
              <w:rPr>
                <w:rFonts w:ascii="仿宋" w:hAnsi="仿宋" w:eastAsia="仿宋" w:cs="Times New Roman"/>
              </w:rPr>
            </w:pPr>
            <w:r>
              <w:rPr>
                <w:rFonts w:hint="eastAsia" w:ascii="仿宋" w:hAnsi="仿宋" w:eastAsia="仿宋" w:cs="仿宋"/>
              </w:rPr>
              <w:t>（一）土地承包合同生效后，承包方填写农村土地承包经营权证登记申请书，街农服中心。</w:t>
            </w:r>
          </w:p>
          <w:p>
            <w:pPr>
              <w:widowControl/>
              <w:jc w:val="left"/>
              <w:rPr>
                <w:rFonts w:ascii="仿宋" w:hAnsi="仿宋" w:eastAsia="仿宋" w:cs="Times New Roman"/>
              </w:rPr>
            </w:pPr>
            <w:r>
              <w:rPr>
                <w:rFonts w:hint="eastAsia" w:ascii="仿宋" w:hAnsi="仿宋" w:eastAsia="仿宋" w:cs="仿宋"/>
              </w:rPr>
              <w:t>（二）街农服中心对发包方和承包方的资格、发包程序、承包期限、承包地用途等予以初审，并在农村土地承包经营权证登记申请书上签署初审意见。</w:t>
            </w:r>
          </w:p>
          <w:p>
            <w:pPr>
              <w:widowControl/>
              <w:jc w:val="left"/>
              <w:rPr>
                <w:rFonts w:ascii="仿宋" w:hAnsi="仿宋" w:eastAsia="仿宋" w:cs="Times New Roman"/>
                <w:sz w:val="24"/>
                <w:szCs w:val="24"/>
              </w:rPr>
            </w:pPr>
            <w:r>
              <w:rPr>
                <w:rFonts w:hint="eastAsia" w:ascii="仿宋" w:hAnsi="仿宋" w:eastAsia="仿宋" w:cs="仿宋"/>
              </w:rPr>
              <w:t>（三）承包方持街道办事处初审通过的农村土地承包经营权登记申请书，向区人民政府申请农村土地承包经营权证登记。</w:t>
            </w:r>
          </w:p>
        </w:tc>
      </w:tr>
      <w:tr>
        <w:tblPrEx>
          <w:tblCellMar>
            <w:top w:w="0" w:type="dxa"/>
            <w:left w:w="108" w:type="dxa"/>
            <w:bottom w:w="0" w:type="dxa"/>
            <w:right w:w="108" w:type="dxa"/>
          </w:tblCellMar>
        </w:tblPrEx>
        <w:trPr>
          <w:gridAfter w:val="1"/>
          <w:wAfter w:w="702" w:type="dxa"/>
          <w:trHeight w:val="1128"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、土地承包方案</w:t>
            </w:r>
          </w:p>
          <w:p>
            <w:pPr>
              <w:widowControl/>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、承包方及承包土地的详细情况</w:t>
            </w:r>
          </w:p>
          <w:p>
            <w:pPr>
              <w:widowControl/>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、农村集体土地家庭承包合同</w:t>
            </w:r>
          </w:p>
          <w:p>
            <w:pPr>
              <w:widowControl/>
              <w:jc w:val="lef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、农村土地承包经营权证登记申请书</w:t>
            </w:r>
            <w:r>
              <w:rPr>
                <w:rFonts w:ascii="仿宋" w:hAnsi="仿宋" w:eastAsia="仿宋" w:cs="仿宋"/>
                <w:sz w:val="24"/>
                <w:szCs w:val="24"/>
              </w:rPr>
              <w:t>(</w:t>
            </w:r>
            <w:r>
              <w:rPr>
                <w:rFonts w:hint="eastAsia" w:ascii="仿宋" w:hAnsi="仿宋" w:eastAsia="仿宋" w:cs="仿宋"/>
                <w:sz w:val="24"/>
                <w:szCs w:val="24"/>
              </w:rPr>
              <w:t>以上材料一式两份</w:t>
            </w:r>
            <w:r>
              <w:rPr>
                <w:rFonts w:ascii="仿宋" w:hAnsi="仿宋" w:eastAsia="仿宋" w:cs="仿宋"/>
                <w:sz w:val="24"/>
                <w:szCs w:val="24"/>
              </w:rPr>
              <w:t>)</w:t>
            </w:r>
          </w:p>
        </w:tc>
      </w:tr>
      <w:tr>
        <w:tblPrEx>
          <w:tblCellMar>
            <w:top w:w="0" w:type="dxa"/>
            <w:left w:w="108" w:type="dxa"/>
            <w:bottom w:w="0" w:type="dxa"/>
            <w:right w:w="108" w:type="dxa"/>
          </w:tblCellMar>
        </w:tblPrEx>
        <w:trPr>
          <w:gridAfter w:val="1"/>
          <w:wAfter w:w="702" w:type="dxa"/>
          <w:trHeight w:val="483" w:hRule="atLeast"/>
        </w:trPr>
        <w:tc>
          <w:tcPr>
            <w:tcW w:w="152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39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　告知办理事项所需证明及办理地点</w:t>
            </w:r>
          </w:p>
        </w:tc>
      </w:tr>
      <w:tr>
        <w:tblPrEx>
          <w:tblCellMar>
            <w:top w:w="0" w:type="dxa"/>
            <w:left w:w="108" w:type="dxa"/>
            <w:bottom w:w="0" w:type="dxa"/>
            <w:right w:w="108" w:type="dxa"/>
          </w:tblCellMar>
        </w:tblPrEx>
        <w:trPr>
          <w:gridAfter w:val="1"/>
          <w:wAfter w:w="702" w:type="dxa"/>
          <w:trHeight w:val="1024" w:hRule="atLeast"/>
        </w:trPr>
        <w:tc>
          <w:tcPr>
            <w:tcW w:w="1521"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397" w:type="dxa"/>
            <w:gridSpan w:val="3"/>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r>
              <w:rPr>
                <w:rFonts w:hint="eastAsia" w:ascii="仿宋" w:hAnsi="仿宋" w:eastAsia="仿宋" w:cs="仿宋"/>
                <w:sz w:val="28"/>
                <w:szCs w:val="28"/>
              </w:rPr>
              <w:t>（对农村土地承包经营权流转合同备案）</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761"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157"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ascii="仿宋" w:hAnsi="仿宋" w:eastAsia="仿宋" w:cs="仿宋"/>
                <w:sz w:val="24"/>
                <w:szCs w:val="24"/>
              </w:rPr>
              <w:t>3.3</w:t>
            </w:r>
          </w:p>
        </w:tc>
      </w:tr>
      <w:tr>
        <w:tblPrEx>
          <w:tblCellMar>
            <w:top w:w="0" w:type="dxa"/>
            <w:left w:w="108" w:type="dxa"/>
            <w:bottom w:w="0" w:type="dxa"/>
            <w:right w:w="108" w:type="dxa"/>
          </w:tblCellMar>
        </w:tblPrEx>
        <w:trPr>
          <w:gridAfter w:val="1"/>
          <w:wAfter w:w="702" w:type="dxa"/>
          <w:trHeight w:val="720"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bookmarkStart w:id="0" w:name="OLE_LINK1"/>
            <w:r>
              <w:rPr>
                <w:rFonts w:hint="eastAsia" w:ascii="仿宋" w:hAnsi="仿宋" w:eastAsia="仿宋" w:cs="仿宋"/>
                <w:sz w:val="24"/>
                <w:szCs w:val="24"/>
              </w:rPr>
              <w:t>对农村土地承包经营权流转合同备案</w:t>
            </w:r>
            <w:bookmarkEnd w:id="0"/>
          </w:p>
        </w:tc>
      </w:tr>
      <w:tr>
        <w:tblPrEx>
          <w:tblCellMar>
            <w:top w:w="0" w:type="dxa"/>
            <w:left w:w="108" w:type="dxa"/>
            <w:bottom w:w="0" w:type="dxa"/>
            <w:right w:w="108" w:type="dxa"/>
          </w:tblCellMar>
        </w:tblPrEx>
        <w:trPr>
          <w:gridAfter w:val="1"/>
          <w:wAfter w:w="702" w:type="dxa"/>
          <w:trHeight w:val="790"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《中华人民共和国农村土地承包经营权流转管理办法》第二十一条承包方流转农村土地承包经营权，应当与受让方在协商一致的基础上签订书面流转合同。</w:t>
            </w:r>
            <w:r>
              <w:rPr>
                <w:rFonts w:ascii="仿宋" w:hAnsi="仿宋" w:eastAsia="仿宋" w:cs="Times New Roman"/>
                <w:sz w:val="24"/>
                <w:szCs w:val="24"/>
              </w:rPr>
              <w:t> </w:t>
            </w:r>
            <w:r>
              <w:rPr>
                <w:rFonts w:hint="eastAsia" w:ascii="仿宋" w:hAnsi="仿宋" w:eastAsia="仿宋" w:cs="仿宋"/>
                <w:sz w:val="24"/>
                <w:szCs w:val="24"/>
              </w:rPr>
              <w:t>农村土地承包经营权流转合同一式四份，流转双方各执一份，发包方和乡（镇）人民政府农村土地承包管理部门各备案一份。承包方将土地交由他人代耕不超过一年的，可以不签订书面合同。</w:t>
            </w:r>
          </w:p>
        </w:tc>
      </w:tr>
      <w:tr>
        <w:tblPrEx>
          <w:tblCellMar>
            <w:top w:w="0" w:type="dxa"/>
            <w:left w:w="108" w:type="dxa"/>
            <w:bottom w:w="0" w:type="dxa"/>
            <w:right w:w="108" w:type="dxa"/>
          </w:tblCellMar>
        </w:tblPrEx>
        <w:trPr>
          <w:gridAfter w:val="1"/>
          <w:wAfter w:w="702" w:type="dxa"/>
          <w:trHeight w:val="801"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578"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街道权限（登记备案）</w:t>
            </w:r>
          </w:p>
        </w:tc>
      </w:tr>
      <w:tr>
        <w:tblPrEx>
          <w:tblCellMar>
            <w:top w:w="0" w:type="dxa"/>
            <w:left w:w="108" w:type="dxa"/>
            <w:bottom w:w="0" w:type="dxa"/>
            <w:right w:w="108" w:type="dxa"/>
          </w:tblCellMar>
        </w:tblPrEx>
        <w:trPr>
          <w:gridAfter w:val="1"/>
          <w:wAfter w:w="702" w:type="dxa"/>
          <w:trHeight w:val="810"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当事人携带农村土地承包经营权流转合同道街农服中心进行登记备案</w:t>
            </w:r>
          </w:p>
        </w:tc>
      </w:tr>
      <w:tr>
        <w:tblPrEx>
          <w:tblCellMar>
            <w:top w:w="0" w:type="dxa"/>
            <w:left w:w="108" w:type="dxa"/>
            <w:bottom w:w="0" w:type="dxa"/>
            <w:right w:w="108" w:type="dxa"/>
          </w:tblCellMar>
        </w:tblPrEx>
        <w:trPr>
          <w:gridAfter w:val="1"/>
          <w:wAfter w:w="702" w:type="dxa"/>
          <w:trHeight w:val="753"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农村土地承包经营权流转合同</w:t>
            </w:r>
          </w:p>
        </w:tc>
      </w:tr>
      <w:tr>
        <w:tblPrEx>
          <w:tblCellMar>
            <w:top w:w="0" w:type="dxa"/>
            <w:left w:w="108" w:type="dxa"/>
            <w:bottom w:w="0" w:type="dxa"/>
            <w:right w:w="108" w:type="dxa"/>
          </w:tblCellMar>
        </w:tblPrEx>
        <w:trPr>
          <w:gridAfter w:val="1"/>
          <w:wAfter w:w="702" w:type="dxa"/>
          <w:trHeight w:val="768" w:hRule="atLeast"/>
        </w:trPr>
        <w:tc>
          <w:tcPr>
            <w:tcW w:w="176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15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告知办理事项所需证明及办理地点</w:t>
            </w:r>
          </w:p>
        </w:tc>
      </w:tr>
      <w:tr>
        <w:tblPrEx>
          <w:tblCellMar>
            <w:top w:w="0" w:type="dxa"/>
            <w:left w:w="108" w:type="dxa"/>
            <w:bottom w:w="0" w:type="dxa"/>
            <w:right w:w="108" w:type="dxa"/>
          </w:tblCellMar>
        </w:tblPrEx>
        <w:trPr>
          <w:gridAfter w:val="1"/>
          <w:wAfter w:w="702" w:type="dxa"/>
          <w:trHeight w:val="1024" w:hRule="atLeast"/>
        </w:trPr>
        <w:tc>
          <w:tcPr>
            <w:tcW w:w="1761"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157"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r>
              <w:rPr>
                <w:rFonts w:hint="eastAsia" w:ascii="黑体" w:hAnsi="黑体" w:eastAsia="黑体" w:cs="黑体"/>
                <w:kern w:val="0"/>
                <w:sz w:val="28"/>
                <w:szCs w:val="28"/>
                <w:u w:val="single"/>
              </w:rPr>
              <w:t>（</w:t>
            </w:r>
            <w:r>
              <w:rPr>
                <w:rFonts w:hint="eastAsia" w:ascii="仿宋" w:hAnsi="仿宋" w:eastAsia="仿宋" w:cs="仿宋"/>
                <w:sz w:val="28"/>
                <w:szCs w:val="28"/>
              </w:rPr>
              <w:t>对农村土地承包经营权流转情况的登记</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791" w:type="dxa"/>
            <w:gridSpan w:val="3"/>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127"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3.4</w:t>
            </w:r>
          </w:p>
        </w:tc>
      </w:tr>
      <w:tr>
        <w:tblPrEx>
          <w:tblCellMar>
            <w:top w:w="0" w:type="dxa"/>
            <w:left w:w="108" w:type="dxa"/>
            <w:bottom w:w="0" w:type="dxa"/>
            <w:right w:w="108" w:type="dxa"/>
          </w:tblCellMar>
        </w:tblPrEx>
        <w:trPr>
          <w:gridAfter w:val="1"/>
          <w:wAfter w:w="702" w:type="dxa"/>
          <w:trHeight w:val="720"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对农村土地承包经营权流转情况的登记</w:t>
            </w:r>
          </w:p>
        </w:tc>
      </w:tr>
      <w:tr>
        <w:tblPrEx>
          <w:tblCellMar>
            <w:top w:w="0" w:type="dxa"/>
            <w:left w:w="108" w:type="dxa"/>
            <w:bottom w:w="0" w:type="dxa"/>
            <w:right w:w="108" w:type="dxa"/>
          </w:tblCellMar>
        </w:tblPrEx>
        <w:trPr>
          <w:gridAfter w:val="1"/>
          <w:wAfter w:w="702" w:type="dxa"/>
          <w:trHeight w:val="805"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《中华人民共和国农村土地承包经营权流转管理办法》（</w:t>
            </w:r>
            <w:r>
              <w:rPr>
                <w:rFonts w:ascii="仿宋" w:hAnsi="仿宋" w:eastAsia="仿宋" w:cs="仿宋"/>
                <w:sz w:val="24"/>
                <w:szCs w:val="24"/>
              </w:rPr>
              <w:t>2005</w:t>
            </w:r>
            <w:r>
              <w:rPr>
                <w:rFonts w:hint="eastAsia" w:ascii="仿宋" w:hAnsi="仿宋" w:eastAsia="仿宋" w:cs="仿宋"/>
                <w:sz w:val="24"/>
                <w:szCs w:val="24"/>
              </w:rPr>
              <w:t>年农业部令第</w:t>
            </w:r>
            <w:r>
              <w:rPr>
                <w:rFonts w:ascii="仿宋" w:hAnsi="仿宋" w:eastAsia="仿宋" w:cs="仿宋"/>
                <w:sz w:val="24"/>
                <w:szCs w:val="24"/>
              </w:rPr>
              <w:t>47</w:t>
            </w:r>
            <w:r>
              <w:rPr>
                <w:rFonts w:hint="eastAsia" w:ascii="仿宋" w:hAnsi="仿宋" w:eastAsia="仿宋" w:cs="仿宋"/>
                <w:sz w:val="24"/>
                <w:szCs w:val="24"/>
              </w:rPr>
              <w:t>号）第二十七条</w:t>
            </w:r>
            <w:r>
              <w:rPr>
                <w:rFonts w:ascii="仿宋" w:hAnsi="仿宋" w:eastAsia="仿宋" w:cs="仿宋"/>
                <w:sz w:val="24"/>
                <w:szCs w:val="24"/>
              </w:rPr>
              <w:t xml:space="preserve"> </w:t>
            </w:r>
            <w:r>
              <w:rPr>
                <w:rFonts w:hint="eastAsia" w:ascii="仿宋" w:hAnsi="仿宋" w:eastAsia="仿宋" w:cs="仿宋"/>
                <w:sz w:val="24"/>
                <w:szCs w:val="24"/>
              </w:rPr>
              <w:t>乡（镇）人民政府农村土地承包管理部门应当建立农村土地承包经营权流转情况登记册，及时准确记载农村土地承包经营权流转情况。以转包、出租或者其他方式流转承包土地的，及时办理相关登记；以转让、互换方式流转承包土地的，及时办理有关承包合同和土地承包经营权证变更等手续。第二十八条</w:t>
            </w:r>
            <w:r>
              <w:rPr>
                <w:rFonts w:ascii="仿宋" w:hAnsi="仿宋" w:eastAsia="仿宋" w:cs="仿宋"/>
                <w:sz w:val="24"/>
                <w:szCs w:val="24"/>
              </w:rPr>
              <w:t xml:space="preserve"> </w:t>
            </w:r>
            <w:r>
              <w:rPr>
                <w:rFonts w:hint="eastAsia" w:ascii="仿宋" w:hAnsi="仿宋" w:eastAsia="仿宋" w:cs="仿宋"/>
                <w:sz w:val="24"/>
                <w:szCs w:val="24"/>
              </w:rPr>
              <w:t>乡（镇）人民政府农村土地承包管理部门应当对农村土地承包经营权流转合同及有关文件、文本、资料等进行归档并妥善保管。</w:t>
            </w:r>
          </w:p>
        </w:tc>
      </w:tr>
      <w:tr>
        <w:tblPrEx>
          <w:tblCellMar>
            <w:top w:w="0" w:type="dxa"/>
            <w:left w:w="108" w:type="dxa"/>
            <w:bottom w:w="0" w:type="dxa"/>
            <w:right w:w="108" w:type="dxa"/>
          </w:tblCellMar>
        </w:tblPrEx>
        <w:trPr>
          <w:gridAfter w:val="1"/>
          <w:wAfter w:w="702" w:type="dxa"/>
          <w:trHeight w:val="606"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848"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街道权限（登记备案）</w:t>
            </w:r>
          </w:p>
        </w:tc>
      </w:tr>
      <w:tr>
        <w:tblPrEx>
          <w:tblCellMar>
            <w:top w:w="0" w:type="dxa"/>
            <w:left w:w="108" w:type="dxa"/>
            <w:bottom w:w="0" w:type="dxa"/>
            <w:right w:w="108" w:type="dxa"/>
          </w:tblCellMar>
        </w:tblPrEx>
        <w:trPr>
          <w:gridAfter w:val="1"/>
          <w:wAfter w:w="702" w:type="dxa"/>
          <w:trHeight w:val="810"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当事人携带农村土地承包经营权流转合同、相关农户身份证到街农业发展办公室进行登记备案</w:t>
            </w:r>
          </w:p>
        </w:tc>
      </w:tr>
      <w:tr>
        <w:tblPrEx>
          <w:tblCellMar>
            <w:top w:w="0" w:type="dxa"/>
            <w:left w:w="108" w:type="dxa"/>
            <w:bottom w:w="0" w:type="dxa"/>
            <w:right w:w="108" w:type="dxa"/>
          </w:tblCellMar>
        </w:tblPrEx>
        <w:trPr>
          <w:gridAfter w:val="1"/>
          <w:wAfter w:w="702" w:type="dxa"/>
          <w:trHeight w:val="753"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农村土地承包经营权流转合同、农户身份证</w:t>
            </w:r>
          </w:p>
        </w:tc>
      </w:tr>
      <w:tr>
        <w:tblPrEx>
          <w:tblCellMar>
            <w:top w:w="0" w:type="dxa"/>
            <w:left w:w="108" w:type="dxa"/>
            <w:bottom w:w="0" w:type="dxa"/>
            <w:right w:w="108" w:type="dxa"/>
          </w:tblCellMar>
        </w:tblPrEx>
        <w:trPr>
          <w:gridAfter w:val="1"/>
          <w:wAfter w:w="702" w:type="dxa"/>
          <w:trHeight w:val="738" w:hRule="atLeast"/>
        </w:trPr>
        <w:tc>
          <w:tcPr>
            <w:tcW w:w="1791"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　告知办理事项所需证明及办理地点</w:t>
            </w:r>
          </w:p>
        </w:tc>
      </w:tr>
      <w:tr>
        <w:tblPrEx>
          <w:tblCellMar>
            <w:top w:w="0" w:type="dxa"/>
            <w:left w:w="108" w:type="dxa"/>
            <w:bottom w:w="0" w:type="dxa"/>
            <w:right w:w="108" w:type="dxa"/>
          </w:tblCellMar>
        </w:tblPrEx>
        <w:trPr>
          <w:gridAfter w:val="1"/>
          <w:wAfter w:w="702" w:type="dxa"/>
          <w:trHeight w:val="1024" w:hRule="atLeast"/>
        </w:trPr>
        <w:tc>
          <w:tcPr>
            <w:tcW w:w="1791"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127"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680"/>
        <w:gridCol w:w="7940"/>
      </w:tblGrid>
      <w:tr>
        <w:tblPrEx>
          <w:tblCellMar>
            <w:top w:w="0" w:type="dxa"/>
            <w:left w:w="108" w:type="dxa"/>
            <w:bottom w:w="0" w:type="dxa"/>
            <w:right w:w="108" w:type="dxa"/>
          </w:tblCellMar>
        </w:tblPrEx>
        <w:trPr>
          <w:trHeight w:val="576" w:hRule="atLeast"/>
        </w:trPr>
        <w:tc>
          <w:tcPr>
            <w:tcW w:w="9620" w:type="dxa"/>
            <w:gridSpan w:val="2"/>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429" w:hRule="atLeast"/>
        </w:trPr>
        <w:tc>
          <w:tcPr>
            <w:tcW w:w="9620" w:type="dxa"/>
            <w:gridSpan w:val="2"/>
            <w:tcBorders>
              <w:top w:val="nil"/>
              <w:left w:val="nil"/>
              <w:bottom w:val="nil"/>
              <w:right w:val="nil"/>
            </w:tcBorders>
            <w:vAlign w:val="center"/>
          </w:tcPr>
          <w:p>
            <w:pPr>
              <w:jc w:val="center"/>
              <w:rPr>
                <w:rFonts w:ascii="方正小标宋简体" w:hAnsi="宋体" w:eastAsia="方正小标宋简体" w:cs="Times New Roman"/>
                <w:kern w:val="0"/>
                <w:sz w:val="30"/>
                <w:szCs w:val="30"/>
                <w:u w:val="single"/>
              </w:rPr>
            </w:pPr>
            <w:r>
              <w:rPr>
                <w:rFonts w:hint="eastAsia" w:ascii="方正小标宋简体" w:hAnsi="宋体" w:eastAsia="方正小标宋简体" w:cs="方正小标宋简体"/>
                <w:kern w:val="0"/>
                <w:sz w:val="30"/>
                <w:szCs w:val="30"/>
                <w:u w:val="single"/>
              </w:rPr>
              <w:t>（</w:t>
            </w:r>
            <w:r>
              <w:rPr>
                <w:rFonts w:hint="eastAsia" w:ascii="仿宋" w:hAnsi="仿宋" w:eastAsia="仿宋" w:cs="仿宋"/>
                <w:sz w:val="28"/>
                <w:szCs w:val="28"/>
              </w:rPr>
              <w:t>对农业新品种新技术引进推广项目申请的初审</w:t>
            </w:r>
            <w:r>
              <w:rPr>
                <w:rFonts w:hint="eastAsia" w:ascii="方正小标宋简体" w:hAnsi="宋体" w:eastAsia="方正小标宋简体" w:cs="方正小标宋简体"/>
                <w:kern w:val="0"/>
                <w:sz w:val="30"/>
                <w:szCs w:val="30"/>
                <w:u w:val="single"/>
              </w:rPr>
              <w:t>）</w:t>
            </w:r>
            <w:r>
              <w:rPr>
                <w:rFonts w:hint="eastAsia" w:ascii="方正小标宋简体" w:hAnsi="宋体" w:eastAsia="方正小标宋简体" w:cs="方正小标宋简体"/>
                <w:kern w:val="0"/>
                <w:sz w:val="30"/>
                <w:szCs w:val="30"/>
              </w:rPr>
              <w:t>信息表</w:t>
            </w:r>
          </w:p>
        </w:tc>
      </w:tr>
      <w:tr>
        <w:tblPrEx>
          <w:tblCellMar>
            <w:top w:w="0" w:type="dxa"/>
            <w:left w:w="108" w:type="dxa"/>
            <w:bottom w:w="0" w:type="dxa"/>
            <w:right w:w="108" w:type="dxa"/>
          </w:tblCellMar>
        </w:tblPrEx>
        <w:trPr>
          <w:trHeight w:val="339"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940"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ascii="仿宋" w:hAnsi="仿宋" w:eastAsia="仿宋" w:cs="仿宋"/>
                <w:kern w:val="0"/>
                <w:sz w:val="28"/>
                <w:szCs w:val="28"/>
              </w:rPr>
              <w:t>3.5</w:t>
            </w:r>
          </w:p>
        </w:tc>
      </w:tr>
      <w:tr>
        <w:tblPrEx>
          <w:tblCellMar>
            <w:top w:w="0" w:type="dxa"/>
            <w:left w:w="108" w:type="dxa"/>
            <w:bottom w:w="0" w:type="dxa"/>
            <w:right w:w="108" w:type="dxa"/>
          </w:tblCellMar>
        </w:tblPrEx>
        <w:trPr>
          <w:trHeight w:val="429"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sz w:val="28"/>
                <w:szCs w:val="28"/>
              </w:rPr>
              <w:t>对农业新品种新技术引进推广项目申请的初审</w:t>
            </w:r>
          </w:p>
        </w:tc>
      </w:tr>
      <w:tr>
        <w:tblPrEx>
          <w:tblCellMar>
            <w:top w:w="0" w:type="dxa"/>
            <w:left w:w="108" w:type="dxa"/>
            <w:bottom w:w="0" w:type="dxa"/>
            <w:right w:w="108" w:type="dxa"/>
          </w:tblCellMar>
        </w:tblPrEx>
        <w:trPr>
          <w:trHeight w:val="196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940" w:type="dxa"/>
            <w:tcBorders>
              <w:top w:val="single" w:color="auto" w:sz="6" w:space="0"/>
              <w:left w:val="single" w:color="auto" w:sz="6" w:space="0"/>
              <w:bottom w:val="single" w:color="auto" w:sz="6" w:space="0"/>
              <w:right w:val="single" w:color="auto" w:sz="4" w:space="0"/>
            </w:tcBorders>
            <w:vAlign w:val="center"/>
          </w:tcPr>
          <w:p>
            <w:pPr>
              <w:jc w:val="left"/>
              <w:rPr>
                <w:rFonts w:ascii="仿宋" w:hAnsi="仿宋" w:eastAsia="仿宋" w:cs="Times New Roman"/>
                <w:sz w:val="18"/>
                <w:szCs w:val="18"/>
              </w:rPr>
            </w:pPr>
            <w:r>
              <w:rPr>
                <w:rFonts w:ascii="仿宋" w:hAnsi="仿宋" w:eastAsia="仿宋" w:cs="仿宋"/>
                <w:sz w:val="18"/>
                <w:szCs w:val="18"/>
              </w:rPr>
              <w:t>1</w:t>
            </w:r>
            <w:r>
              <w:rPr>
                <w:rFonts w:hint="eastAsia" w:ascii="仿宋" w:hAnsi="仿宋" w:eastAsia="仿宋" w:cs="仿宋"/>
                <w:sz w:val="18"/>
                <w:szCs w:val="18"/>
              </w:rPr>
              <w:t>、《天津市农业科技成果转化与推广项目管理试行办法》（津农委</w:t>
            </w:r>
            <w:r>
              <w:rPr>
                <w:rFonts w:ascii="仿宋" w:hAnsi="仿宋" w:eastAsia="仿宋" w:cs="仿宋"/>
                <w:sz w:val="18"/>
                <w:szCs w:val="18"/>
              </w:rPr>
              <w:t>[2005]54</w:t>
            </w:r>
            <w:r>
              <w:rPr>
                <w:rFonts w:hint="eastAsia" w:ascii="仿宋" w:hAnsi="仿宋" w:eastAsia="仿宋" w:cs="仿宋"/>
                <w:sz w:val="18"/>
                <w:szCs w:val="18"/>
              </w:rPr>
              <w:t>号、津财农联</w:t>
            </w:r>
            <w:r>
              <w:rPr>
                <w:rFonts w:ascii="仿宋" w:hAnsi="仿宋" w:eastAsia="仿宋" w:cs="仿宋"/>
                <w:sz w:val="18"/>
                <w:szCs w:val="18"/>
              </w:rPr>
              <w:t>[2005]38</w:t>
            </w:r>
            <w:r>
              <w:rPr>
                <w:rFonts w:hint="eastAsia" w:ascii="仿宋" w:hAnsi="仿宋" w:eastAsia="仿宋" w:cs="仿宋"/>
                <w:sz w:val="18"/>
                <w:szCs w:val="18"/>
              </w:rPr>
              <w:t>号）第二条</w:t>
            </w:r>
            <w:r>
              <w:rPr>
                <w:rFonts w:ascii="仿宋" w:hAnsi="仿宋" w:eastAsia="仿宋" w:cs="仿宋"/>
                <w:sz w:val="18"/>
                <w:szCs w:val="18"/>
              </w:rPr>
              <w:t xml:space="preserve"> </w:t>
            </w:r>
            <w:r>
              <w:rPr>
                <w:rFonts w:hint="eastAsia" w:ascii="仿宋" w:hAnsi="仿宋" w:eastAsia="仿宋" w:cs="仿宋"/>
                <w:sz w:val="18"/>
                <w:szCs w:val="18"/>
              </w:rPr>
              <w:t>新品种新技术项目的日常管理工作由滨海新区农业局负责。第三条</w:t>
            </w:r>
            <w:r>
              <w:rPr>
                <w:rFonts w:ascii="仿宋" w:hAnsi="仿宋" w:eastAsia="仿宋" w:cs="仿宋"/>
                <w:sz w:val="18"/>
                <w:szCs w:val="18"/>
              </w:rPr>
              <w:t xml:space="preserve"> </w:t>
            </w:r>
            <w:r>
              <w:rPr>
                <w:rFonts w:hint="eastAsia" w:ascii="仿宋" w:hAnsi="仿宋" w:eastAsia="仿宋" w:cs="仿宋"/>
                <w:sz w:val="18"/>
                <w:szCs w:val="18"/>
              </w:rPr>
              <w:t>建立项目指南年度发布制度。区农业局在调查研究的基础上，根据我区农村发展及农业科技发展规划、产业政策以及专项资金数量，提出年度《项目指南》，并于每年第一季度向社会公开发布。第四条</w:t>
            </w:r>
            <w:r>
              <w:rPr>
                <w:rFonts w:ascii="仿宋" w:hAnsi="仿宋" w:eastAsia="仿宋" w:cs="仿宋"/>
                <w:sz w:val="18"/>
                <w:szCs w:val="18"/>
              </w:rPr>
              <w:t xml:space="preserve"> </w:t>
            </w:r>
            <w:r>
              <w:rPr>
                <w:rFonts w:hint="eastAsia" w:ascii="仿宋" w:hAnsi="仿宋" w:eastAsia="仿宋" w:cs="仿宋"/>
                <w:sz w:val="18"/>
                <w:szCs w:val="18"/>
              </w:rPr>
              <w:t>项目申请。各申报单位填写《项目申报书》，按照规定渠道、方式和时间上报所在地管委会城乡一体化办公室，并经其初选、审核后推荐上报区农业局；塘、汉、大以外非农口单位可直接上报区农业局。</w:t>
            </w:r>
          </w:p>
          <w:p>
            <w:pPr>
              <w:jc w:val="left"/>
              <w:rPr>
                <w:rFonts w:ascii="仿宋" w:hAnsi="仿宋" w:eastAsia="仿宋" w:cs="Times New Roman"/>
                <w:sz w:val="18"/>
                <w:szCs w:val="18"/>
              </w:rPr>
            </w:pPr>
            <w:r>
              <w:rPr>
                <w:rFonts w:hint="eastAsia" w:ascii="仿宋" w:hAnsi="仿宋" w:eastAsia="仿宋" w:cs="仿宋"/>
                <w:sz w:val="18"/>
                <w:szCs w:val="18"/>
              </w:rPr>
              <w:t>第五条</w:t>
            </w:r>
            <w:r>
              <w:rPr>
                <w:rFonts w:ascii="仿宋" w:hAnsi="仿宋" w:eastAsia="仿宋" w:cs="仿宋"/>
                <w:sz w:val="18"/>
                <w:szCs w:val="18"/>
              </w:rPr>
              <w:t xml:space="preserve"> </w:t>
            </w:r>
            <w:r>
              <w:rPr>
                <w:rFonts w:hint="eastAsia" w:ascii="仿宋" w:hAnsi="仿宋" w:eastAsia="仿宋" w:cs="仿宋"/>
                <w:sz w:val="18"/>
                <w:szCs w:val="18"/>
              </w:rPr>
              <w:t>区农业局对项目申报材料进行形式审查，组织项目可行性论证工作。根据项目的类别、专业，组建专家组分别进行项目可行性论证，专家组应对项目提出可行、不可行的论证意见。</w:t>
            </w:r>
          </w:p>
          <w:p>
            <w:pPr>
              <w:jc w:val="left"/>
              <w:rPr>
                <w:rFonts w:ascii="仿宋" w:hAnsi="仿宋" w:eastAsia="仿宋" w:cs="Times New Roman"/>
                <w:kern w:val="0"/>
                <w:sz w:val="18"/>
                <w:szCs w:val="18"/>
              </w:rPr>
            </w:pPr>
            <w:r>
              <w:rPr>
                <w:rFonts w:hint="eastAsia" w:ascii="仿宋" w:hAnsi="仿宋" w:eastAsia="仿宋" w:cs="仿宋"/>
                <w:sz w:val="18"/>
                <w:szCs w:val="18"/>
              </w:rPr>
              <w:t>第六条</w:t>
            </w:r>
            <w:r>
              <w:rPr>
                <w:rFonts w:ascii="仿宋" w:hAnsi="仿宋" w:eastAsia="仿宋" w:cs="仿宋"/>
                <w:sz w:val="18"/>
                <w:szCs w:val="18"/>
              </w:rPr>
              <w:t xml:space="preserve"> </w:t>
            </w:r>
            <w:r>
              <w:rPr>
                <w:rFonts w:hint="eastAsia" w:ascii="仿宋" w:hAnsi="仿宋" w:eastAsia="仿宋" w:cs="仿宋"/>
                <w:sz w:val="18"/>
                <w:szCs w:val="18"/>
              </w:rPr>
              <w:t>区农业局根据论证结果，提出年度项目立项建议，报区财政局审议后，由区农业局、区财政局联合下达立项批准文件。对区政府交办或突发重大事件，需要立项的，可由区农业局、区财政局按紧急立项程序（审核立项报告、单独下发立项文件、签约）进行立项。经批准立项的项目，由区农业局与项目承担单位及其所在管委会城乡一体化办公室签订合同，确定项目各方的权利和义务。承担单位所在管委会城乡一体化办公室作为第三方，负有合同任务完成的担保责任和监督项目实施的权利。</w:t>
            </w:r>
          </w:p>
        </w:tc>
      </w:tr>
      <w:tr>
        <w:tblPrEx>
          <w:tblCellMar>
            <w:top w:w="0" w:type="dxa"/>
            <w:left w:w="108" w:type="dxa"/>
            <w:bottom w:w="0" w:type="dxa"/>
            <w:right w:w="108" w:type="dxa"/>
          </w:tblCellMar>
        </w:tblPrEx>
        <w:trPr>
          <w:trHeight w:val="90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spacing w:line="240" w:lineRule="atLeast"/>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街道权限（初审上报）</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w:t>
            </w:r>
            <w:r>
              <w:rPr>
                <w:rFonts w:hint="eastAsia" w:ascii="仿宋" w:hAnsi="仿宋" w:eastAsia="仿宋" w:cs="仿宋"/>
                <w:sz w:val="24"/>
                <w:szCs w:val="24"/>
              </w:rPr>
              <w:t>受理</w:t>
            </w:r>
            <w:r>
              <w:rPr>
                <w:rFonts w:ascii="仿宋" w:hAnsi="仿宋" w:eastAsia="仿宋" w:cs="仿宋"/>
                <w:sz w:val="24"/>
                <w:szCs w:val="24"/>
              </w:rPr>
              <w:t>—</w:t>
            </w:r>
            <w:r>
              <w:rPr>
                <w:rFonts w:hint="eastAsia" w:ascii="仿宋" w:hAnsi="仿宋" w:eastAsia="仿宋" w:cs="仿宋"/>
                <w:sz w:val="24"/>
                <w:szCs w:val="24"/>
              </w:rPr>
              <w:t>初审</w:t>
            </w:r>
            <w:r>
              <w:rPr>
                <w:rFonts w:ascii="仿宋" w:hAnsi="仿宋" w:eastAsia="仿宋" w:cs="仿宋"/>
                <w:sz w:val="24"/>
                <w:szCs w:val="24"/>
              </w:rPr>
              <w:t>—</w:t>
            </w:r>
            <w:r>
              <w:rPr>
                <w:rFonts w:hint="eastAsia" w:ascii="仿宋" w:hAnsi="仿宋" w:eastAsia="仿宋" w:cs="仿宋"/>
                <w:sz w:val="24"/>
                <w:szCs w:val="24"/>
              </w:rPr>
              <w:t>上报</w:t>
            </w:r>
            <w:r>
              <w:rPr>
                <w:rFonts w:ascii="仿宋" w:hAnsi="仿宋" w:eastAsia="仿宋" w:cs="仿宋"/>
                <w:sz w:val="24"/>
                <w:szCs w:val="24"/>
              </w:rPr>
              <w:t>—</w:t>
            </w:r>
            <w:r>
              <w:rPr>
                <w:rFonts w:hint="eastAsia" w:ascii="仿宋" w:hAnsi="仿宋" w:eastAsia="仿宋" w:cs="仿宋"/>
                <w:sz w:val="24"/>
                <w:szCs w:val="24"/>
              </w:rPr>
              <w:t>反馈</w:t>
            </w:r>
          </w:p>
        </w:tc>
      </w:tr>
      <w:tr>
        <w:tblPrEx>
          <w:tblCellMar>
            <w:top w:w="0" w:type="dxa"/>
            <w:left w:w="108" w:type="dxa"/>
            <w:bottom w:w="0" w:type="dxa"/>
            <w:right w:w="108" w:type="dxa"/>
          </w:tblCellMar>
        </w:tblPrEx>
        <w:trPr>
          <w:trHeight w:val="47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940"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、土地所有权证或土地使用证明；</w:t>
            </w:r>
            <w:r>
              <w:rPr>
                <w:rFonts w:ascii="仿宋" w:hAnsi="仿宋" w:eastAsia="仿宋" w:cs="仿宋"/>
                <w:kern w:val="0"/>
                <w:sz w:val="18"/>
                <w:szCs w:val="18"/>
              </w:rPr>
              <w:t>2</w:t>
            </w:r>
            <w:r>
              <w:rPr>
                <w:rFonts w:hint="eastAsia" w:ascii="仿宋" w:hAnsi="仿宋" w:eastAsia="仿宋" w:cs="仿宋"/>
                <w:kern w:val="0"/>
                <w:sz w:val="18"/>
                <w:szCs w:val="18"/>
              </w:rPr>
              <w:t>、组织机构代码证；</w:t>
            </w:r>
            <w:r>
              <w:rPr>
                <w:rFonts w:ascii="仿宋" w:hAnsi="仿宋" w:eastAsia="仿宋" w:cs="仿宋"/>
                <w:kern w:val="0"/>
                <w:sz w:val="18"/>
                <w:szCs w:val="18"/>
              </w:rPr>
              <w:t xml:space="preserve"> 3</w:t>
            </w:r>
            <w:r>
              <w:rPr>
                <w:rFonts w:hint="eastAsia" w:ascii="仿宋" w:hAnsi="仿宋" w:eastAsia="仿宋" w:cs="仿宋"/>
                <w:kern w:val="0"/>
                <w:sz w:val="18"/>
                <w:szCs w:val="18"/>
              </w:rPr>
              <w:t>、法人单位及法人代表证明；</w:t>
            </w:r>
            <w:r>
              <w:rPr>
                <w:rFonts w:ascii="仿宋" w:hAnsi="仿宋" w:eastAsia="仿宋" w:cs="仿宋"/>
                <w:kern w:val="0"/>
                <w:sz w:val="18"/>
                <w:szCs w:val="18"/>
              </w:rPr>
              <w:t>4</w:t>
            </w:r>
            <w:r>
              <w:rPr>
                <w:rFonts w:hint="eastAsia" w:ascii="仿宋" w:hAnsi="仿宋" w:eastAsia="仿宋" w:cs="仿宋"/>
                <w:kern w:val="0"/>
                <w:sz w:val="18"/>
                <w:szCs w:val="18"/>
              </w:rPr>
              <w:t>、土地承包合同或土地流转合同；</w:t>
            </w:r>
            <w:r>
              <w:rPr>
                <w:rFonts w:ascii="仿宋" w:hAnsi="仿宋" w:eastAsia="仿宋" w:cs="仿宋"/>
                <w:kern w:val="0"/>
                <w:sz w:val="18"/>
                <w:szCs w:val="18"/>
              </w:rPr>
              <w:t>5</w:t>
            </w:r>
            <w:r>
              <w:rPr>
                <w:rFonts w:hint="eastAsia" w:ascii="仿宋" w:hAnsi="仿宋" w:eastAsia="仿宋" w:cs="仿宋"/>
                <w:kern w:val="0"/>
                <w:sz w:val="18"/>
                <w:szCs w:val="18"/>
              </w:rPr>
              <w:t>、养殖证；</w:t>
            </w:r>
            <w:r>
              <w:rPr>
                <w:rFonts w:ascii="仿宋" w:hAnsi="仿宋" w:eastAsia="仿宋" w:cs="仿宋"/>
                <w:kern w:val="0"/>
                <w:sz w:val="18"/>
                <w:szCs w:val="18"/>
              </w:rPr>
              <w:t>6</w:t>
            </w:r>
            <w:r>
              <w:rPr>
                <w:rFonts w:hint="eastAsia" w:ascii="仿宋" w:hAnsi="仿宋" w:eastAsia="仿宋" w:cs="仿宋"/>
                <w:kern w:val="0"/>
                <w:sz w:val="18"/>
                <w:szCs w:val="18"/>
              </w:rPr>
              <w:t>、项目申请书及可行性报告</w:t>
            </w:r>
          </w:p>
        </w:tc>
      </w:tr>
      <w:tr>
        <w:tblPrEx>
          <w:tblCellMar>
            <w:top w:w="0" w:type="dxa"/>
            <w:left w:w="108" w:type="dxa"/>
            <w:bottom w:w="0" w:type="dxa"/>
            <w:right w:w="108" w:type="dxa"/>
          </w:tblCellMar>
        </w:tblPrEx>
        <w:trPr>
          <w:trHeight w:val="37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940" w:type="dxa"/>
            <w:tcBorders>
              <w:top w:val="single" w:color="auto" w:sz="6" w:space="0"/>
              <w:left w:val="single" w:color="auto" w:sz="6" w:space="0"/>
              <w:bottom w:val="single" w:color="auto" w:sz="6" w:space="0"/>
              <w:right w:val="single" w:color="auto" w:sz="4" w:space="0"/>
            </w:tcBorders>
            <w:vAlign w:val="center"/>
          </w:tcPr>
          <w:p>
            <w:pPr>
              <w:pStyle w:val="12"/>
              <w:ind w:firstLine="0" w:firstLineChars="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公示依法应当提交的材料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一次性告知补正材料</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依法受理或不予受理（不予受理的告知理由）</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对行政相对人申报的材料进行初步审查</w:t>
            </w:r>
          </w:p>
          <w:p>
            <w:pPr>
              <w:pStyle w:val="12"/>
              <w:ind w:firstLine="0" w:firstLineChars="0"/>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在法定或承诺期限内，上报上级行政管理部门</w:t>
            </w:r>
          </w:p>
          <w:p>
            <w:pPr>
              <w:pStyle w:val="12"/>
              <w:ind w:firstLine="0" w:firstLineChars="0"/>
              <w:jc w:val="left"/>
              <w:rPr>
                <w:rFonts w:ascii="仿宋" w:hAnsi="仿宋" w:eastAsia="仿宋" w:cs="Times New Roman"/>
                <w:kern w:val="0"/>
                <w:sz w:val="24"/>
                <w:szCs w:val="24"/>
              </w:rPr>
            </w:pPr>
            <w:r>
              <w:rPr>
                <w:rFonts w:ascii="仿宋" w:hAnsi="仿宋" w:eastAsia="仿宋" w:cs="仿宋"/>
                <w:sz w:val="24"/>
                <w:szCs w:val="24"/>
              </w:rPr>
              <w:t>6.</w:t>
            </w:r>
            <w:r>
              <w:rPr>
                <w:rFonts w:hint="eastAsia" w:ascii="仿宋" w:hAnsi="仿宋" w:eastAsia="仿宋" w:cs="仿宋"/>
                <w:sz w:val="24"/>
                <w:szCs w:val="24"/>
              </w:rPr>
              <w:t>向行政相对人反馈上级行政管理部门决定。</w:t>
            </w:r>
          </w:p>
        </w:tc>
      </w:tr>
      <w:tr>
        <w:tblPrEx>
          <w:tblCellMar>
            <w:top w:w="0" w:type="dxa"/>
            <w:left w:w="108" w:type="dxa"/>
            <w:bottom w:w="0" w:type="dxa"/>
            <w:right w:w="108" w:type="dxa"/>
          </w:tblCellMar>
        </w:tblPrEx>
        <w:trPr>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940"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kern w:val="0"/>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p>
      <w:pPr>
        <w:rPr>
          <w:rFonts w:cs="Times New Roman"/>
        </w:rPr>
      </w:pPr>
    </w:p>
    <w:tbl>
      <w:tblPr>
        <w:tblStyle w:val="7"/>
        <w:tblW w:w="9620" w:type="dxa"/>
        <w:tblInd w:w="-106" w:type="dxa"/>
        <w:tblLayout w:type="fixed"/>
        <w:tblCellMar>
          <w:top w:w="0" w:type="dxa"/>
          <w:left w:w="108" w:type="dxa"/>
          <w:bottom w:w="0" w:type="dxa"/>
          <w:right w:w="108" w:type="dxa"/>
        </w:tblCellMar>
      </w:tblPr>
      <w:tblGrid>
        <w:gridCol w:w="1641"/>
        <w:gridCol w:w="30"/>
        <w:gridCol w:w="45"/>
        <w:gridCol w:w="7202"/>
        <w:gridCol w:w="702"/>
      </w:tblGrid>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tbl>
            <w:tblPr>
              <w:tblStyle w:val="7"/>
              <w:tblW w:w="9620" w:type="dxa"/>
              <w:tblInd w:w="0" w:type="dxa"/>
              <w:tblLayout w:type="fixed"/>
              <w:tblCellMar>
                <w:top w:w="0" w:type="dxa"/>
                <w:left w:w="108" w:type="dxa"/>
                <w:bottom w:w="0" w:type="dxa"/>
                <w:right w:w="108" w:type="dxa"/>
              </w:tblCellMar>
            </w:tblPr>
            <w:tblGrid>
              <w:gridCol w:w="1680"/>
              <w:gridCol w:w="7238"/>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黑体" w:hAnsi="黑体" w:eastAsia="黑体" w:cs="Times New Roman"/>
                      <w:kern w:val="0"/>
                      <w:sz w:val="28"/>
                      <w:szCs w:val="28"/>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黑体" w:hAnsi="黑体" w:eastAsia="黑体" w:cs="Times New Roman"/>
                      <w:kern w:val="0"/>
                      <w:sz w:val="28"/>
                      <w:szCs w:val="28"/>
                      <w:u w:val="single"/>
                    </w:rPr>
                  </w:pPr>
                  <w:r>
                    <w:rPr>
                      <w:rFonts w:hint="eastAsia" w:ascii="黑体" w:hAnsi="黑体" w:eastAsia="黑体" w:cs="黑体"/>
                      <w:kern w:val="0"/>
                      <w:sz w:val="28"/>
                      <w:szCs w:val="28"/>
                      <w:u w:val="single"/>
                    </w:rPr>
                    <w:t>（</w:t>
                  </w:r>
                  <w:r>
                    <w:rPr>
                      <w:rFonts w:hint="eastAsia" w:ascii="仿宋" w:hAnsi="仿宋" w:eastAsia="仿宋" w:cs="仿宋"/>
                      <w:sz w:val="28"/>
                      <w:szCs w:val="28"/>
                    </w:rPr>
                    <w:t>对绿化工作成绩显著的单位和个人给予表彰和奖励</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680"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238"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4.1</w:t>
                  </w:r>
                </w:p>
              </w:tc>
            </w:tr>
            <w:tr>
              <w:tblPrEx>
                <w:tblCellMar>
                  <w:top w:w="0" w:type="dxa"/>
                  <w:left w:w="108" w:type="dxa"/>
                  <w:bottom w:w="0" w:type="dxa"/>
                  <w:right w:w="108" w:type="dxa"/>
                </w:tblCellMar>
              </w:tblPrEx>
              <w:trPr>
                <w:gridAfter w:val="1"/>
                <w:wAfter w:w="702" w:type="dxa"/>
                <w:trHeight w:val="72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238" w:type="dxa"/>
                  <w:tcBorders>
                    <w:top w:val="single" w:color="auto" w:sz="6" w:space="0"/>
                    <w:left w:val="single" w:color="auto" w:sz="6" w:space="0"/>
                    <w:bottom w:val="single" w:color="auto" w:sz="6" w:space="0"/>
                    <w:right w:val="single" w:color="auto" w:sz="4" w:space="0"/>
                  </w:tcBorders>
                  <w:vAlign w:val="center"/>
                </w:tcPr>
                <w:p>
                  <w:pPr>
                    <w:pStyle w:val="6"/>
                    <w:rPr>
                      <w:rFonts w:ascii="仿宋" w:hAnsi="仿宋" w:eastAsia="仿宋" w:cs="Times New Roman"/>
                      <w:kern w:val="2"/>
                    </w:rPr>
                  </w:pPr>
                  <w:r>
                    <w:rPr>
                      <w:rFonts w:hint="eastAsia" w:ascii="仿宋" w:hAnsi="仿宋" w:eastAsia="仿宋" w:cs="仿宋"/>
                      <w:kern w:val="2"/>
                    </w:rPr>
                    <w:t>对绿化工作成绩显著的单位和个人给予表彰和奖励</w:t>
                  </w:r>
                </w:p>
              </w:tc>
            </w:tr>
            <w:tr>
              <w:tblPrEx>
                <w:tblCellMar>
                  <w:top w:w="0" w:type="dxa"/>
                  <w:left w:w="108" w:type="dxa"/>
                  <w:bottom w:w="0" w:type="dxa"/>
                  <w:right w:w="108" w:type="dxa"/>
                </w:tblCellMar>
              </w:tblPrEx>
              <w:trPr>
                <w:gridAfter w:val="1"/>
                <w:wAfter w:w="702" w:type="dxa"/>
                <w:trHeight w:val="1255"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238" w:type="dxa"/>
                  <w:tcBorders>
                    <w:top w:val="single" w:color="auto" w:sz="6" w:space="0"/>
                    <w:left w:val="single" w:color="auto" w:sz="6" w:space="0"/>
                    <w:bottom w:val="single" w:color="auto" w:sz="6" w:space="0"/>
                    <w:right w:val="single" w:color="auto" w:sz="4" w:space="0"/>
                  </w:tcBorders>
                  <w:vAlign w:val="center"/>
                </w:tcPr>
                <w:p>
                  <w:pPr>
                    <w:pStyle w:val="6"/>
                    <w:rPr>
                      <w:rFonts w:ascii="仿宋" w:hAnsi="仿宋" w:eastAsia="仿宋" w:cs="Times New Roman"/>
                      <w:kern w:val="2"/>
                    </w:rPr>
                  </w:pPr>
                  <w:r>
                    <w:rPr>
                      <w:rFonts w:hint="eastAsia" w:ascii="仿宋" w:hAnsi="仿宋" w:eastAsia="仿宋" w:cs="仿宋"/>
                      <w:kern w:val="2"/>
                    </w:rPr>
                    <w:t>《天津市绿化条例》</w:t>
                  </w:r>
                  <w:r>
                    <w:rPr>
                      <w:rFonts w:ascii="仿宋" w:hAnsi="仿宋" w:eastAsia="仿宋" w:cs="仿宋"/>
                      <w:kern w:val="2"/>
                    </w:rPr>
                    <w:t xml:space="preserve"> </w:t>
                  </w:r>
                  <w:r>
                    <w:rPr>
                      <w:rFonts w:hint="eastAsia" w:ascii="仿宋" w:hAnsi="仿宋" w:eastAsia="仿宋" w:cs="仿宋"/>
                      <w:kern w:val="2"/>
                    </w:rPr>
                    <w:t>第四条</w:t>
                  </w:r>
                  <w:r>
                    <w:rPr>
                      <w:rFonts w:ascii="仿宋" w:hAnsi="仿宋" w:eastAsia="仿宋" w:cs="仿宋"/>
                      <w:kern w:val="2"/>
                    </w:rPr>
                    <w:t xml:space="preserve"> </w:t>
                  </w:r>
                  <w:r>
                    <w:rPr>
                      <w:rFonts w:hint="eastAsia" w:ascii="仿宋" w:hAnsi="仿宋" w:eastAsia="仿宋" w:cs="仿宋"/>
                      <w:kern w:val="2"/>
                    </w:rPr>
                    <w:t>乡镇人民政府和街道办事处应当依照职责做好本辖区内的绿化工作。第九条</w:t>
                  </w:r>
                  <w:r>
                    <w:rPr>
                      <w:rFonts w:ascii="仿宋" w:hAnsi="仿宋" w:eastAsia="仿宋" w:cs="仿宋"/>
                      <w:kern w:val="2"/>
                    </w:rPr>
                    <w:t xml:space="preserve"> </w:t>
                  </w:r>
                  <w:r>
                    <w:rPr>
                      <w:rFonts w:hint="eastAsia" w:ascii="仿宋" w:hAnsi="仿宋" w:eastAsia="仿宋" w:cs="仿宋"/>
                      <w:kern w:val="2"/>
                    </w:rPr>
                    <w:t>对在绿化工作中作出显著成绩的单位和个人，各级人民政府及有关部门依照国家和本市有关规定给予表彰和奖励。</w:t>
                  </w:r>
                </w:p>
              </w:tc>
            </w:tr>
            <w:tr>
              <w:tblPrEx>
                <w:tblCellMar>
                  <w:top w:w="0" w:type="dxa"/>
                  <w:left w:w="108" w:type="dxa"/>
                  <w:bottom w:w="0" w:type="dxa"/>
                  <w:right w:w="108" w:type="dxa"/>
                </w:tblCellMar>
              </w:tblPrEx>
              <w:trPr>
                <w:gridAfter w:val="1"/>
                <w:wAfter w:w="702" w:type="dxa"/>
                <w:trHeight w:val="756"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238"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593"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238"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w:t>
                  </w:r>
                </w:p>
              </w:tc>
            </w:tr>
            <w:tr>
              <w:tblPrEx>
                <w:tblCellMar>
                  <w:top w:w="0" w:type="dxa"/>
                  <w:left w:w="108" w:type="dxa"/>
                  <w:bottom w:w="0" w:type="dxa"/>
                  <w:right w:w="108" w:type="dxa"/>
                </w:tblCellMar>
              </w:tblPrEx>
              <w:trPr>
                <w:gridAfter w:val="1"/>
                <w:wAfter w:w="702" w:type="dxa"/>
                <w:trHeight w:val="810"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238" w:type="dxa"/>
                  <w:tcBorders>
                    <w:top w:val="single" w:color="auto" w:sz="6" w:space="0"/>
                    <w:left w:val="single" w:color="auto" w:sz="6" w:space="0"/>
                    <w:bottom w:val="single" w:color="auto" w:sz="6" w:space="0"/>
                    <w:right w:val="single" w:color="auto" w:sz="4" w:space="0"/>
                  </w:tcBorders>
                  <w:vAlign w:val="center"/>
                </w:tcPr>
                <w:p>
                  <w:pPr>
                    <w:pStyle w:val="6"/>
                    <w:rPr>
                      <w:rFonts w:ascii="仿宋" w:hAnsi="仿宋" w:eastAsia="仿宋" w:cs="Times New Roman"/>
                      <w:kern w:val="2"/>
                    </w:rPr>
                  </w:pPr>
                  <w:r>
                    <w:rPr>
                      <w:rFonts w:hint="eastAsia" w:ascii="仿宋" w:hAnsi="仿宋" w:eastAsia="仿宋" w:cs="仿宋"/>
                    </w:rPr>
                    <w:t>申报</w:t>
                  </w:r>
                  <w:r>
                    <w:rPr>
                      <w:rFonts w:ascii="仿宋" w:hAnsi="仿宋" w:eastAsia="仿宋" w:cs="仿宋"/>
                    </w:rPr>
                    <w:t>-</w:t>
                  </w:r>
                  <w:r>
                    <w:rPr>
                      <w:rFonts w:hint="eastAsia" w:ascii="仿宋" w:hAnsi="仿宋" w:eastAsia="仿宋" w:cs="仿宋"/>
                    </w:rPr>
                    <w:t>评审</w:t>
                  </w:r>
                  <w:r>
                    <w:rPr>
                      <w:rFonts w:ascii="仿宋" w:hAnsi="仿宋" w:eastAsia="仿宋" w:cs="仿宋"/>
                    </w:rPr>
                    <w:t>-</w:t>
                  </w:r>
                  <w:r>
                    <w:rPr>
                      <w:rFonts w:hint="eastAsia" w:ascii="仿宋" w:hAnsi="仿宋" w:eastAsia="仿宋" w:cs="仿宋"/>
                    </w:rPr>
                    <w:t>公示</w:t>
                  </w:r>
                </w:p>
              </w:tc>
            </w:tr>
            <w:tr>
              <w:tblPrEx>
                <w:tblCellMar>
                  <w:top w:w="0" w:type="dxa"/>
                  <w:left w:w="108" w:type="dxa"/>
                  <w:bottom w:w="0" w:type="dxa"/>
                  <w:right w:w="108" w:type="dxa"/>
                </w:tblCellMar>
              </w:tblPrEx>
              <w:trPr>
                <w:gridAfter w:val="1"/>
                <w:wAfter w:w="702" w:type="dxa"/>
                <w:trHeight w:val="70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238"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申报书</w:t>
                  </w:r>
                </w:p>
              </w:tc>
            </w:tr>
            <w:tr>
              <w:tblPrEx>
                <w:tblCellMar>
                  <w:top w:w="0" w:type="dxa"/>
                  <w:left w:w="108" w:type="dxa"/>
                  <w:bottom w:w="0" w:type="dxa"/>
                  <w:right w:w="108" w:type="dxa"/>
                </w:tblCellMar>
              </w:tblPrEx>
              <w:trPr>
                <w:gridAfter w:val="1"/>
                <w:wAfter w:w="702" w:type="dxa"/>
                <w:trHeight w:val="768" w:hRule="atLeast"/>
              </w:trPr>
              <w:tc>
                <w:tcPr>
                  <w:tcW w:w="16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238" w:type="dxa"/>
                  <w:tcBorders>
                    <w:top w:val="single" w:color="auto" w:sz="6" w:space="0"/>
                    <w:left w:val="single" w:color="auto" w:sz="6" w:space="0"/>
                    <w:bottom w:val="single" w:color="auto" w:sz="6" w:space="0"/>
                    <w:right w:val="single" w:color="auto" w:sz="4" w:space="0"/>
                  </w:tcBorders>
                  <w:vAlign w:val="center"/>
                </w:tcPr>
                <w:p>
                  <w:pPr>
                    <w:pStyle w:val="6"/>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发布方案；</w:t>
                  </w:r>
                </w:p>
                <w:p>
                  <w:pPr>
                    <w:pStyle w:val="6"/>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接受申报，告知受理与否；</w:t>
                  </w:r>
                </w:p>
                <w:p>
                  <w:pPr>
                    <w:pStyle w:val="6"/>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按规定程序组织评审；</w:t>
                  </w:r>
                </w:p>
                <w:p>
                  <w:pPr>
                    <w:pStyle w:val="6"/>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公示评审结果（公示期间有举报的，须调查核实）；</w:t>
                  </w:r>
                </w:p>
                <w:p>
                  <w:pPr>
                    <w:widowControl/>
                    <w:jc w:val="left"/>
                    <w:rPr>
                      <w:rFonts w:ascii="仿宋" w:hAnsi="仿宋" w:eastAsia="仿宋" w:cs="Times New Roman"/>
                      <w:sz w:val="24"/>
                      <w:szCs w:val="24"/>
                    </w:rPr>
                  </w:pPr>
                  <w:r>
                    <w:rPr>
                      <w:rFonts w:ascii="仿宋" w:hAnsi="仿宋" w:eastAsia="仿宋" w:cs="仿宋"/>
                    </w:rPr>
                    <w:t>5.</w:t>
                  </w:r>
                  <w:r>
                    <w:rPr>
                      <w:rFonts w:hint="eastAsia" w:ascii="仿宋" w:hAnsi="仿宋" w:eastAsia="仿宋" w:cs="仿宋"/>
                    </w:rPr>
                    <w:t>实施奖励。</w:t>
                  </w:r>
                </w:p>
              </w:tc>
            </w:tr>
            <w:tr>
              <w:tblPrEx>
                <w:tblCellMar>
                  <w:top w:w="0" w:type="dxa"/>
                  <w:left w:w="108" w:type="dxa"/>
                  <w:bottom w:w="0" w:type="dxa"/>
                  <w:right w:w="108" w:type="dxa"/>
                </w:tblCellMar>
              </w:tblPrEx>
              <w:trPr>
                <w:gridAfter w:val="1"/>
                <w:wAfter w:w="702" w:type="dxa"/>
                <w:trHeight w:val="1024" w:hRule="atLeast"/>
              </w:trPr>
              <w:tc>
                <w:tcPr>
                  <w:tcW w:w="16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238"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bl>
          <w:p>
            <w:pPr>
              <w:rPr>
                <w:rFonts w:ascii="黑体" w:hAnsi="黑体" w:eastAsia="黑体" w:cs="Times New Roman"/>
                <w:sz w:val="28"/>
                <w:szCs w:val="28"/>
              </w:rPr>
            </w:pPr>
          </w:p>
          <w:p>
            <w:pPr>
              <w:widowControl/>
              <w:jc w:val="center"/>
              <w:rPr>
                <w:rFonts w:ascii="黑体" w:hAnsi="黑体" w:eastAsia="黑体" w:cs="Times New Roman"/>
                <w:kern w:val="0"/>
                <w:sz w:val="28"/>
                <w:szCs w:val="28"/>
              </w:rPr>
            </w:pPr>
          </w:p>
          <w:p>
            <w:pPr>
              <w:widowControl/>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r>
              <w:rPr>
                <w:rFonts w:hint="eastAsia" w:ascii="方正小标宋简体" w:hAnsi="宋体" w:eastAsia="方正小标宋简体" w:cs="方正小标宋简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r>
              <w:rPr>
                <w:rFonts w:hint="eastAsia" w:ascii="黑体" w:hAnsi="黑体" w:eastAsia="黑体" w:cs="黑体"/>
                <w:kern w:val="0"/>
                <w:sz w:val="28"/>
                <w:szCs w:val="28"/>
                <w:u w:val="single"/>
              </w:rPr>
              <w:t>（</w:t>
            </w:r>
            <w:r>
              <w:rPr>
                <w:rFonts w:hint="eastAsia" w:ascii="仿宋" w:hAnsi="仿宋" w:eastAsia="仿宋" w:cs="仿宋"/>
                <w:sz w:val="28"/>
                <w:szCs w:val="28"/>
              </w:rPr>
              <w:t>对种粮农户实行农业支持保护补贴</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64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277" w:type="dxa"/>
            <w:gridSpan w:val="3"/>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5.1</w:t>
            </w:r>
          </w:p>
        </w:tc>
      </w:tr>
      <w:tr>
        <w:tblPrEx>
          <w:tblCellMar>
            <w:top w:w="0" w:type="dxa"/>
            <w:left w:w="108" w:type="dxa"/>
            <w:bottom w:w="0" w:type="dxa"/>
            <w:right w:w="108" w:type="dxa"/>
          </w:tblCellMar>
        </w:tblPrEx>
        <w:trPr>
          <w:gridAfter w:val="1"/>
          <w:wAfter w:w="702" w:type="dxa"/>
          <w:trHeight w:val="720"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snapToGrid w:val="0"/>
              <w:spacing w:line="560" w:lineRule="exact"/>
              <w:rPr>
                <w:rFonts w:ascii="仿宋" w:hAnsi="仿宋" w:eastAsia="仿宋" w:cs="Times New Roman"/>
                <w:sz w:val="24"/>
                <w:szCs w:val="24"/>
              </w:rPr>
            </w:pPr>
            <w:r>
              <w:rPr>
                <w:rFonts w:hint="eastAsia" w:ascii="仿宋" w:hAnsi="仿宋" w:eastAsia="仿宋" w:cs="仿宋"/>
                <w:sz w:val="24"/>
                <w:szCs w:val="24"/>
              </w:rPr>
              <w:t>对种粮农户实行耕地地力保护补贴</w:t>
            </w:r>
          </w:p>
        </w:tc>
      </w:tr>
      <w:tr>
        <w:tblPrEx>
          <w:tblCellMar>
            <w:top w:w="0" w:type="dxa"/>
            <w:left w:w="108" w:type="dxa"/>
            <w:bottom w:w="0" w:type="dxa"/>
            <w:right w:w="108" w:type="dxa"/>
          </w:tblCellMar>
        </w:tblPrEx>
        <w:trPr>
          <w:gridAfter w:val="1"/>
          <w:wAfter w:w="702" w:type="dxa"/>
          <w:trHeight w:val="1030"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《市农委</w:t>
            </w:r>
            <w:r>
              <w:rPr>
                <w:rFonts w:ascii="仿宋" w:hAnsi="仿宋" w:eastAsia="仿宋" w:cs="仿宋"/>
                <w:sz w:val="24"/>
                <w:szCs w:val="24"/>
              </w:rPr>
              <w:t xml:space="preserve"> </w:t>
            </w:r>
            <w:r>
              <w:rPr>
                <w:rFonts w:hint="eastAsia" w:ascii="仿宋" w:hAnsi="仿宋" w:eastAsia="仿宋" w:cs="仿宋"/>
                <w:sz w:val="24"/>
                <w:szCs w:val="24"/>
              </w:rPr>
              <w:t>市财政局关于印发天津市对种粮农户实行农业支持保护补贴实施方案的通知》（津农委计财</w:t>
            </w:r>
            <w:r>
              <w:rPr>
                <w:rFonts w:ascii="仿宋" w:hAnsi="仿宋" w:eastAsia="仿宋" w:cs="仿宋"/>
                <w:sz w:val="24"/>
                <w:szCs w:val="24"/>
              </w:rPr>
              <w:t>[2015]114</w:t>
            </w:r>
            <w:r>
              <w:rPr>
                <w:rFonts w:hint="eastAsia" w:ascii="仿宋" w:hAnsi="仿宋" w:eastAsia="仿宋" w:cs="仿宋"/>
                <w:sz w:val="24"/>
                <w:szCs w:val="24"/>
              </w:rPr>
              <w:t>号）</w:t>
            </w:r>
          </w:p>
        </w:tc>
      </w:tr>
      <w:tr>
        <w:tblPrEx>
          <w:tblCellMar>
            <w:top w:w="0" w:type="dxa"/>
            <w:left w:w="108" w:type="dxa"/>
            <w:bottom w:w="0" w:type="dxa"/>
            <w:right w:w="108" w:type="dxa"/>
          </w:tblCellMar>
        </w:tblPrEx>
        <w:trPr>
          <w:gridAfter w:val="1"/>
          <w:wAfter w:w="702" w:type="dxa"/>
          <w:trHeight w:val="606"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848"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街道权限（核实上报）</w:t>
            </w:r>
          </w:p>
        </w:tc>
      </w:tr>
      <w:tr>
        <w:tblPrEx>
          <w:tblCellMar>
            <w:top w:w="0" w:type="dxa"/>
            <w:left w:w="108" w:type="dxa"/>
            <w:bottom w:w="0" w:type="dxa"/>
            <w:right w:w="108" w:type="dxa"/>
          </w:tblCellMar>
        </w:tblPrEx>
        <w:trPr>
          <w:gridAfter w:val="1"/>
          <w:wAfter w:w="702" w:type="dxa"/>
          <w:trHeight w:val="810"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发放材料</w:t>
            </w:r>
            <w:r>
              <w:rPr>
                <w:rFonts w:ascii="仿宋" w:hAnsi="仿宋" w:eastAsia="仿宋" w:cs="仿宋"/>
                <w:sz w:val="24"/>
                <w:szCs w:val="24"/>
              </w:rPr>
              <w:t>-</w:t>
            </w:r>
            <w:r>
              <w:rPr>
                <w:rFonts w:hint="eastAsia" w:ascii="仿宋" w:hAnsi="仿宋" w:eastAsia="仿宋" w:cs="仿宋"/>
                <w:sz w:val="24"/>
                <w:szCs w:val="24"/>
              </w:rPr>
              <w:t>公示</w:t>
            </w:r>
            <w:r>
              <w:rPr>
                <w:rFonts w:ascii="仿宋" w:hAnsi="仿宋" w:eastAsia="仿宋" w:cs="仿宋"/>
                <w:sz w:val="24"/>
                <w:szCs w:val="24"/>
              </w:rPr>
              <w:t>-</w:t>
            </w:r>
            <w:r>
              <w:rPr>
                <w:rFonts w:hint="eastAsia" w:ascii="仿宋" w:hAnsi="仿宋" w:eastAsia="仿宋" w:cs="仿宋"/>
                <w:sz w:val="24"/>
                <w:szCs w:val="24"/>
              </w:rPr>
              <w:t>审核</w:t>
            </w:r>
            <w:r>
              <w:rPr>
                <w:rFonts w:ascii="仿宋" w:hAnsi="仿宋" w:eastAsia="仿宋" w:cs="仿宋"/>
                <w:sz w:val="24"/>
                <w:szCs w:val="24"/>
              </w:rPr>
              <w:t>-</w:t>
            </w:r>
            <w:r>
              <w:rPr>
                <w:rFonts w:hint="eastAsia" w:ascii="仿宋" w:hAnsi="仿宋" w:eastAsia="仿宋" w:cs="仿宋"/>
                <w:sz w:val="24"/>
                <w:szCs w:val="24"/>
              </w:rPr>
              <w:t>报送</w:t>
            </w:r>
            <w:r>
              <w:rPr>
                <w:rFonts w:ascii="仿宋" w:hAnsi="仿宋" w:eastAsia="仿宋" w:cs="仿宋"/>
                <w:sz w:val="24"/>
                <w:szCs w:val="24"/>
              </w:rPr>
              <w:t>-</w:t>
            </w:r>
            <w:r>
              <w:rPr>
                <w:rFonts w:hint="eastAsia" w:ascii="仿宋" w:hAnsi="仿宋" w:eastAsia="仿宋" w:cs="仿宋"/>
                <w:sz w:val="24"/>
                <w:szCs w:val="24"/>
              </w:rPr>
              <w:t>发放</w:t>
            </w:r>
          </w:p>
        </w:tc>
      </w:tr>
      <w:tr>
        <w:tblPrEx>
          <w:tblCellMar>
            <w:top w:w="0" w:type="dxa"/>
            <w:left w:w="108" w:type="dxa"/>
            <w:bottom w:w="0" w:type="dxa"/>
            <w:right w:w="108" w:type="dxa"/>
          </w:tblCellMar>
        </w:tblPrEx>
        <w:trPr>
          <w:gridAfter w:val="1"/>
          <w:wAfter w:w="702" w:type="dxa"/>
          <w:trHeight w:val="1128"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仿宋" w:hAnsi="仿宋" w:eastAsia="仿宋" w:cs="Times New Roman"/>
                <w:sz w:val="24"/>
                <w:szCs w:val="24"/>
              </w:rPr>
            </w:pPr>
            <w:r>
              <w:rPr>
                <w:rFonts w:hint="eastAsia" w:ascii="仿宋" w:hAnsi="仿宋" w:eastAsia="仿宋" w:cs="仿宋"/>
                <w:sz w:val="24"/>
                <w:szCs w:val="24"/>
              </w:rPr>
              <w:t>耕地地力保护补贴工作公示表</w:t>
            </w:r>
          </w:p>
          <w:p>
            <w:pPr>
              <w:widowControl/>
              <w:numPr>
                <w:ilvl w:val="0"/>
                <w:numId w:val="1"/>
              </w:numPr>
              <w:jc w:val="left"/>
              <w:rPr>
                <w:rFonts w:ascii="仿宋" w:hAnsi="仿宋" w:eastAsia="仿宋" w:cs="Times New Roman"/>
                <w:sz w:val="24"/>
                <w:szCs w:val="24"/>
              </w:rPr>
            </w:pPr>
            <w:r>
              <w:rPr>
                <w:rFonts w:hint="eastAsia" w:ascii="仿宋" w:hAnsi="仿宋" w:eastAsia="仿宋" w:cs="仿宋"/>
                <w:sz w:val="24"/>
                <w:szCs w:val="24"/>
              </w:rPr>
              <w:t>耕地地力保护补贴工作明白纸</w:t>
            </w:r>
          </w:p>
          <w:p>
            <w:pPr>
              <w:widowControl/>
              <w:numPr>
                <w:ilvl w:val="0"/>
                <w:numId w:val="1"/>
              </w:numPr>
              <w:jc w:val="left"/>
              <w:rPr>
                <w:rFonts w:ascii="仿宋" w:hAnsi="仿宋" w:eastAsia="仿宋" w:cs="Times New Roman"/>
                <w:sz w:val="24"/>
                <w:szCs w:val="24"/>
              </w:rPr>
            </w:pPr>
            <w:r>
              <w:rPr>
                <w:rFonts w:hint="eastAsia" w:ascii="仿宋" w:hAnsi="仿宋" w:eastAsia="仿宋" w:cs="仿宋"/>
                <w:sz w:val="24"/>
                <w:szCs w:val="24"/>
              </w:rPr>
              <w:t>耕地地力保护补贴公示表</w:t>
            </w:r>
          </w:p>
          <w:p>
            <w:pPr>
              <w:widowControl/>
              <w:numPr>
                <w:ilvl w:val="0"/>
                <w:numId w:val="1"/>
              </w:numPr>
              <w:jc w:val="left"/>
              <w:rPr>
                <w:rFonts w:ascii="仿宋" w:hAnsi="仿宋" w:eastAsia="仿宋" w:cs="Times New Roman"/>
                <w:sz w:val="24"/>
                <w:szCs w:val="24"/>
              </w:rPr>
            </w:pPr>
            <w:r>
              <w:rPr>
                <w:rFonts w:hint="eastAsia" w:ascii="仿宋" w:hAnsi="仿宋" w:eastAsia="仿宋" w:cs="仿宋"/>
                <w:sz w:val="24"/>
                <w:szCs w:val="24"/>
              </w:rPr>
              <w:t>海滨街</w:t>
            </w:r>
            <w:r>
              <w:rPr>
                <w:rFonts w:ascii="仿宋" w:hAnsi="仿宋" w:eastAsia="仿宋" w:cs="仿宋"/>
                <w:sz w:val="24"/>
                <w:szCs w:val="24"/>
              </w:rPr>
              <w:t>XX</w:t>
            </w:r>
            <w:r>
              <w:rPr>
                <w:rFonts w:hint="eastAsia" w:ascii="仿宋" w:hAnsi="仿宋" w:eastAsia="仿宋" w:cs="仿宋"/>
                <w:sz w:val="24"/>
                <w:szCs w:val="24"/>
              </w:rPr>
              <w:t>年夏</w:t>
            </w:r>
            <w:r>
              <w:rPr>
                <w:rFonts w:ascii="仿宋" w:hAnsi="仿宋" w:eastAsia="仿宋" w:cs="仿宋"/>
                <w:sz w:val="24"/>
                <w:szCs w:val="24"/>
              </w:rPr>
              <w:t>/</w:t>
            </w:r>
            <w:r>
              <w:rPr>
                <w:rFonts w:hint="eastAsia" w:ascii="仿宋" w:hAnsi="仿宋" w:eastAsia="仿宋" w:cs="仿宋"/>
                <w:sz w:val="24"/>
                <w:szCs w:val="24"/>
              </w:rPr>
              <w:t>秋粮耕地地力保护补贴审核意见的请示</w:t>
            </w:r>
          </w:p>
        </w:tc>
      </w:tr>
      <w:tr>
        <w:tblPrEx>
          <w:tblCellMar>
            <w:top w:w="0" w:type="dxa"/>
            <w:left w:w="108" w:type="dxa"/>
            <w:bottom w:w="0" w:type="dxa"/>
            <w:right w:w="108" w:type="dxa"/>
          </w:tblCellMar>
        </w:tblPrEx>
        <w:trPr>
          <w:gridAfter w:val="1"/>
          <w:wAfter w:w="702" w:type="dxa"/>
          <w:trHeight w:val="1128" w:hRule="atLeast"/>
        </w:trPr>
        <w:tc>
          <w:tcPr>
            <w:tcW w:w="164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277"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村农支补工作小组向农户发放公示表及明白纸，丈量农户粮食面积后在村公示。公示后将材料上报街农服中心。</w:t>
            </w:r>
          </w:p>
          <w:p>
            <w:pPr>
              <w:widowControl/>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街农服中心对各村公示情况进行审核，对种粮大户进行自查。向区农委提出《</w:t>
            </w:r>
            <w:bookmarkStart w:id="1" w:name="OLE_LINK2"/>
            <w:r>
              <w:rPr>
                <w:rFonts w:hint="eastAsia" w:ascii="仿宋" w:hAnsi="仿宋" w:eastAsia="仿宋" w:cs="仿宋"/>
                <w:sz w:val="24"/>
                <w:szCs w:val="24"/>
              </w:rPr>
              <w:t>海滨街</w:t>
            </w:r>
            <w:r>
              <w:rPr>
                <w:rFonts w:ascii="仿宋" w:hAnsi="仿宋" w:eastAsia="仿宋" w:cs="仿宋"/>
                <w:sz w:val="24"/>
                <w:szCs w:val="24"/>
              </w:rPr>
              <w:t>XX</w:t>
            </w:r>
            <w:r>
              <w:rPr>
                <w:rFonts w:hint="eastAsia" w:ascii="仿宋" w:hAnsi="仿宋" w:eastAsia="仿宋" w:cs="仿宋"/>
                <w:sz w:val="24"/>
                <w:szCs w:val="24"/>
              </w:rPr>
              <w:t>年夏</w:t>
            </w:r>
            <w:r>
              <w:rPr>
                <w:rFonts w:ascii="仿宋" w:hAnsi="仿宋" w:eastAsia="仿宋" w:cs="仿宋"/>
                <w:sz w:val="24"/>
                <w:szCs w:val="24"/>
              </w:rPr>
              <w:t>/</w:t>
            </w:r>
            <w:r>
              <w:rPr>
                <w:rFonts w:hint="eastAsia" w:ascii="仿宋" w:hAnsi="仿宋" w:eastAsia="仿宋" w:cs="仿宋"/>
                <w:sz w:val="24"/>
                <w:szCs w:val="24"/>
              </w:rPr>
              <w:t>秋粮农业支持保护补贴审核意见的请示</w:t>
            </w:r>
            <w:bookmarkEnd w:id="1"/>
            <w:r>
              <w:rPr>
                <w:rFonts w:hint="eastAsia" w:ascii="仿宋" w:hAnsi="仿宋" w:eastAsia="仿宋" w:cs="仿宋"/>
                <w:sz w:val="24"/>
                <w:szCs w:val="24"/>
              </w:rPr>
              <w:t>》，并将公示表、汇总表作为附件一式二份报送区农委。</w:t>
            </w:r>
          </w:p>
          <w:p>
            <w:pPr>
              <w:widowControl/>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新区村农支补工作小组</w:t>
            </w:r>
            <w:bookmarkStart w:id="2" w:name="_GoBack"/>
            <w:bookmarkEnd w:id="2"/>
            <w:r>
              <w:rPr>
                <w:rFonts w:hint="eastAsia" w:ascii="仿宋" w:hAnsi="仿宋" w:eastAsia="仿宋" w:cs="仿宋"/>
                <w:sz w:val="24"/>
                <w:szCs w:val="24"/>
              </w:rPr>
              <w:t>材料进行审核抽查后，农业支持保护补贴公示表名册返回各街镇农办，报街镇财政所录入农民补贴网系统。区农委将种植情况报送区财政局，财政局审核无误后，再将全部农户信息传送到签约银行与公安网联查一致后，财政局再启动资金审批程序，通过“一卡通”方式将补贴资金发放至农户。</w:t>
            </w:r>
          </w:p>
        </w:tc>
      </w:tr>
      <w:tr>
        <w:tblPrEx>
          <w:tblCellMar>
            <w:top w:w="0" w:type="dxa"/>
            <w:left w:w="108" w:type="dxa"/>
            <w:bottom w:w="0" w:type="dxa"/>
            <w:right w:w="108" w:type="dxa"/>
          </w:tblCellMar>
        </w:tblPrEx>
        <w:trPr>
          <w:gridAfter w:val="1"/>
          <w:wAfter w:w="702" w:type="dxa"/>
          <w:trHeight w:val="1024" w:hRule="atLeast"/>
        </w:trPr>
        <w:tc>
          <w:tcPr>
            <w:tcW w:w="1641"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277" w:type="dxa"/>
            <w:gridSpan w:val="3"/>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r>
              <w:rPr>
                <w:rFonts w:hint="eastAsia" w:ascii="方正小标宋简体" w:hAnsi="宋体" w:eastAsia="方正小标宋简体" w:cs="方正小标宋简体"/>
                <w:kern w:val="0"/>
                <w:sz w:val="44"/>
                <w:szCs w:val="44"/>
              </w:rPr>
              <w:t>职责事项信息表</w:t>
            </w:r>
          </w:p>
          <w:p>
            <w:pPr>
              <w:widowControl/>
              <w:jc w:val="center"/>
              <w:rPr>
                <w:rFonts w:ascii="仿宋" w:hAnsi="仿宋" w:eastAsia="仿宋" w:cs="Times New Roman"/>
                <w:sz w:val="28"/>
                <w:szCs w:val="28"/>
              </w:rPr>
            </w:pPr>
            <w:r>
              <w:rPr>
                <w:rFonts w:hint="eastAsia" w:ascii="黑体" w:hAnsi="黑体" w:eastAsia="黑体" w:cs="黑体"/>
                <w:kern w:val="0"/>
                <w:sz w:val="28"/>
                <w:szCs w:val="28"/>
                <w:u w:val="single"/>
              </w:rPr>
              <w:t>（</w:t>
            </w:r>
            <w:r>
              <w:rPr>
                <w:rFonts w:hint="eastAsia" w:ascii="仿宋" w:hAnsi="仿宋" w:eastAsia="仿宋" w:cs="仿宋"/>
                <w:sz w:val="28"/>
                <w:szCs w:val="28"/>
              </w:rPr>
              <w:t>对在动物防疫工作、动物防疫科学研究中</w:t>
            </w:r>
          </w:p>
          <w:p>
            <w:pPr>
              <w:widowControl/>
              <w:jc w:val="center"/>
              <w:rPr>
                <w:rFonts w:ascii="黑体" w:hAnsi="黑体" w:eastAsia="黑体" w:cs="Times New Roman"/>
                <w:kern w:val="0"/>
                <w:sz w:val="28"/>
                <w:szCs w:val="28"/>
                <w:u w:val="single"/>
              </w:rPr>
            </w:pPr>
            <w:r>
              <w:rPr>
                <w:rFonts w:hint="eastAsia" w:ascii="仿宋" w:hAnsi="仿宋" w:eastAsia="仿宋" w:cs="仿宋"/>
                <w:sz w:val="28"/>
                <w:szCs w:val="28"/>
              </w:rPr>
              <w:t>做出成绩和贡献的单位和个人的奖励</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716" w:type="dxa"/>
            <w:gridSpan w:val="3"/>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202" w:type="dxa"/>
            <w:tcBorders>
              <w:top w:val="single" w:color="auto" w:sz="4" w:space="0"/>
              <w:left w:val="single" w:color="auto" w:sz="6" w:space="0"/>
              <w:bottom w:val="single" w:color="auto" w:sz="6" w:space="0"/>
              <w:right w:val="single" w:color="auto" w:sz="4" w:space="0"/>
            </w:tcBorders>
            <w:vAlign w:val="center"/>
          </w:tcPr>
          <w:p>
            <w:pPr>
              <w:snapToGrid w:val="0"/>
              <w:spacing w:line="560" w:lineRule="exact"/>
              <w:rPr>
                <w:rFonts w:ascii="仿宋" w:hAnsi="仿宋" w:eastAsia="仿宋" w:cs="仿宋"/>
                <w:sz w:val="24"/>
                <w:szCs w:val="24"/>
              </w:rPr>
            </w:pPr>
            <w:r>
              <w:rPr>
                <w:rFonts w:ascii="仿宋" w:hAnsi="仿宋" w:eastAsia="仿宋" w:cs="仿宋"/>
                <w:sz w:val="24"/>
                <w:szCs w:val="24"/>
              </w:rPr>
              <w:t>6.1</w:t>
            </w:r>
          </w:p>
        </w:tc>
      </w:tr>
      <w:tr>
        <w:tblPrEx>
          <w:tblCellMar>
            <w:top w:w="0" w:type="dxa"/>
            <w:left w:w="108" w:type="dxa"/>
            <w:bottom w:w="0" w:type="dxa"/>
            <w:right w:w="108" w:type="dxa"/>
          </w:tblCellMar>
        </w:tblPrEx>
        <w:trPr>
          <w:gridAfter w:val="1"/>
          <w:wAfter w:w="702" w:type="dxa"/>
          <w:trHeight w:val="720"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202" w:type="dxa"/>
            <w:tcBorders>
              <w:top w:val="single" w:color="auto" w:sz="6" w:space="0"/>
              <w:left w:val="single" w:color="auto" w:sz="6" w:space="0"/>
              <w:bottom w:val="single" w:color="auto" w:sz="6" w:space="0"/>
              <w:right w:val="single" w:color="auto" w:sz="4" w:space="0"/>
            </w:tcBorders>
            <w:vAlign w:val="center"/>
          </w:tcPr>
          <w:p>
            <w:pPr>
              <w:pStyle w:val="6"/>
              <w:jc w:val="both"/>
              <w:rPr>
                <w:rFonts w:ascii="仿宋" w:hAnsi="仿宋" w:eastAsia="仿宋" w:cs="Times New Roman"/>
                <w:kern w:val="2"/>
              </w:rPr>
            </w:pPr>
            <w:r>
              <w:rPr>
                <w:rFonts w:hint="eastAsia" w:ascii="仿宋" w:hAnsi="仿宋" w:eastAsia="仿宋" w:cs="仿宋"/>
                <w:kern w:val="2"/>
              </w:rPr>
              <w:t>对在动物防疫工作、动物防疫科学研究中做出成绩和贡献的单位和个人的奖励</w:t>
            </w:r>
          </w:p>
        </w:tc>
      </w:tr>
      <w:tr>
        <w:tblPrEx>
          <w:tblCellMar>
            <w:top w:w="0" w:type="dxa"/>
            <w:left w:w="108" w:type="dxa"/>
            <w:bottom w:w="0" w:type="dxa"/>
            <w:right w:w="108" w:type="dxa"/>
          </w:tblCellMar>
        </w:tblPrEx>
        <w:trPr>
          <w:gridAfter w:val="1"/>
          <w:wAfter w:w="702" w:type="dxa"/>
          <w:trHeight w:val="835"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202" w:type="dxa"/>
            <w:tcBorders>
              <w:top w:val="single" w:color="auto" w:sz="6" w:space="0"/>
              <w:left w:val="single" w:color="auto" w:sz="6" w:space="0"/>
              <w:bottom w:val="single" w:color="auto" w:sz="6" w:space="0"/>
              <w:right w:val="single" w:color="auto" w:sz="4" w:space="0"/>
            </w:tcBorders>
            <w:vAlign w:val="center"/>
          </w:tcPr>
          <w:p>
            <w:pPr>
              <w:pStyle w:val="6"/>
              <w:jc w:val="both"/>
              <w:rPr>
                <w:rFonts w:ascii="仿宋" w:hAnsi="仿宋" w:eastAsia="仿宋" w:cs="Times New Roman"/>
                <w:kern w:val="2"/>
              </w:rPr>
            </w:pPr>
            <w:r>
              <w:rPr>
                <w:rFonts w:hint="eastAsia" w:ascii="仿宋" w:hAnsi="仿宋" w:eastAsia="仿宋" w:cs="仿宋"/>
                <w:kern w:val="2"/>
              </w:rPr>
              <w:t>《中华人民共和国动物防疫法》</w:t>
            </w:r>
            <w:r>
              <w:rPr>
                <w:rFonts w:ascii="仿宋" w:hAnsi="仿宋" w:eastAsia="仿宋" w:cs="仿宋"/>
                <w:kern w:val="2"/>
              </w:rPr>
              <w:t xml:space="preserve"> </w:t>
            </w:r>
            <w:r>
              <w:rPr>
                <w:rFonts w:hint="eastAsia" w:ascii="仿宋" w:hAnsi="仿宋" w:eastAsia="仿宋" w:cs="仿宋"/>
                <w:kern w:val="2"/>
              </w:rPr>
              <w:t>第十一条</w:t>
            </w:r>
            <w:r>
              <w:rPr>
                <w:rFonts w:ascii="仿宋" w:hAnsi="仿宋" w:eastAsia="仿宋" w:cs="仿宋"/>
                <w:kern w:val="2"/>
              </w:rPr>
              <w:t xml:space="preserve"> </w:t>
            </w:r>
            <w:r>
              <w:rPr>
                <w:rFonts w:hint="eastAsia" w:ascii="仿宋" w:hAnsi="仿宋" w:eastAsia="仿宋" w:cs="仿宋"/>
                <w:kern w:val="2"/>
              </w:rPr>
              <w:t>对在动物防疫工作、动物防疫科学研究中做出成绩和贡献的单位和个人，各级人民政府及有关部门给予奖励。</w:t>
            </w:r>
          </w:p>
        </w:tc>
      </w:tr>
      <w:tr>
        <w:tblPrEx>
          <w:tblCellMar>
            <w:top w:w="0" w:type="dxa"/>
            <w:left w:w="108" w:type="dxa"/>
            <w:bottom w:w="0" w:type="dxa"/>
            <w:right w:w="108" w:type="dxa"/>
          </w:tblCellMar>
        </w:tblPrEx>
        <w:trPr>
          <w:gridAfter w:val="1"/>
          <w:wAfter w:w="702" w:type="dxa"/>
          <w:trHeight w:val="726"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202" w:type="dxa"/>
            <w:tcBorders>
              <w:top w:val="single" w:color="auto" w:sz="6" w:space="0"/>
              <w:left w:val="single" w:color="auto" w:sz="6" w:space="0"/>
              <w:bottom w:val="single" w:color="auto" w:sz="6" w:space="0"/>
              <w:right w:val="single" w:color="auto" w:sz="4" w:space="0"/>
            </w:tcBorders>
            <w:vAlign w:val="center"/>
          </w:tcPr>
          <w:p>
            <w:pPr>
              <w:snapToGrid w:val="0"/>
              <w:spacing w:line="560" w:lineRule="exac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593"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202" w:type="dxa"/>
            <w:tcBorders>
              <w:top w:val="single" w:color="auto" w:sz="6" w:space="0"/>
              <w:left w:val="single" w:color="auto" w:sz="6" w:space="0"/>
              <w:bottom w:val="single" w:color="auto" w:sz="6" w:space="0"/>
              <w:right w:val="single" w:color="auto" w:sz="4" w:space="0"/>
            </w:tcBorders>
            <w:vAlign w:val="center"/>
          </w:tcPr>
          <w:p>
            <w:pPr>
              <w:snapToGrid w:val="0"/>
              <w:spacing w:line="560" w:lineRule="exact"/>
              <w:rPr>
                <w:rFonts w:ascii="仿宋" w:hAnsi="仿宋" w:eastAsia="仿宋" w:cs="Times New Roman"/>
                <w:sz w:val="24"/>
                <w:szCs w:val="24"/>
              </w:rPr>
            </w:pPr>
            <w:r>
              <w:rPr>
                <w:rFonts w:hint="eastAsia" w:ascii="仿宋" w:hAnsi="仿宋" w:eastAsia="仿宋" w:cs="仿宋"/>
                <w:sz w:val="24"/>
                <w:szCs w:val="24"/>
              </w:rPr>
              <w:t>街道权限</w:t>
            </w:r>
          </w:p>
        </w:tc>
      </w:tr>
      <w:tr>
        <w:tblPrEx>
          <w:tblCellMar>
            <w:top w:w="0" w:type="dxa"/>
            <w:left w:w="108" w:type="dxa"/>
            <w:bottom w:w="0" w:type="dxa"/>
            <w:right w:w="108" w:type="dxa"/>
          </w:tblCellMar>
        </w:tblPrEx>
        <w:trPr>
          <w:gridAfter w:val="1"/>
          <w:wAfter w:w="702" w:type="dxa"/>
          <w:trHeight w:val="810"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202" w:type="dxa"/>
            <w:tcBorders>
              <w:top w:val="single" w:color="auto" w:sz="6" w:space="0"/>
              <w:left w:val="single" w:color="auto" w:sz="6" w:space="0"/>
              <w:bottom w:val="single" w:color="auto" w:sz="6" w:space="0"/>
              <w:right w:val="single" w:color="auto" w:sz="4" w:space="0"/>
            </w:tcBorders>
            <w:vAlign w:val="center"/>
          </w:tcPr>
          <w:p>
            <w:pPr>
              <w:pStyle w:val="6"/>
              <w:jc w:val="both"/>
              <w:rPr>
                <w:rFonts w:ascii="仿宋" w:hAnsi="仿宋" w:eastAsia="仿宋" w:cs="Times New Roman"/>
                <w:kern w:val="2"/>
              </w:rPr>
            </w:pPr>
            <w:r>
              <w:rPr>
                <w:rFonts w:hint="eastAsia" w:ascii="仿宋" w:hAnsi="仿宋" w:eastAsia="仿宋" w:cs="仿宋"/>
              </w:rPr>
              <w:t>发布</w:t>
            </w:r>
            <w:r>
              <w:rPr>
                <w:rFonts w:ascii="仿宋" w:hAnsi="仿宋" w:eastAsia="仿宋" w:cs="仿宋"/>
              </w:rPr>
              <w:t>-</w:t>
            </w:r>
            <w:r>
              <w:rPr>
                <w:rFonts w:hint="eastAsia" w:ascii="仿宋" w:hAnsi="仿宋" w:eastAsia="仿宋" w:cs="仿宋"/>
              </w:rPr>
              <w:t>申报</w:t>
            </w:r>
            <w:r>
              <w:rPr>
                <w:rFonts w:ascii="仿宋" w:hAnsi="仿宋" w:eastAsia="仿宋" w:cs="仿宋"/>
              </w:rPr>
              <w:t>-</w:t>
            </w:r>
            <w:r>
              <w:rPr>
                <w:rFonts w:hint="eastAsia" w:ascii="仿宋" w:hAnsi="仿宋" w:eastAsia="仿宋" w:cs="仿宋"/>
              </w:rPr>
              <w:t>评审</w:t>
            </w:r>
            <w:r>
              <w:rPr>
                <w:rFonts w:ascii="仿宋" w:hAnsi="仿宋" w:eastAsia="仿宋" w:cs="仿宋"/>
              </w:rPr>
              <w:t>-</w:t>
            </w:r>
            <w:r>
              <w:rPr>
                <w:rFonts w:hint="eastAsia" w:ascii="仿宋" w:hAnsi="仿宋" w:eastAsia="仿宋" w:cs="仿宋"/>
              </w:rPr>
              <w:t>公示</w:t>
            </w:r>
            <w:r>
              <w:rPr>
                <w:rFonts w:ascii="仿宋" w:hAnsi="仿宋" w:eastAsia="仿宋" w:cs="仿宋"/>
              </w:rPr>
              <w:t>-</w:t>
            </w:r>
            <w:r>
              <w:rPr>
                <w:rFonts w:hint="eastAsia" w:ascii="仿宋" w:hAnsi="仿宋" w:eastAsia="仿宋" w:cs="仿宋"/>
              </w:rPr>
              <w:t>奖励</w:t>
            </w:r>
          </w:p>
        </w:tc>
      </w:tr>
      <w:tr>
        <w:tblPrEx>
          <w:tblCellMar>
            <w:top w:w="0" w:type="dxa"/>
            <w:left w:w="108" w:type="dxa"/>
            <w:bottom w:w="0" w:type="dxa"/>
            <w:right w:w="108" w:type="dxa"/>
          </w:tblCellMar>
        </w:tblPrEx>
        <w:trPr>
          <w:gridAfter w:val="1"/>
          <w:wAfter w:w="702" w:type="dxa"/>
          <w:trHeight w:val="783"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202" w:type="dxa"/>
            <w:tcBorders>
              <w:top w:val="single" w:color="auto" w:sz="6" w:space="0"/>
              <w:left w:val="single" w:color="auto" w:sz="6" w:space="0"/>
              <w:bottom w:val="single" w:color="auto" w:sz="6" w:space="0"/>
              <w:right w:val="single" w:color="auto" w:sz="4" w:space="0"/>
            </w:tcBorders>
            <w:vAlign w:val="center"/>
          </w:tcPr>
          <w:p>
            <w:pPr>
              <w:snapToGrid w:val="0"/>
              <w:spacing w:line="560" w:lineRule="exact"/>
              <w:rPr>
                <w:rFonts w:ascii="仿宋" w:hAnsi="仿宋" w:eastAsia="仿宋" w:cs="Times New Roman"/>
                <w:sz w:val="24"/>
                <w:szCs w:val="24"/>
              </w:rPr>
            </w:pPr>
            <w:r>
              <w:rPr>
                <w:rFonts w:hint="eastAsia" w:ascii="仿宋" w:hAnsi="仿宋" w:eastAsia="仿宋" w:cs="仿宋"/>
                <w:sz w:val="24"/>
                <w:szCs w:val="24"/>
              </w:rPr>
              <w:t>申报书</w:t>
            </w:r>
          </w:p>
        </w:tc>
      </w:tr>
      <w:tr>
        <w:tblPrEx>
          <w:tblCellMar>
            <w:top w:w="0" w:type="dxa"/>
            <w:left w:w="108" w:type="dxa"/>
            <w:bottom w:w="0" w:type="dxa"/>
            <w:right w:w="108" w:type="dxa"/>
          </w:tblCellMar>
        </w:tblPrEx>
        <w:trPr>
          <w:gridAfter w:val="1"/>
          <w:wAfter w:w="702" w:type="dxa"/>
          <w:trHeight w:val="1128" w:hRule="atLeast"/>
        </w:trPr>
        <w:tc>
          <w:tcPr>
            <w:tcW w:w="1716" w:type="dxa"/>
            <w:gridSpan w:val="3"/>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202" w:type="dxa"/>
            <w:tcBorders>
              <w:top w:val="single" w:color="auto" w:sz="6" w:space="0"/>
              <w:left w:val="single" w:color="auto" w:sz="6" w:space="0"/>
              <w:bottom w:val="single" w:color="auto" w:sz="6" w:space="0"/>
              <w:right w:val="single" w:color="auto" w:sz="4" w:space="0"/>
            </w:tcBorders>
            <w:vAlign w:val="center"/>
          </w:tcPr>
          <w:p>
            <w:pPr>
              <w:pStyle w:val="6"/>
              <w:jc w:val="both"/>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发布方案；</w:t>
            </w:r>
          </w:p>
          <w:p>
            <w:pPr>
              <w:pStyle w:val="6"/>
              <w:jc w:val="both"/>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接受申报，告知受理与否；</w:t>
            </w:r>
          </w:p>
          <w:p>
            <w:pPr>
              <w:pStyle w:val="6"/>
              <w:jc w:val="both"/>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规定程序组织评审；</w:t>
            </w:r>
          </w:p>
          <w:p>
            <w:pPr>
              <w:pStyle w:val="6"/>
              <w:jc w:val="both"/>
              <w:rPr>
                <w:rFonts w:ascii="仿宋" w:hAnsi="仿宋" w:eastAsia="仿宋" w:cs="Times New Roman"/>
              </w:rPr>
            </w:pPr>
            <w:r>
              <w:rPr>
                <w:rFonts w:ascii="仿宋" w:hAnsi="仿宋" w:eastAsia="仿宋" w:cs="仿宋"/>
                <w:kern w:val="2"/>
              </w:rPr>
              <w:t>4.</w:t>
            </w:r>
            <w:r>
              <w:rPr>
                <w:rFonts w:hint="eastAsia" w:ascii="仿宋" w:hAnsi="仿宋" w:eastAsia="仿宋" w:cs="仿宋"/>
                <w:kern w:val="2"/>
              </w:rPr>
              <w:t>公示评审结果（公示期间有举报的，须调查核实）；</w:t>
            </w:r>
            <w:r>
              <w:rPr>
                <w:rFonts w:ascii="仿宋" w:hAnsi="仿宋" w:eastAsia="仿宋" w:cs="仿宋"/>
                <w:kern w:val="2"/>
              </w:rPr>
              <w:t>5.</w:t>
            </w:r>
            <w:r>
              <w:rPr>
                <w:rFonts w:hint="eastAsia" w:ascii="仿宋" w:hAnsi="仿宋" w:eastAsia="仿宋" w:cs="仿宋"/>
                <w:kern w:val="2"/>
              </w:rPr>
              <w:t>实施奖励。</w:t>
            </w:r>
          </w:p>
        </w:tc>
      </w:tr>
      <w:tr>
        <w:tblPrEx>
          <w:tblCellMar>
            <w:top w:w="0" w:type="dxa"/>
            <w:left w:w="108" w:type="dxa"/>
            <w:bottom w:w="0" w:type="dxa"/>
            <w:right w:w="108" w:type="dxa"/>
          </w:tblCellMar>
        </w:tblPrEx>
        <w:trPr>
          <w:gridAfter w:val="1"/>
          <w:wAfter w:w="702" w:type="dxa"/>
          <w:trHeight w:val="1024" w:hRule="atLeast"/>
        </w:trPr>
        <w:tc>
          <w:tcPr>
            <w:tcW w:w="1716"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202"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rPr>
            </w:pPr>
          </w:p>
          <w:p>
            <w:pPr>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r>
        <w:tblPrEx>
          <w:tblCellMar>
            <w:top w:w="0" w:type="dxa"/>
            <w:left w:w="108" w:type="dxa"/>
            <w:bottom w:w="0" w:type="dxa"/>
            <w:right w:w="108" w:type="dxa"/>
          </w:tblCellMar>
        </w:tblPrEx>
        <w:trPr>
          <w:trHeight w:val="839" w:hRule="atLeast"/>
        </w:trPr>
        <w:tc>
          <w:tcPr>
            <w:tcW w:w="9620" w:type="dxa"/>
            <w:gridSpan w:val="5"/>
            <w:tcBorders>
              <w:top w:val="nil"/>
              <w:left w:val="nil"/>
              <w:bottom w:val="nil"/>
              <w:right w:val="nil"/>
            </w:tcBorders>
            <w:vAlign w:val="center"/>
          </w:tcPr>
          <w:p>
            <w:pPr>
              <w:widowControl/>
              <w:jc w:val="center"/>
              <w:rPr>
                <w:rFonts w:ascii="黑体" w:hAnsi="黑体" w:eastAsia="黑体" w:cs="Times New Roman"/>
                <w:kern w:val="0"/>
                <w:sz w:val="28"/>
                <w:szCs w:val="28"/>
                <w:u w:val="single"/>
              </w:rPr>
            </w:pPr>
          </w:p>
          <w:p>
            <w:pPr>
              <w:widowControl/>
              <w:jc w:val="center"/>
              <w:rPr>
                <w:rFonts w:hint="eastAsia" w:ascii="方正小标宋简体" w:hAnsi="宋体" w:eastAsia="方正小标宋简体" w:cs="方正小标宋简体"/>
                <w:kern w:val="0"/>
                <w:sz w:val="44"/>
                <w:szCs w:val="44"/>
              </w:rPr>
            </w:pPr>
          </w:p>
          <w:p>
            <w:pPr>
              <w:widowControl/>
              <w:jc w:val="center"/>
              <w:rPr>
                <w:rFonts w:hint="eastAsia" w:ascii="方正小标宋简体" w:hAnsi="宋体" w:eastAsia="方正小标宋简体" w:cs="方正小标宋简体"/>
                <w:kern w:val="0"/>
                <w:sz w:val="44"/>
                <w:szCs w:val="44"/>
              </w:rPr>
            </w:pPr>
          </w:p>
          <w:p>
            <w:pPr>
              <w:widowControl/>
              <w:jc w:val="center"/>
              <w:rPr>
                <w:rFonts w:ascii="黑体" w:hAnsi="黑体" w:eastAsia="黑体" w:cs="Times New Roman"/>
                <w:kern w:val="0"/>
                <w:sz w:val="28"/>
                <w:szCs w:val="28"/>
                <w:u w:val="single"/>
              </w:rPr>
            </w:pPr>
            <w:r>
              <w:rPr>
                <w:rFonts w:hint="eastAsia" w:ascii="方正小标宋简体" w:hAnsi="宋体" w:eastAsia="方正小标宋简体" w:cs="方正小标宋简体"/>
                <w:kern w:val="0"/>
                <w:sz w:val="44"/>
                <w:szCs w:val="44"/>
              </w:rPr>
              <w:t>职责事项信息表</w:t>
            </w:r>
          </w:p>
          <w:p>
            <w:pPr>
              <w:widowControl/>
              <w:jc w:val="center"/>
              <w:rPr>
                <w:rFonts w:ascii="黑体" w:hAnsi="黑体" w:eastAsia="黑体" w:cs="Times New Roman"/>
                <w:kern w:val="0"/>
                <w:sz w:val="28"/>
                <w:szCs w:val="28"/>
                <w:u w:val="single"/>
              </w:rPr>
            </w:pPr>
            <w:r>
              <w:rPr>
                <w:rFonts w:hint="eastAsia" w:ascii="黑体" w:hAnsi="黑体" w:eastAsia="黑体" w:cs="黑体"/>
                <w:kern w:val="0"/>
                <w:sz w:val="28"/>
                <w:szCs w:val="28"/>
                <w:u w:val="single"/>
              </w:rPr>
              <w:t>（</w:t>
            </w:r>
            <w:r>
              <w:rPr>
                <w:rFonts w:hint="eastAsia" w:ascii="仿宋" w:hAnsi="仿宋" w:eastAsia="仿宋" w:cs="仿宋"/>
                <w:sz w:val="28"/>
                <w:szCs w:val="28"/>
              </w:rPr>
              <w:t>组织开展以农业生产为主要内容的农业机械服务</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671"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247"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7.1</w:t>
            </w:r>
          </w:p>
        </w:tc>
      </w:tr>
      <w:tr>
        <w:tblPrEx>
          <w:tblCellMar>
            <w:top w:w="0" w:type="dxa"/>
            <w:left w:w="108" w:type="dxa"/>
            <w:bottom w:w="0" w:type="dxa"/>
            <w:right w:w="108" w:type="dxa"/>
          </w:tblCellMar>
        </w:tblPrEx>
        <w:trPr>
          <w:gridAfter w:val="1"/>
          <w:wAfter w:w="702" w:type="dxa"/>
          <w:trHeight w:val="720"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组织开展以农业生产为主要内容的农业机械服务</w:t>
            </w:r>
          </w:p>
        </w:tc>
      </w:tr>
      <w:tr>
        <w:tblPrEx>
          <w:tblCellMar>
            <w:top w:w="0" w:type="dxa"/>
            <w:left w:w="108" w:type="dxa"/>
            <w:bottom w:w="0" w:type="dxa"/>
            <w:right w:w="108" w:type="dxa"/>
          </w:tblCellMar>
        </w:tblPrEx>
        <w:trPr>
          <w:gridAfter w:val="1"/>
          <w:wAfter w:w="702" w:type="dxa"/>
          <w:trHeight w:val="745"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pStyle w:val="2"/>
              <w:widowControl/>
              <w:shd w:val="clear" w:color="auto" w:fill="FFFFFF"/>
              <w:spacing w:beforeAutospacing="0" w:afterAutospacing="0" w:line="360" w:lineRule="atLeast"/>
              <w:rPr>
                <w:rFonts w:ascii="仿宋" w:hAnsi="仿宋" w:eastAsia="仿宋" w:cs="Times New Roman"/>
                <w:b w:val="0"/>
                <w:bCs w:val="0"/>
                <w:kern w:val="2"/>
                <w:sz w:val="24"/>
                <w:szCs w:val="24"/>
              </w:rPr>
            </w:pPr>
            <w:r>
              <w:rPr>
                <w:rFonts w:hint="eastAsia" w:ascii="仿宋" w:hAnsi="仿宋" w:eastAsia="仿宋" w:cs="仿宋"/>
                <w:b w:val="0"/>
                <w:bCs w:val="0"/>
                <w:kern w:val="2"/>
                <w:sz w:val="24"/>
                <w:szCs w:val="24"/>
              </w:rPr>
              <w:t>《天津市农业机械管理条例》第二十七条各级人民政府应当引导、支持和鼓励农业集体经济组织和农业劳动者兴办多种经济成分和多种经营形式的农业机械服务组织。乡、镇、村集体经济组织和村民委员会应当积极组织开展以农业生产为主要内容的农业机械服务。本市对农业机械的农业生产作业用燃油安排财政补贴，具体办法由市农业机械管理部门会同市财政部门根据国务院规定制定。</w:t>
            </w:r>
          </w:p>
        </w:tc>
      </w:tr>
      <w:tr>
        <w:tblPrEx>
          <w:tblCellMar>
            <w:top w:w="0" w:type="dxa"/>
            <w:left w:w="108" w:type="dxa"/>
            <w:bottom w:w="0" w:type="dxa"/>
            <w:right w:w="108" w:type="dxa"/>
          </w:tblCellMar>
        </w:tblPrEx>
        <w:trPr>
          <w:gridAfter w:val="1"/>
          <w:wAfter w:w="702" w:type="dxa"/>
          <w:trHeight w:val="1131"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848"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w:t>
            </w:r>
          </w:p>
        </w:tc>
      </w:tr>
      <w:tr>
        <w:tblPrEx>
          <w:tblCellMar>
            <w:top w:w="0" w:type="dxa"/>
            <w:left w:w="108" w:type="dxa"/>
            <w:bottom w:w="0" w:type="dxa"/>
            <w:right w:w="108" w:type="dxa"/>
          </w:tblCellMar>
        </w:tblPrEx>
        <w:trPr>
          <w:gridAfter w:val="1"/>
          <w:wAfter w:w="702" w:type="dxa"/>
          <w:trHeight w:val="810"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组织开展农业机械服务</w:t>
            </w:r>
          </w:p>
        </w:tc>
      </w:tr>
      <w:tr>
        <w:tblPrEx>
          <w:tblCellMar>
            <w:top w:w="0" w:type="dxa"/>
            <w:left w:w="108" w:type="dxa"/>
            <w:bottom w:w="0" w:type="dxa"/>
            <w:right w:w="108" w:type="dxa"/>
          </w:tblCellMar>
        </w:tblPrEx>
        <w:trPr>
          <w:gridAfter w:val="1"/>
          <w:wAfter w:w="702" w:type="dxa"/>
          <w:trHeight w:val="1128"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无</w:t>
            </w:r>
          </w:p>
        </w:tc>
      </w:tr>
      <w:tr>
        <w:tblPrEx>
          <w:tblCellMar>
            <w:top w:w="0" w:type="dxa"/>
            <w:left w:w="108" w:type="dxa"/>
            <w:bottom w:w="0" w:type="dxa"/>
            <w:right w:w="108" w:type="dxa"/>
          </w:tblCellMar>
        </w:tblPrEx>
        <w:trPr>
          <w:gridAfter w:val="1"/>
          <w:wAfter w:w="702" w:type="dxa"/>
          <w:trHeight w:val="813" w:hRule="atLeast"/>
        </w:trPr>
        <w:tc>
          <w:tcPr>
            <w:tcW w:w="1671"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247"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积极组织开展以农业生产为主要内容的农业机械服务</w:t>
            </w:r>
          </w:p>
        </w:tc>
      </w:tr>
      <w:tr>
        <w:tblPrEx>
          <w:tblCellMar>
            <w:top w:w="0" w:type="dxa"/>
            <w:left w:w="108" w:type="dxa"/>
            <w:bottom w:w="0" w:type="dxa"/>
            <w:right w:w="108" w:type="dxa"/>
          </w:tblCellMar>
        </w:tblPrEx>
        <w:trPr>
          <w:gridAfter w:val="1"/>
          <w:wAfter w:w="702" w:type="dxa"/>
          <w:trHeight w:val="1024" w:hRule="atLeast"/>
        </w:trPr>
        <w:tc>
          <w:tcPr>
            <w:tcW w:w="1671"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247"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bl>
    <w:p>
      <w:pPr>
        <w:rPr>
          <w:rFonts w:ascii="黑体" w:hAnsi="黑体" w:eastAsia="黑体" w:cs="Times New Roman"/>
          <w:sz w:val="28"/>
          <w:szCs w:val="28"/>
        </w:rPr>
      </w:pPr>
    </w:p>
    <w:tbl>
      <w:tblPr>
        <w:tblStyle w:val="7"/>
        <w:tblW w:w="9620" w:type="dxa"/>
        <w:tblInd w:w="-106" w:type="dxa"/>
        <w:tblLayout w:type="fixed"/>
        <w:tblCellMar>
          <w:top w:w="0" w:type="dxa"/>
          <w:left w:w="108" w:type="dxa"/>
          <w:bottom w:w="0" w:type="dxa"/>
          <w:right w:w="108" w:type="dxa"/>
        </w:tblCellMar>
      </w:tblPr>
      <w:tblGrid>
        <w:gridCol w:w="1791"/>
        <w:gridCol w:w="7127"/>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p>
          <w:p>
            <w:pPr>
              <w:widowControl/>
              <w:jc w:val="center"/>
              <w:rPr>
                <w:rFonts w:ascii="黑体" w:hAnsi="黑体" w:eastAsia="黑体" w:cs="Times New Roman"/>
                <w:kern w:val="0"/>
                <w:sz w:val="28"/>
                <w:szCs w:val="28"/>
                <w:u w:val="single"/>
              </w:rPr>
            </w:pPr>
            <w:r>
              <w:rPr>
                <w:rFonts w:hint="eastAsia" w:ascii="方正小标宋简体" w:hAnsi="宋体" w:eastAsia="方正小标宋简体" w:cs="方正小标宋简体"/>
                <w:kern w:val="0"/>
                <w:sz w:val="44"/>
                <w:szCs w:val="44"/>
              </w:rPr>
              <w:t>职责事项信息表</w:t>
            </w:r>
          </w:p>
          <w:p>
            <w:pPr>
              <w:widowControl/>
              <w:jc w:val="center"/>
              <w:rPr>
                <w:rFonts w:ascii="仿宋" w:hAnsi="仿宋" w:eastAsia="仿宋" w:cs="Times New Roman"/>
                <w:sz w:val="28"/>
                <w:szCs w:val="28"/>
              </w:rPr>
            </w:pPr>
            <w:r>
              <w:rPr>
                <w:rFonts w:hint="eastAsia" w:ascii="黑体" w:hAnsi="黑体" w:eastAsia="黑体" w:cs="黑体"/>
                <w:kern w:val="0"/>
                <w:sz w:val="28"/>
                <w:szCs w:val="28"/>
                <w:u w:val="single"/>
              </w:rPr>
              <w:t>（</w:t>
            </w:r>
            <w:r>
              <w:rPr>
                <w:rFonts w:hint="eastAsia" w:ascii="仿宋" w:hAnsi="仿宋" w:eastAsia="仿宋" w:cs="仿宋"/>
                <w:sz w:val="28"/>
                <w:szCs w:val="28"/>
              </w:rPr>
              <w:t>发生农产品质量安全事故时，收到报告后应当</w:t>
            </w:r>
          </w:p>
          <w:p>
            <w:pPr>
              <w:widowControl/>
              <w:jc w:val="center"/>
              <w:rPr>
                <w:rFonts w:ascii="黑体" w:hAnsi="黑体" w:eastAsia="黑体" w:cs="Times New Roman"/>
                <w:kern w:val="0"/>
                <w:sz w:val="28"/>
                <w:szCs w:val="28"/>
                <w:u w:val="single"/>
              </w:rPr>
            </w:pPr>
            <w:r>
              <w:rPr>
                <w:rFonts w:hint="eastAsia" w:ascii="仿宋" w:hAnsi="仿宋" w:eastAsia="仿宋" w:cs="仿宋"/>
                <w:sz w:val="28"/>
                <w:szCs w:val="28"/>
              </w:rPr>
              <w:t>及时处理并报上一级人民政府和有关部门</w:t>
            </w:r>
            <w:r>
              <w:rPr>
                <w:rFonts w:hint="eastAsia" w:ascii="黑体" w:hAnsi="黑体" w:eastAsia="黑体" w:cs="黑体"/>
                <w:kern w:val="0"/>
                <w:sz w:val="28"/>
                <w:szCs w:val="28"/>
                <w:u w:val="single"/>
              </w:rPr>
              <w:t>）</w:t>
            </w:r>
            <w:r>
              <w:rPr>
                <w:rFonts w:hint="eastAsia" w:ascii="黑体" w:hAnsi="黑体" w:eastAsia="黑体" w:cs="黑体"/>
                <w:kern w:val="0"/>
                <w:sz w:val="28"/>
                <w:szCs w:val="28"/>
              </w:rPr>
              <w:t>信息表</w:t>
            </w:r>
          </w:p>
        </w:tc>
      </w:tr>
      <w:tr>
        <w:tblPrEx>
          <w:tblCellMar>
            <w:top w:w="0" w:type="dxa"/>
            <w:left w:w="108" w:type="dxa"/>
            <w:bottom w:w="0" w:type="dxa"/>
            <w:right w:w="108" w:type="dxa"/>
          </w:tblCellMar>
        </w:tblPrEx>
        <w:trPr>
          <w:gridAfter w:val="1"/>
          <w:wAfter w:w="702" w:type="dxa"/>
          <w:trHeight w:val="720" w:hRule="atLeast"/>
        </w:trPr>
        <w:tc>
          <w:tcPr>
            <w:tcW w:w="179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序号</w:t>
            </w:r>
          </w:p>
        </w:tc>
        <w:tc>
          <w:tcPr>
            <w:tcW w:w="7127"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8.1</w:t>
            </w:r>
          </w:p>
        </w:tc>
      </w:tr>
      <w:tr>
        <w:tblPrEx>
          <w:tblCellMar>
            <w:top w:w="0" w:type="dxa"/>
            <w:left w:w="108" w:type="dxa"/>
            <w:bottom w:w="0" w:type="dxa"/>
            <w:right w:w="108" w:type="dxa"/>
          </w:tblCellMar>
        </w:tblPrEx>
        <w:trPr>
          <w:gridAfter w:val="1"/>
          <w:wAfter w:w="702" w:type="dxa"/>
          <w:trHeight w:val="720"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名称</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发生农产品质量安全事故时，收到报告后应当及时处理并报上一级人民政府和有关部门</w:t>
            </w:r>
          </w:p>
        </w:tc>
      </w:tr>
      <w:tr>
        <w:tblPrEx>
          <w:tblCellMar>
            <w:top w:w="0" w:type="dxa"/>
            <w:left w:w="108" w:type="dxa"/>
            <w:bottom w:w="0" w:type="dxa"/>
            <w:right w:w="108" w:type="dxa"/>
          </w:tblCellMar>
        </w:tblPrEx>
        <w:trPr>
          <w:gridAfter w:val="1"/>
          <w:wAfter w:w="702" w:type="dxa"/>
          <w:trHeight w:val="595"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法定依据</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中华人民共和国农产品质量安全法》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w:t>
            </w:r>
            <w:r>
              <w:fldChar w:fldCharType="begin"/>
            </w:r>
            <w:r>
              <w:instrText xml:space="preserve"> HYPERLINK "https://baike.baidu.com/item/%E8%8D%AF%E5%93%81%E7%9B%91%E7%9D%A3%E7%AE%A1%E7%90%86" \t "https://baike.baidu.com/item/%E4%B8%AD%E5%8D%8E%E4%BA%BA%E6%B0%91%E5%85%B1%E5%92%8C%E5%9B%BD%E5%86%9C%E4%BA%A7%E5%93%81%E8%B4%A8%E9%87%8F%E5%AE%89%E5%85%A8%E6%B3%95/_blank" </w:instrText>
            </w:r>
            <w:r>
              <w:fldChar w:fldCharType="separate"/>
            </w:r>
            <w:r>
              <w:rPr>
                <w:rFonts w:hint="eastAsia" w:ascii="仿宋" w:hAnsi="仿宋" w:eastAsia="仿宋" w:cs="仿宋"/>
                <w:sz w:val="24"/>
                <w:szCs w:val="24"/>
              </w:rPr>
              <w:t>药品监督管理</w:t>
            </w:r>
            <w:r>
              <w:rPr>
                <w:rFonts w:hint="eastAsia" w:ascii="仿宋" w:hAnsi="仿宋" w:eastAsia="仿宋" w:cs="仿宋"/>
                <w:sz w:val="24"/>
                <w:szCs w:val="24"/>
              </w:rPr>
              <w:fldChar w:fldCharType="end"/>
            </w:r>
            <w:r>
              <w:rPr>
                <w:rFonts w:hint="eastAsia" w:ascii="仿宋" w:hAnsi="仿宋" w:eastAsia="仿宋" w:cs="仿宋"/>
                <w:sz w:val="24"/>
                <w:szCs w:val="24"/>
              </w:rPr>
              <w:t>部门。</w:t>
            </w:r>
          </w:p>
        </w:tc>
      </w:tr>
      <w:tr>
        <w:tblPrEx>
          <w:tblCellMar>
            <w:top w:w="0" w:type="dxa"/>
            <w:left w:w="108" w:type="dxa"/>
            <w:bottom w:w="0" w:type="dxa"/>
            <w:right w:w="108" w:type="dxa"/>
          </w:tblCellMar>
        </w:tblPrEx>
        <w:trPr>
          <w:gridAfter w:val="1"/>
          <w:wAfter w:w="702" w:type="dxa"/>
          <w:trHeight w:val="1131"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实施机构</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Times New Roman"/>
                <w:sz w:val="24"/>
                <w:szCs w:val="24"/>
                <w:lang w:eastAsia="zh-CN"/>
              </w:rPr>
            </w:pPr>
            <w:r>
              <w:rPr>
                <w:rFonts w:hint="eastAsia" w:ascii="仿宋" w:hAnsi="仿宋" w:eastAsia="仿宋" w:cs="仿宋"/>
                <w:sz w:val="24"/>
                <w:szCs w:val="24"/>
                <w:lang w:eastAsia="zh-CN"/>
              </w:rPr>
              <w:t>天津市滨海新区海滨街农业农村综合服务中心</w:t>
            </w:r>
          </w:p>
        </w:tc>
      </w:tr>
      <w:tr>
        <w:tblPrEx>
          <w:tblCellMar>
            <w:top w:w="0" w:type="dxa"/>
            <w:left w:w="108" w:type="dxa"/>
            <w:bottom w:w="0" w:type="dxa"/>
            <w:right w:w="108" w:type="dxa"/>
          </w:tblCellMar>
        </w:tblPrEx>
        <w:trPr>
          <w:gridAfter w:val="1"/>
          <w:wAfter w:w="702" w:type="dxa"/>
          <w:trHeight w:val="848"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职责边界</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街道权限（核实上报）</w:t>
            </w:r>
          </w:p>
        </w:tc>
      </w:tr>
      <w:tr>
        <w:tblPrEx>
          <w:tblCellMar>
            <w:top w:w="0" w:type="dxa"/>
            <w:left w:w="108" w:type="dxa"/>
            <w:bottom w:w="0" w:type="dxa"/>
            <w:right w:w="108" w:type="dxa"/>
          </w:tblCellMar>
        </w:tblPrEx>
        <w:trPr>
          <w:gridAfter w:val="1"/>
          <w:wAfter w:w="702" w:type="dxa"/>
          <w:trHeight w:val="810"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运行流程</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接收</w:t>
            </w:r>
            <w:r>
              <w:rPr>
                <w:rFonts w:ascii="仿宋" w:hAnsi="仿宋" w:eastAsia="仿宋" w:cs="仿宋"/>
                <w:sz w:val="24"/>
                <w:szCs w:val="24"/>
              </w:rPr>
              <w:t>-</w:t>
            </w:r>
            <w:r>
              <w:rPr>
                <w:rFonts w:hint="eastAsia" w:ascii="仿宋" w:hAnsi="仿宋" w:eastAsia="仿宋" w:cs="仿宋"/>
                <w:sz w:val="24"/>
                <w:szCs w:val="24"/>
              </w:rPr>
              <w:t>上报</w:t>
            </w:r>
          </w:p>
        </w:tc>
      </w:tr>
      <w:tr>
        <w:tblPrEx>
          <w:tblCellMar>
            <w:top w:w="0" w:type="dxa"/>
            <w:left w:w="108" w:type="dxa"/>
            <w:bottom w:w="0" w:type="dxa"/>
            <w:right w:w="108" w:type="dxa"/>
          </w:tblCellMar>
        </w:tblPrEx>
        <w:trPr>
          <w:gridAfter w:val="1"/>
          <w:wAfter w:w="702" w:type="dxa"/>
          <w:trHeight w:val="783"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运行要件</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无</w:t>
            </w:r>
          </w:p>
        </w:tc>
      </w:tr>
      <w:tr>
        <w:tblPrEx>
          <w:tblCellMar>
            <w:top w:w="0" w:type="dxa"/>
            <w:left w:w="108" w:type="dxa"/>
            <w:bottom w:w="0" w:type="dxa"/>
            <w:right w:w="108" w:type="dxa"/>
          </w:tblCellMar>
        </w:tblPrEx>
        <w:trPr>
          <w:gridAfter w:val="1"/>
          <w:wAfter w:w="702" w:type="dxa"/>
          <w:trHeight w:val="798" w:hRule="atLeast"/>
        </w:trPr>
        <w:tc>
          <w:tcPr>
            <w:tcW w:w="179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责任事项</w:t>
            </w:r>
          </w:p>
        </w:tc>
        <w:tc>
          <w:tcPr>
            <w:tcW w:w="7127"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接收农产品质量安全事故报告；</w:t>
            </w:r>
            <w:r>
              <w:rPr>
                <w:rFonts w:ascii="仿宋" w:hAnsi="仿宋" w:eastAsia="仿宋" w:cs="仿宋"/>
                <w:sz w:val="24"/>
                <w:szCs w:val="24"/>
              </w:rPr>
              <w:t>2.</w:t>
            </w:r>
            <w:r>
              <w:rPr>
                <w:rFonts w:hint="eastAsia" w:ascii="仿宋" w:hAnsi="仿宋" w:eastAsia="仿宋" w:cs="仿宋"/>
                <w:sz w:val="24"/>
                <w:szCs w:val="24"/>
              </w:rPr>
              <w:t>及时上报区农委和区政府。</w:t>
            </w:r>
          </w:p>
        </w:tc>
      </w:tr>
      <w:tr>
        <w:tblPrEx>
          <w:tblCellMar>
            <w:top w:w="0" w:type="dxa"/>
            <w:left w:w="108" w:type="dxa"/>
            <w:bottom w:w="0" w:type="dxa"/>
            <w:right w:w="108" w:type="dxa"/>
          </w:tblCellMar>
        </w:tblPrEx>
        <w:trPr>
          <w:gridAfter w:val="1"/>
          <w:wAfter w:w="702" w:type="dxa"/>
          <w:trHeight w:val="1024" w:hRule="atLeast"/>
        </w:trPr>
        <w:tc>
          <w:tcPr>
            <w:tcW w:w="1791"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Times New Roman"/>
                <w:kern w:val="0"/>
                <w:sz w:val="28"/>
                <w:szCs w:val="28"/>
              </w:rPr>
            </w:pPr>
            <w:r>
              <w:rPr>
                <w:rFonts w:hint="eastAsia" w:ascii="方正黑体简体" w:hAnsi="宋体" w:eastAsia="方正黑体简体" w:cs="方正黑体简体"/>
                <w:kern w:val="0"/>
                <w:sz w:val="28"/>
                <w:szCs w:val="28"/>
              </w:rPr>
              <w:t>监督方式</w:t>
            </w:r>
          </w:p>
        </w:tc>
        <w:tc>
          <w:tcPr>
            <w:tcW w:w="7127"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Times New Roman"/>
                <w:sz w:val="24"/>
                <w:szCs w:val="24"/>
              </w:rPr>
            </w:pPr>
            <w:r>
              <w:rPr>
                <w:rFonts w:hint="eastAsia" w:ascii="仿宋" w:hAnsi="仿宋" w:eastAsia="仿宋" w:cs="仿宋"/>
                <w:sz w:val="24"/>
                <w:szCs w:val="24"/>
              </w:rPr>
              <w:t>部门电话：</w:t>
            </w:r>
            <w:r>
              <w:rPr>
                <w:rFonts w:ascii="仿宋" w:hAnsi="仿宋" w:eastAsia="仿宋" w:cs="仿宋"/>
                <w:sz w:val="24"/>
                <w:szCs w:val="24"/>
              </w:rPr>
              <w:t xml:space="preserve">63361713   </w:t>
            </w:r>
            <w:r>
              <w:rPr>
                <w:rFonts w:hint="eastAsia" w:ascii="仿宋" w:hAnsi="仿宋" w:eastAsia="仿宋" w:cs="仿宋"/>
                <w:kern w:val="0"/>
                <w:sz w:val="24"/>
                <w:szCs w:val="24"/>
              </w:rPr>
              <w:t>纪工委办公室</w:t>
            </w:r>
            <w:r>
              <w:rPr>
                <w:rFonts w:ascii="仿宋" w:hAnsi="仿宋" w:eastAsia="仿宋" w:cs="仿宋"/>
                <w:kern w:val="0"/>
                <w:sz w:val="24"/>
                <w:szCs w:val="24"/>
              </w:rPr>
              <w:t>63186060</w:t>
            </w:r>
          </w:p>
          <w:p>
            <w:pPr>
              <w:jc w:val="left"/>
              <w:rPr>
                <w:rFonts w:hint="eastAsia" w:ascii="仿宋" w:hAnsi="仿宋" w:eastAsia="仿宋" w:cs="仿宋"/>
                <w:sz w:val="24"/>
                <w:szCs w:val="24"/>
                <w:lang w:eastAsia="zh-CN"/>
              </w:rPr>
            </w:pPr>
          </w:p>
          <w:p>
            <w:pPr>
              <w:widowControl/>
              <w:jc w:val="left"/>
              <w:rPr>
                <w:rFonts w:ascii="仿宋" w:hAnsi="仿宋" w:eastAsia="仿宋" w:cs="Times New Roman"/>
                <w:sz w:val="24"/>
                <w:szCs w:val="24"/>
              </w:rPr>
            </w:pPr>
            <w:r>
              <w:rPr>
                <w:rFonts w:hint="eastAsia" w:ascii="仿宋" w:hAnsi="仿宋" w:eastAsia="仿宋" w:cs="仿宋"/>
                <w:sz w:val="24"/>
                <w:szCs w:val="24"/>
              </w:rPr>
              <w:t>来信来访地址：海滨街道办事处</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方正楷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仿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9DBF3"/>
    <w:multiLevelType w:val="singleLevel"/>
    <w:tmpl w:val="5A39DB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A44D2D"/>
    <w:rsid w:val="003004EB"/>
    <w:rsid w:val="006106E8"/>
    <w:rsid w:val="009A4CCF"/>
    <w:rsid w:val="00A44D2D"/>
    <w:rsid w:val="00A763D5"/>
    <w:rsid w:val="00AF3054"/>
    <w:rsid w:val="00FC50B2"/>
    <w:rsid w:val="01233005"/>
    <w:rsid w:val="01A93263"/>
    <w:rsid w:val="093C1D4C"/>
    <w:rsid w:val="13052060"/>
    <w:rsid w:val="1DA810B8"/>
    <w:rsid w:val="22D8047F"/>
    <w:rsid w:val="247A12DC"/>
    <w:rsid w:val="27CE7F72"/>
    <w:rsid w:val="286268D9"/>
    <w:rsid w:val="2C345AB4"/>
    <w:rsid w:val="324B4E62"/>
    <w:rsid w:val="3C151FF8"/>
    <w:rsid w:val="3F3365C2"/>
    <w:rsid w:val="41484C0D"/>
    <w:rsid w:val="426F1B36"/>
    <w:rsid w:val="42CD19C9"/>
    <w:rsid w:val="4E105DDD"/>
    <w:rsid w:val="517336FB"/>
    <w:rsid w:val="5B5F567C"/>
    <w:rsid w:val="5E1F72C3"/>
    <w:rsid w:val="5EFBEDDC"/>
    <w:rsid w:val="5F0830A5"/>
    <w:rsid w:val="61731C86"/>
    <w:rsid w:val="64D30737"/>
    <w:rsid w:val="700518A2"/>
    <w:rsid w:val="70450116"/>
    <w:rsid w:val="7AAC2B65"/>
    <w:rsid w:val="7FCD38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locked/>
    <w:uiPriority w:val="99"/>
    <w:pPr>
      <w:spacing w:beforeAutospacing="1"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color w:val="0000FF"/>
      <w:u w:val="single"/>
    </w:rPr>
  </w:style>
  <w:style w:type="character" w:customStyle="1" w:styleId="10">
    <w:name w:val="Footer Char"/>
    <w:basedOn w:val="8"/>
    <w:link w:val="4"/>
    <w:semiHidden/>
    <w:qFormat/>
    <w:uiPriority w:val="99"/>
    <w:rPr>
      <w:rFonts w:ascii="Calibri" w:hAnsi="Calibri" w:cs="Calibri"/>
      <w:sz w:val="18"/>
      <w:szCs w:val="18"/>
    </w:rPr>
  </w:style>
  <w:style w:type="character" w:customStyle="1" w:styleId="11">
    <w:name w:val="Header Char"/>
    <w:basedOn w:val="8"/>
    <w:link w:val="5"/>
    <w:semiHidden/>
    <w:qFormat/>
    <w:uiPriority w:val="99"/>
    <w:rPr>
      <w:rFonts w:ascii="Calibri" w:hAnsi="Calibri" w:cs="Calibri"/>
      <w:sz w:val="18"/>
      <w:szCs w:val="18"/>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22</Pages>
  <Words>12005</Words>
  <Characters>12847</Characters>
  <Lines>0</Lines>
  <Paragraphs>0</Paragraphs>
  <TotalTime>11</TotalTime>
  <ScaleCrop>false</ScaleCrop>
  <LinksUpToDate>false</LinksUpToDate>
  <CharactersWithSpaces>13036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小风筝_薇</cp:lastModifiedBy>
  <cp:lastPrinted>2017-12-25T11:42:00Z</cp:lastPrinted>
  <dcterms:modified xsi:type="dcterms:W3CDTF">2024-06-19T04:04:09Z</dcterms:modified>
  <dc:title>职责目录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AF8ADC59ED604447853BA7F1CAE3C8E6</vt:lpwstr>
  </property>
</Properties>
</file>