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opLinePunct/>
        <w:spacing w:line="720" w:lineRule="exact"/>
        <w:jc w:val="center"/>
        <w:rPr>
          <w:rFonts w:ascii="微软简标宋" w:eastAsia="微软简标宋"/>
          <w:sz w:val="44"/>
          <w:szCs w:val="44"/>
        </w:rPr>
      </w:pPr>
      <w:bookmarkStart w:id="0" w:name="_GoBack"/>
      <w:bookmarkEnd w:id="0"/>
      <w:r>
        <w:rPr>
          <w:rFonts w:hint="eastAsia" w:ascii="微软简标宋" w:eastAsia="微软简标宋"/>
          <w:sz w:val="44"/>
          <w:szCs w:val="44"/>
        </w:rPr>
        <w:t>天津市滨海新区人民政府2021年履行教育职责情况自查自评报告</w:t>
      </w:r>
    </w:p>
    <w:p>
      <w:pPr>
        <w:topLinePunct/>
        <w:rPr>
          <w:rFonts w:hAnsi="仿宋" w:cs="仿宋"/>
          <w:snapToGrid w:val="0"/>
          <w:kern w:val="32"/>
          <w:szCs w:val="32"/>
        </w:rPr>
      </w:pPr>
    </w:p>
    <w:p>
      <w:pPr>
        <w:topLinePunct/>
        <w:ind w:firstLine="632" w:firstLineChars="200"/>
        <w:rPr>
          <w:rFonts w:hAnsi="仿宋" w:cs="仿宋"/>
          <w:snapToGrid w:val="0"/>
          <w:kern w:val="32"/>
          <w:szCs w:val="32"/>
        </w:rPr>
      </w:pPr>
      <w:r>
        <w:rPr>
          <w:rFonts w:hint="eastAsia" w:hAnsi="仿宋" w:cs="仿宋"/>
          <w:snapToGrid w:val="0"/>
          <w:kern w:val="32"/>
          <w:szCs w:val="32"/>
        </w:rPr>
        <w:t>按照</w:t>
      </w:r>
      <w:r>
        <w:rPr>
          <w:rFonts w:hint="eastAsia"/>
          <w:snapToGrid w:val="0"/>
          <w:kern w:val="32"/>
          <w:szCs w:val="32"/>
        </w:rPr>
        <w:t>《天津市人民政府教育督导室关于印发2022年对各区人民政府履行教育职责评价方案的通知》</w:t>
      </w:r>
      <w:r>
        <w:rPr>
          <w:rFonts w:hint="eastAsia" w:hAnsi="仿宋" w:cs="仿宋"/>
          <w:snapToGrid w:val="0"/>
          <w:kern w:val="32"/>
          <w:szCs w:val="32"/>
        </w:rPr>
        <w:t>要求，对照</w:t>
      </w:r>
      <w:r>
        <w:rPr>
          <w:rFonts w:hint="eastAsia" w:hAnsi="仿宋_GB2312" w:cs="仿宋_GB2312"/>
          <w:snapToGrid w:val="0"/>
          <w:kern w:val="32"/>
          <w:szCs w:val="32"/>
        </w:rPr>
        <w:t>《2022年对各区人民政府履行教育职责评价的指标体系》</w:t>
      </w:r>
      <w:r>
        <w:rPr>
          <w:rFonts w:hint="eastAsia"/>
          <w:snapToGrid w:val="0"/>
          <w:kern w:val="32"/>
          <w:szCs w:val="32"/>
        </w:rPr>
        <w:t>，</w:t>
      </w:r>
      <w:r>
        <w:rPr>
          <w:rFonts w:hint="eastAsia" w:hAnsi="仿宋" w:cs="仿宋"/>
          <w:snapToGrid w:val="0"/>
          <w:kern w:val="32"/>
          <w:szCs w:val="32"/>
        </w:rPr>
        <w:t>我区对2021年以来履行教育职责情况进行了自查自评</w:t>
      </w:r>
      <w:r>
        <w:rPr>
          <w:rFonts w:hint="eastAsia" w:hAnsi="仿宋" w:cs="仿宋"/>
          <w:snapToGrid w:val="0"/>
          <w:kern w:val="32"/>
          <w:szCs w:val="32"/>
          <w:lang w:eastAsia="zh-CN"/>
        </w:rPr>
        <w:t>，</w:t>
      </w:r>
      <w:r>
        <w:rPr>
          <w:rFonts w:hint="eastAsia" w:hAnsi="仿宋" w:cs="仿宋"/>
          <w:snapToGrid w:val="0"/>
          <w:kern w:val="32"/>
          <w:szCs w:val="32"/>
        </w:rPr>
        <w:t>现报告如下。</w:t>
      </w:r>
    </w:p>
    <w:p>
      <w:pPr>
        <w:topLinePunct/>
        <w:ind w:firstLine="632" w:firstLineChars="200"/>
        <w:rPr>
          <w:rFonts w:ascii="黑体" w:hAnsi="黑体" w:eastAsia="黑体" w:cs="黑体"/>
          <w:snapToGrid w:val="0"/>
          <w:kern w:val="32"/>
          <w:szCs w:val="32"/>
        </w:rPr>
      </w:pPr>
      <w:r>
        <w:rPr>
          <w:rFonts w:hint="eastAsia" w:ascii="黑体" w:hAnsi="黑体" w:eastAsia="黑体" w:cs="黑体"/>
          <w:snapToGrid w:val="0"/>
          <w:kern w:val="32"/>
          <w:szCs w:val="32"/>
        </w:rPr>
        <w:t>一、自查情况</w:t>
      </w:r>
    </w:p>
    <w:p>
      <w:pPr>
        <w:topLinePunct/>
        <w:ind w:firstLine="632" w:firstLineChars="200"/>
        <w:rPr>
          <w:rFonts w:hAnsi="Calibri"/>
          <w:snapToGrid w:val="0"/>
          <w:kern w:val="32"/>
          <w:szCs w:val="32"/>
        </w:rPr>
      </w:pPr>
      <w:r>
        <w:rPr>
          <w:rFonts w:hint="eastAsia" w:hAnsi="Calibri"/>
          <w:snapToGrid w:val="0"/>
          <w:kern w:val="32"/>
          <w:szCs w:val="32"/>
        </w:rPr>
        <w:t>区政府教育督导室将</w:t>
      </w:r>
      <w:r>
        <w:rPr>
          <w:rFonts w:hint="eastAsia" w:hAnsi="仿宋_GB2312" w:cs="仿宋_GB2312"/>
          <w:snapToGrid w:val="0"/>
          <w:kern w:val="32"/>
          <w:szCs w:val="32"/>
        </w:rPr>
        <w:t>《2022年对各区人民政府履行教育职责评价的指标体系》</w:t>
      </w:r>
      <w:r>
        <w:rPr>
          <w:rFonts w:hint="eastAsia"/>
          <w:snapToGrid w:val="0"/>
          <w:kern w:val="32"/>
          <w:szCs w:val="32"/>
        </w:rPr>
        <w:t>进行分解，区教体局和区政府相关部门</w:t>
      </w:r>
      <w:r>
        <w:rPr>
          <w:rFonts w:hint="eastAsia"/>
          <w:snapToGrid w:val="0"/>
          <w:kern w:val="32"/>
          <w:szCs w:val="32"/>
          <w:lang w:eastAsia="zh-CN"/>
        </w:rPr>
        <w:t>依据职责</w:t>
      </w:r>
      <w:r>
        <w:rPr>
          <w:rFonts w:hint="eastAsia"/>
          <w:snapToGrid w:val="0"/>
          <w:kern w:val="32"/>
          <w:szCs w:val="32"/>
        </w:rPr>
        <w:t>认真自查。</w:t>
      </w:r>
      <w:r>
        <w:rPr>
          <w:rFonts w:hint="eastAsia"/>
          <w:snapToGrid w:val="0"/>
          <w:kern w:val="32"/>
          <w:szCs w:val="32"/>
          <w:lang w:eastAsia="zh-CN"/>
        </w:rPr>
        <w:t>由</w:t>
      </w:r>
      <w:r>
        <w:rPr>
          <w:rFonts w:hint="eastAsia"/>
          <w:snapToGrid w:val="0"/>
          <w:kern w:val="32"/>
          <w:szCs w:val="32"/>
        </w:rPr>
        <w:t>区政府教育督导室</w:t>
      </w:r>
      <w:r>
        <w:rPr>
          <w:rFonts w:hint="eastAsia"/>
          <w:snapToGrid w:val="0"/>
          <w:kern w:val="32"/>
          <w:szCs w:val="32"/>
          <w:lang w:eastAsia="zh-CN"/>
        </w:rPr>
        <w:t>拟定了</w:t>
      </w:r>
      <w:r>
        <w:rPr>
          <w:rFonts w:hint="eastAsia"/>
          <w:snapToGrid w:val="0"/>
          <w:kern w:val="32"/>
          <w:szCs w:val="32"/>
        </w:rPr>
        <w:t>全区自查自评报告，征求了区政府相关部门和各</w:t>
      </w:r>
      <w:r>
        <w:rPr>
          <w:rFonts w:hint="eastAsia"/>
          <w:snapToGrid w:val="0"/>
          <w:kern w:val="32"/>
          <w:szCs w:val="32"/>
          <w:lang w:eastAsia="zh-CN"/>
        </w:rPr>
        <w:t>开发</w:t>
      </w:r>
      <w:r>
        <w:rPr>
          <w:rFonts w:hint="eastAsia"/>
          <w:snapToGrid w:val="0"/>
          <w:kern w:val="32"/>
          <w:szCs w:val="32"/>
        </w:rPr>
        <w:t>区教育主管部门的意见，根据反馈情况进行了修改完善。</w:t>
      </w:r>
    </w:p>
    <w:p>
      <w:pPr>
        <w:topLinePunct/>
        <w:ind w:firstLine="632" w:firstLineChars="200"/>
        <w:rPr>
          <w:rFonts w:ascii="黑体" w:hAnsi="黑体" w:eastAsia="黑体" w:cs="黑体"/>
          <w:snapToGrid w:val="0"/>
          <w:kern w:val="32"/>
          <w:szCs w:val="32"/>
        </w:rPr>
      </w:pPr>
      <w:r>
        <w:rPr>
          <w:rFonts w:hint="eastAsia" w:ascii="黑体" w:hAnsi="黑体" w:eastAsia="黑体" w:cs="黑体"/>
          <w:snapToGrid w:val="0"/>
          <w:kern w:val="32"/>
          <w:szCs w:val="32"/>
        </w:rPr>
        <w:t>二、工作成效和经验做法</w:t>
      </w:r>
    </w:p>
    <w:p>
      <w:pPr>
        <w:topLinePunct/>
        <w:ind w:firstLine="632" w:firstLineChars="200"/>
        <w:rPr>
          <w:rFonts w:ascii="楷体_GB2312" w:hAnsi="楷体_GB2312" w:eastAsia="楷体_GB2312" w:cs="楷体_GB2312"/>
          <w:b/>
          <w:snapToGrid w:val="0"/>
          <w:kern w:val="32"/>
          <w:szCs w:val="32"/>
        </w:rPr>
      </w:pPr>
      <w:r>
        <w:rPr>
          <w:rFonts w:hint="eastAsia" w:ascii="楷体_GB2312" w:hAnsi="楷体_GB2312" w:eastAsia="楷体_GB2312" w:cs="楷体_GB2312"/>
          <w:b/>
          <w:snapToGrid w:val="0"/>
          <w:kern w:val="32"/>
          <w:szCs w:val="32"/>
        </w:rPr>
        <w:t>（一）全面贯彻执行党的教育方针</w:t>
      </w:r>
    </w:p>
    <w:p>
      <w:pPr>
        <w:topLinePunct/>
        <w:ind w:firstLine="632" w:firstLineChars="200"/>
        <w:rPr>
          <w:rFonts w:hAnsi="仿宋" w:cs="仿宋"/>
          <w:b/>
          <w:bCs/>
          <w:snapToGrid w:val="0"/>
          <w:kern w:val="32"/>
          <w:szCs w:val="32"/>
        </w:rPr>
      </w:pPr>
      <w:r>
        <w:rPr>
          <w:rFonts w:hint="eastAsia" w:hAnsi="仿宋" w:cs="仿宋"/>
          <w:b/>
          <w:bCs/>
          <w:snapToGrid w:val="0"/>
          <w:kern w:val="32"/>
          <w:szCs w:val="32"/>
        </w:rPr>
        <w:t>1.加强党对教育工作的全面领导</w:t>
      </w:r>
    </w:p>
    <w:p>
      <w:pPr>
        <w:topLinePunct/>
        <w:ind w:firstLine="632" w:firstLineChars="200"/>
        <w:rPr>
          <w:snapToGrid w:val="0"/>
          <w:kern w:val="32"/>
          <w:szCs w:val="32"/>
        </w:rPr>
      </w:pPr>
      <w:r>
        <w:rPr>
          <w:rFonts w:hint="eastAsia" w:hAnsi="黑体"/>
          <w:bCs/>
          <w:snapToGrid w:val="0"/>
          <w:kern w:val="32"/>
          <w:szCs w:val="32"/>
        </w:rPr>
        <w:t>（1）</w:t>
      </w:r>
      <w:r>
        <w:rPr>
          <w:rFonts w:hint="eastAsia" w:hAnsi="宋体"/>
          <w:snapToGrid w:val="0"/>
          <w:kern w:val="32"/>
          <w:szCs w:val="32"/>
        </w:rPr>
        <w:t>健全完善</w:t>
      </w:r>
      <w:r>
        <w:rPr>
          <w:rFonts w:hint="eastAsia" w:hAnsi="Calibri"/>
          <w:snapToGrid w:val="0"/>
          <w:kern w:val="32"/>
          <w:szCs w:val="32"/>
        </w:rPr>
        <w:t>区委、区政府领导联系学校制度。</w:t>
      </w:r>
      <w:r>
        <w:rPr>
          <w:rFonts w:hint="eastAsia"/>
          <w:snapToGrid w:val="0"/>
          <w:kern w:val="32"/>
          <w:szCs w:val="32"/>
        </w:rPr>
        <w:t>区委教育工作领导小组先后印发《关于完善区委区政府领导同志联系学校制度的通知》</w:t>
      </w:r>
      <w:r>
        <w:rPr>
          <w:rFonts w:hint="eastAsia" w:hAnsi="黑体"/>
          <w:bCs/>
          <w:snapToGrid w:val="0"/>
          <w:kern w:val="32"/>
          <w:szCs w:val="32"/>
        </w:rPr>
        <w:t>《关于2021学年度领导干部进校园开展思想政治工作的通知》</w:t>
      </w:r>
      <w:r>
        <w:rPr>
          <w:rFonts w:hint="eastAsia"/>
          <w:snapToGrid w:val="0"/>
          <w:kern w:val="32"/>
          <w:szCs w:val="32"/>
        </w:rPr>
        <w:t>《关于落实2022年学校党组织思政工作主体责任重点工作的通知》，持续推动落实区委、区政府领导联系学校制度。</w:t>
      </w:r>
    </w:p>
    <w:p>
      <w:pPr>
        <w:topLinePunct/>
        <w:ind w:firstLine="632" w:firstLineChars="200"/>
        <w:rPr>
          <w:rFonts w:hAnsi="黑体"/>
          <w:bCs/>
          <w:snapToGrid w:val="0"/>
          <w:kern w:val="32"/>
          <w:szCs w:val="32"/>
        </w:rPr>
      </w:pPr>
      <w:r>
        <w:rPr>
          <w:rFonts w:hint="eastAsia" w:hAnsi="黑体"/>
          <w:bCs/>
          <w:snapToGrid w:val="0"/>
          <w:kern w:val="32"/>
          <w:szCs w:val="32"/>
        </w:rPr>
        <w:t>（2）区委教育工作领导小组高度重视教育发展战略及中长期规划的编制和教育重大工作的研究部署，指导完成了滨海新区教育“十四五”规划，制定了《落实&lt;天津市贯彻落实深化新时代教育评价改革总体方案正面清单和负面清单&gt;任务分解表》《关于成立滨海新区“双减”工作领导小组和工作专班的方案》《滨海新区“双减”工作试点工作方案》《滨海新区推进义务教育优质均衡发展攻坚行动方案》《滨海新区2021年教育事业补短板工作计划》</w:t>
      </w:r>
      <w:r>
        <w:rPr>
          <w:rFonts w:hint="eastAsia" w:hAnsi="黑体"/>
          <w:bCs/>
          <w:snapToGrid w:val="0"/>
          <w:kern w:val="32"/>
          <w:szCs w:val="32"/>
          <w:lang w:eastAsia="zh-CN"/>
        </w:rPr>
        <w:t>等文件</w:t>
      </w:r>
      <w:r>
        <w:rPr>
          <w:rFonts w:hint="eastAsia" w:hAnsi="黑体"/>
          <w:bCs/>
          <w:snapToGrid w:val="0"/>
          <w:kern w:val="32"/>
          <w:szCs w:val="32"/>
        </w:rPr>
        <w:t>。</w:t>
      </w:r>
    </w:p>
    <w:p>
      <w:pPr>
        <w:topLinePunct/>
        <w:ind w:firstLine="632" w:firstLineChars="200"/>
        <w:rPr>
          <w:rFonts w:hAnsi="仿宋"/>
          <w:snapToGrid w:val="0"/>
          <w:kern w:val="32"/>
          <w:szCs w:val="32"/>
        </w:rPr>
      </w:pPr>
      <w:r>
        <w:rPr>
          <w:rFonts w:hint="eastAsia" w:hAnsi="仿宋_GB2312" w:cs="仿宋_GB2312"/>
          <w:bCs/>
          <w:snapToGrid w:val="0"/>
          <w:kern w:val="32"/>
          <w:szCs w:val="32"/>
        </w:rPr>
        <w:t>（3）</w:t>
      </w:r>
      <w:r>
        <w:rPr>
          <w:rFonts w:hint="eastAsia" w:hAnsi="仿宋"/>
          <w:snapToGrid w:val="0"/>
          <w:kern w:val="32"/>
          <w:szCs w:val="32"/>
        </w:rPr>
        <w:t>组织开展“迎盛会 筑忠诚 强担当 创业绩”主题学习宣传教育实践活动，教育引导广大党员干部教师准确理解和把握党的教育方针。</w:t>
      </w:r>
      <w:r>
        <w:rPr>
          <w:rFonts w:hint="eastAsia"/>
          <w:snapToGrid w:val="0"/>
          <w:kern w:val="32"/>
          <w:szCs w:val="32"/>
        </w:rPr>
        <w:t>将党的教育方针纳入学校章程。严格执行学校网站管理规定，涉及党的教育方针的表述必须准确规范。积极推动校园文化建设，深入学校巡查校风校训、校园标识等文化设施。</w:t>
      </w:r>
    </w:p>
    <w:p>
      <w:pPr>
        <w:topLinePunct/>
        <w:ind w:firstLine="632" w:firstLineChars="200"/>
        <w:rPr>
          <w:rFonts w:hAnsi="仿宋_GB2312" w:cs="仿宋_GB2312"/>
          <w:snapToGrid w:val="0"/>
          <w:kern w:val="32"/>
          <w:szCs w:val="32"/>
        </w:rPr>
      </w:pPr>
      <w:r>
        <w:rPr>
          <w:rFonts w:hint="eastAsia" w:hAnsi="仿宋_GB2312" w:cs="仿宋_GB2312"/>
          <w:snapToGrid w:val="0"/>
          <w:kern w:val="32"/>
          <w:szCs w:val="32"/>
        </w:rPr>
        <w:t>（4）</w:t>
      </w:r>
      <w:r>
        <w:rPr>
          <w:rFonts w:hint="eastAsia" w:hAnsi="仿宋"/>
          <w:snapToGrid w:val="0"/>
          <w:kern w:val="32"/>
          <w:szCs w:val="32"/>
        </w:rPr>
        <w:t>深入实施基层党建质量提升计划，坚持引领基层党建规范化建设。</w:t>
      </w:r>
      <w:r>
        <w:rPr>
          <w:rFonts w:hint="eastAsia"/>
          <w:snapToGrid w:val="0"/>
          <w:kern w:val="32"/>
          <w:szCs w:val="32"/>
        </w:rPr>
        <w:t>严格落实学校章程，提高依法治校水平。</w:t>
      </w:r>
      <w:r>
        <w:rPr>
          <w:rFonts w:hint="eastAsia" w:hAnsi="仿宋_GB2312" w:cs="仿宋_GB2312"/>
          <w:snapToGrid w:val="0"/>
          <w:kern w:val="32"/>
          <w:szCs w:val="32"/>
        </w:rPr>
        <w:t>坚持“党委主责、全员参与、制度约束、清单管理”的意识形态工作思路，一体推进宣传思想教育工作。2022年，教体局党委修订了《区教体局党委意识形态工作责任制实施细则》《滨海新区教体局党委意识形态工作责任制考核指标及操作细则》。</w:t>
      </w:r>
    </w:p>
    <w:p>
      <w:pPr>
        <w:topLinePunct/>
        <w:ind w:firstLine="632" w:firstLineChars="200"/>
        <w:rPr>
          <w:rFonts w:hAnsi="仿宋"/>
          <w:snapToGrid w:val="0"/>
          <w:kern w:val="32"/>
          <w:szCs w:val="32"/>
        </w:rPr>
      </w:pPr>
      <w:r>
        <w:rPr>
          <w:rFonts w:hint="eastAsia" w:hAnsi="仿宋_GB2312" w:cs="仿宋_GB2312"/>
          <w:snapToGrid w:val="0"/>
          <w:kern w:val="32"/>
          <w:szCs w:val="32"/>
        </w:rPr>
        <w:t>（5）</w:t>
      </w:r>
      <w:r>
        <w:rPr>
          <w:rFonts w:hint="eastAsia" w:hAnsi="仿宋"/>
          <w:snapToGrid w:val="0"/>
          <w:kern w:val="32"/>
          <w:szCs w:val="32"/>
        </w:rPr>
        <w:t>区委副书记分管学校党的领导和党的建设工作。制定《滨海新区关于建立和完善中小学校党组织领导的校长负责制实施方案》。</w:t>
      </w:r>
    </w:p>
    <w:p>
      <w:pPr>
        <w:topLinePunct/>
        <w:ind w:firstLine="632" w:firstLineChars="200"/>
        <w:rPr>
          <w:rFonts w:hAnsi="仿宋"/>
          <w:snapToGrid w:val="0"/>
          <w:kern w:val="32"/>
          <w:szCs w:val="32"/>
        </w:rPr>
      </w:pPr>
      <w:r>
        <w:rPr>
          <w:rFonts w:hint="eastAsia" w:hAnsi="仿宋"/>
          <w:snapToGrid w:val="0"/>
          <w:kern w:val="32"/>
          <w:szCs w:val="32"/>
        </w:rPr>
        <w:t>（6）配齐配强各级各类学校党组织，党的组织和党的工作实现全覆盖。进一步理顺民办学校党组织隶属关系。各学校将党建工作写入学校章程。</w:t>
      </w:r>
    </w:p>
    <w:p>
      <w:pPr>
        <w:topLinePunct/>
        <w:ind w:firstLine="632" w:firstLineChars="200"/>
        <w:rPr>
          <w:rFonts w:hAnsi="黑体"/>
          <w:b/>
          <w:snapToGrid w:val="0"/>
          <w:kern w:val="32"/>
          <w:szCs w:val="32"/>
          <w:highlight w:val="yellow"/>
        </w:rPr>
      </w:pPr>
      <w:r>
        <w:rPr>
          <w:rFonts w:hint="eastAsia" w:hAnsi="黑体"/>
          <w:b/>
          <w:snapToGrid w:val="0"/>
          <w:kern w:val="32"/>
          <w:szCs w:val="32"/>
        </w:rPr>
        <w:t>2.</w:t>
      </w:r>
      <w:r>
        <w:rPr>
          <w:rFonts w:hint="eastAsia" w:hAnsi="宋体"/>
          <w:b/>
          <w:snapToGrid w:val="0"/>
          <w:color w:val="000000"/>
          <w:kern w:val="32"/>
          <w:szCs w:val="32"/>
        </w:rPr>
        <w:t>健全德智体美劳全面发展育人机制</w:t>
      </w:r>
    </w:p>
    <w:p>
      <w:pPr>
        <w:topLinePunct/>
        <w:ind w:firstLine="632" w:firstLineChars="200"/>
        <w:rPr>
          <w:snapToGrid w:val="0"/>
          <w:kern w:val="32"/>
          <w:szCs w:val="32"/>
        </w:rPr>
      </w:pPr>
      <w:r>
        <w:rPr>
          <w:rFonts w:hint="eastAsia" w:hAnsi="仿宋_GB2312" w:cs="仿宋_GB2312"/>
          <w:bCs/>
          <w:snapToGrid w:val="0"/>
          <w:kern w:val="32"/>
          <w:szCs w:val="32"/>
        </w:rPr>
        <w:t>（1）</w:t>
      </w:r>
      <w:r>
        <w:rPr>
          <w:rFonts w:hint="eastAsia" w:hAnsi="仿宋_GB2312" w:cs="仿宋_GB2312"/>
          <w:snapToGrid w:val="0"/>
          <w:kern w:val="32"/>
          <w:szCs w:val="32"/>
        </w:rPr>
        <w:t>深化爱国主义教育，</w:t>
      </w:r>
      <w:r>
        <w:rPr>
          <w:rFonts w:hint="eastAsia" w:hAnsi="黑体"/>
          <w:snapToGrid w:val="0"/>
          <w:kern w:val="32"/>
          <w:szCs w:val="32"/>
        </w:rPr>
        <w:t>全面加强社会主义核心价值观文化建设</w:t>
      </w:r>
      <w:r>
        <w:rPr>
          <w:rFonts w:hint="eastAsia"/>
          <w:snapToGrid w:val="0"/>
          <w:kern w:val="32"/>
          <w:szCs w:val="32"/>
        </w:rPr>
        <w:t>。组织开展传统美德教育、经典诵读、戏曲进校园、书法进校园、传统体育进校园等活动。</w:t>
      </w:r>
      <w:r>
        <w:rPr>
          <w:rFonts w:hint="eastAsia" w:hAnsi="仿宋_GB2312" w:cs="仿宋_GB2312"/>
          <w:snapToGrid w:val="0"/>
          <w:kern w:val="32"/>
          <w:szCs w:val="32"/>
        </w:rPr>
        <w:t>实施“青苗关爱工程”。加强生态文明教育。</w:t>
      </w:r>
      <w:r>
        <w:rPr>
          <w:rFonts w:hint="eastAsia" w:hAnsi="仿宋_GB2312" w:cs="仿宋_GB2312"/>
          <w:bCs/>
          <w:snapToGrid w:val="0"/>
          <w:kern w:val="32"/>
          <w:szCs w:val="32"/>
        </w:rPr>
        <w:t>民族团结教育成绩突出</w:t>
      </w:r>
      <w:r>
        <w:rPr>
          <w:rFonts w:hint="eastAsia"/>
          <w:snapToGrid w:val="0"/>
          <w:kern w:val="32"/>
          <w:szCs w:val="32"/>
        </w:rPr>
        <w:t>。</w:t>
      </w:r>
      <w:r>
        <w:rPr>
          <w:rFonts w:hint="eastAsia" w:hAnsi="黑体"/>
          <w:snapToGrid w:val="0"/>
          <w:kern w:val="32"/>
          <w:szCs w:val="32"/>
        </w:rPr>
        <w:t>宣传</w:t>
      </w:r>
      <w:r>
        <w:rPr>
          <w:rFonts w:hint="eastAsia"/>
          <w:snapToGrid w:val="0"/>
          <w:kern w:val="32"/>
          <w:szCs w:val="32"/>
        </w:rPr>
        <w:t>《国家安全法》，</w:t>
      </w:r>
      <w:r>
        <w:rPr>
          <w:rFonts w:hint="eastAsia" w:hAnsi="黑体"/>
          <w:snapToGrid w:val="0"/>
          <w:kern w:val="32"/>
          <w:szCs w:val="32"/>
        </w:rPr>
        <w:t>培养师生国家安全观</w:t>
      </w:r>
      <w:r>
        <w:rPr>
          <w:rFonts w:hint="eastAsia" w:hAnsi="仿宋_GB2312" w:cs="仿宋_GB2312"/>
          <w:snapToGrid w:val="0"/>
          <w:kern w:val="32"/>
          <w:szCs w:val="32"/>
        </w:rPr>
        <w:t>。</w:t>
      </w:r>
      <w:r>
        <w:rPr>
          <w:rFonts w:hint="eastAsia"/>
          <w:snapToGrid w:val="0"/>
          <w:kern w:val="32"/>
          <w:szCs w:val="32"/>
        </w:rPr>
        <w:t>加强行业诚信教育，开展诚信缺失问题专项治理行动。</w:t>
      </w:r>
    </w:p>
    <w:p>
      <w:pPr>
        <w:topLinePunct/>
        <w:ind w:firstLine="632" w:firstLineChars="200"/>
        <w:rPr>
          <w:rFonts w:hAnsi="仿宋_GB2312" w:cs="仿宋_GB2312"/>
          <w:snapToGrid w:val="0"/>
          <w:color w:val="0000FF"/>
          <w:kern w:val="32"/>
          <w:szCs w:val="32"/>
        </w:rPr>
      </w:pPr>
      <w:r>
        <w:rPr>
          <w:rFonts w:hint="eastAsia" w:hAnsi="仿宋_GB2312" w:cs="仿宋_GB2312"/>
          <w:bCs/>
          <w:snapToGrid w:val="0"/>
          <w:kern w:val="32"/>
          <w:szCs w:val="32"/>
        </w:rPr>
        <w:t>（2）学校思政课扎实有效。坚持领导带头，推进组织领导一体化。坚持协同联动，推进育人渠道一体化。坚持同学同研，推进队伍建设一体化。坚持红色引领，推进课程建设一体化。坚持同频共振，推进课内课外一体化。坚持以集中实践与校内素质拓展训练相结合的原则开展学生实践活动</w:t>
      </w:r>
      <w:r>
        <w:rPr>
          <w:rFonts w:hint="eastAsia" w:hAnsi="仿宋_GB2312" w:cs="仿宋_GB2312"/>
          <w:snapToGrid w:val="0"/>
          <w:kern w:val="32"/>
          <w:szCs w:val="32"/>
        </w:rPr>
        <w:t>。</w:t>
      </w:r>
    </w:p>
    <w:p>
      <w:pPr>
        <w:topLinePunct/>
        <w:ind w:firstLine="632" w:firstLineChars="200"/>
        <w:rPr>
          <w:rFonts w:hAnsi="仿宋_GB2312" w:cs="仿宋_GB2312"/>
          <w:snapToGrid w:val="0"/>
          <w:color w:val="0000FF"/>
          <w:kern w:val="32"/>
          <w:szCs w:val="32"/>
        </w:rPr>
      </w:pPr>
      <w:r>
        <w:rPr>
          <w:rFonts w:hint="eastAsia" w:hAnsi="仿宋_GB2312" w:cs="仿宋_GB2312"/>
          <w:snapToGrid w:val="0"/>
          <w:kern w:val="32"/>
          <w:szCs w:val="32"/>
        </w:rPr>
        <w:t>（3）</w:t>
      </w:r>
      <w:r>
        <w:rPr>
          <w:rFonts w:hint="eastAsia"/>
          <w:snapToGrid w:val="0"/>
          <w:kern w:val="32"/>
          <w:szCs w:val="32"/>
        </w:rPr>
        <w:t>推动学生心理健康教育与思想政治工作</w:t>
      </w:r>
      <w:r>
        <w:rPr>
          <w:rFonts w:hint="eastAsia" w:hAnsi="仿宋_GB2312" w:cs="仿宋_GB2312"/>
          <w:snapToGrid w:val="0"/>
          <w:kern w:val="32"/>
          <w:szCs w:val="32"/>
        </w:rPr>
        <w:t>有机</w:t>
      </w:r>
      <w:r>
        <w:rPr>
          <w:rFonts w:hint="eastAsia"/>
          <w:snapToGrid w:val="0"/>
          <w:kern w:val="32"/>
          <w:szCs w:val="32"/>
        </w:rPr>
        <w:t>融合。开展幼小衔接指导、心理健康咨询等教育活动。</w:t>
      </w:r>
      <w:r>
        <w:rPr>
          <w:rFonts w:hint="eastAsia" w:hAnsi="仿宋_GB2312" w:cs="仿宋_GB2312"/>
          <w:snapToGrid w:val="0"/>
          <w:kern w:val="32"/>
          <w:szCs w:val="32"/>
        </w:rPr>
        <w:t>中小学心理辅导教室配备率达100%，经费落实率达100%。印发《关于进一步加强中小学家访工作的通知》。</w:t>
      </w:r>
    </w:p>
    <w:p>
      <w:pPr>
        <w:topLinePunct/>
        <w:ind w:firstLine="632" w:firstLineChars="200"/>
        <w:rPr>
          <w:snapToGrid w:val="0"/>
          <w:color w:val="000000"/>
          <w:kern w:val="32"/>
          <w:szCs w:val="32"/>
        </w:rPr>
      </w:pPr>
      <w:r>
        <w:rPr>
          <w:rFonts w:hint="eastAsia"/>
          <w:snapToGrid w:val="0"/>
          <w:color w:val="000000"/>
          <w:kern w:val="32"/>
          <w:szCs w:val="32"/>
        </w:rPr>
        <w:t>（4）</w:t>
      </w:r>
      <w:r>
        <w:rPr>
          <w:rFonts w:hint="eastAsia" w:cs="仿宋_GB2312"/>
          <w:snapToGrid w:val="0"/>
          <w:color w:val="000000"/>
          <w:kern w:val="32"/>
          <w:szCs w:val="32"/>
        </w:rPr>
        <w:t>推进学生体质健康提升。2021年中小学体质健康监测总平均分为76.89，较2020年增长5.85%；儿童青少年总体近视率为56.17%，较2020年降低1.05%，完成了天津市儿童青少年总体近视率年度防控指标。</w:t>
      </w:r>
    </w:p>
    <w:p>
      <w:pPr>
        <w:topLinePunct/>
        <w:ind w:firstLine="632" w:firstLineChars="200"/>
        <w:rPr>
          <w:snapToGrid w:val="0"/>
          <w:kern w:val="32"/>
          <w:szCs w:val="32"/>
        </w:rPr>
      </w:pPr>
      <w:r>
        <w:rPr>
          <w:rFonts w:hint="eastAsia"/>
          <w:snapToGrid w:val="0"/>
          <w:color w:val="000000"/>
          <w:kern w:val="32"/>
          <w:szCs w:val="32"/>
        </w:rPr>
        <w:t>（5）学校美育活动丰富多彩。组织开展第三批滨海新区中华优秀传统文化艺术传承校创建、滨海新区美育实践课堂之学生合唱节、戏剧节、舞蹈节、器乐节、书画大赛等活动。美育实践活动成为学校课后服务的重要组成，学生均有一项以上艺术特长。</w:t>
      </w:r>
    </w:p>
    <w:p>
      <w:pPr>
        <w:topLinePunct/>
        <w:ind w:firstLine="632" w:firstLineChars="200"/>
        <w:rPr>
          <w:rFonts w:hAnsi="仿宋_GB2312" w:cs="仿宋_GB2312"/>
          <w:bCs/>
          <w:snapToGrid w:val="0"/>
          <w:kern w:val="32"/>
          <w:szCs w:val="32"/>
        </w:rPr>
      </w:pPr>
      <w:r>
        <w:rPr>
          <w:rFonts w:hint="eastAsia" w:hAnsi="仿宋_GB2312" w:cs="仿宋_GB2312"/>
          <w:snapToGrid w:val="0"/>
          <w:kern w:val="32"/>
          <w:szCs w:val="32"/>
        </w:rPr>
        <w:t>（6）加强劳动教育。将劳动教育作为立德树人之基，把劳动教育纳入开学第一课。开展以“热爱劳动、勤于劳动、善于劳动”为主题的劳动周活动。</w:t>
      </w:r>
      <w:r>
        <w:rPr>
          <w:rFonts w:hint="eastAsia" w:hAnsi="仿宋_GB2312" w:cs="仿宋_GB2312"/>
          <w:bCs/>
          <w:snapToGrid w:val="0"/>
          <w:kern w:val="32"/>
          <w:szCs w:val="32"/>
        </w:rPr>
        <w:t>现有3个区级劳动教育基地，能够满足中小学生劳动实践活动需要。</w:t>
      </w:r>
    </w:p>
    <w:p>
      <w:pPr>
        <w:topLinePunct/>
        <w:ind w:firstLine="632" w:firstLineChars="200"/>
        <w:rPr>
          <w:rFonts w:ascii="楷体_GB2312" w:hAnsi="仿宋_GB2312" w:eastAsia="楷体_GB2312" w:cs="仿宋_GB2312"/>
          <w:b/>
          <w:snapToGrid w:val="0"/>
          <w:kern w:val="32"/>
          <w:szCs w:val="32"/>
        </w:rPr>
      </w:pPr>
      <w:r>
        <w:rPr>
          <w:rFonts w:hint="eastAsia" w:ascii="楷体_GB2312" w:hAnsi="仿宋_GB2312" w:eastAsia="楷体_GB2312" w:cs="仿宋_GB2312"/>
          <w:b/>
          <w:snapToGrid w:val="0"/>
          <w:kern w:val="32"/>
          <w:szCs w:val="32"/>
        </w:rPr>
        <w:t>（二）认真贯彻落实国家教育法律、法规、规章和政策</w:t>
      </w:r>
    </w:p>
    <w:p>
      <w:pPr>
        <w:topLinePunct/>
        <w:ind w:firstLine="632" w:firstLineChars="200"/>
        <w:rPr>
          <w:rFonts w:hAnsi="Calibri"/>
          <w:b/>
          <w:snapToGrid w:val="0"/>
          <w:kern w:val="32"/>
          <w:szCs w:val="32"/>
        </w:rPr>
      </w:pPr>
      <w:r>
        <w:rPr>
          <w:rFonts w:hint="eastAsia"/>
          <w:b/>
          <w:snapToGrid w:val="0"/>
          <w:kern w:val="32"/>
          <w:szCs w:val="32"/>
        </w:rPr>
        <w:t>1.积极</w:t>
      </w:r>
      <w:r>
        <w:rPr>
          <w:rFonts w:hint="eastAsia" w:hAnsi="仿宋"/>
          <w:b/>
          <w:snapToGrid w:val="0"/>
          <w:kern w:val="32"/>
          <w:szCs w:val="32"/>
        </w:rPr>
        <w:t>推进教育评价改革</w:t>
      </w:r>
    </w:p>
    <w:p>
      <w:pPr>
        <w:topLinePunct/>
        <w:ind w:firstLine="632" w:firstLineChars="200"/>
        <w:rPr>
          <w:rFonts w:hAnsi="仿宋_GB2312" w:cs="仿宋_GB2312"/>
          <w:b/>
          <w:snapToGrid w:val="0"/>
          <w:kern w:val="32"/>
          <w:szCs w:val="32"/>
        </w:rPr>
      </w:pPr>
      <w:r>
        <w:rPr>
          <w:rFonts w:hint="eastAsia" w:hAnsi="仿宋_GB2312" w:cs="仿宋_GB2312"/>
          <w:snapToGrid w:val="0"/>
          <w:kern w:val="32"/>
          <w:szCs w:val="32"/>
        </w:rPr>
        <w:t>（1）研究创新校长评价办法。拟订</w:t>
      </w:r>
      <w:r>
        <w:rPr>
          <w:rFonts w:hint="eastAsia"/>
          <w:snapToGrid w:val="0"/>
          <w:kern w:val="32"/>
          <w:szCs w:val="32"/>
        </w:rPr>
        <w:t>新时代教师评价方案。</w:t>
      </w:r>
      <w:r>
        <w:rPr>
          <w:rFonts w:hint="eastAsia" w:hAnsi="仿宋_GB2312" w:cs="仿宋_GB2312"/>
          <w:snapToGrid w:val="0"/>
          <w:kern w:val="32"/>
          <w:szCs w:val="32"/>
        </w:rPr>
        <w:t>常态化实施普通高中学生综合素质评价。落实《天津市初中学生综合素质评价实施意见》。持续推广、交流使用《小学生综合素质评价记录手册》经验。落实《天津市中小学生思想品德发展水平评价指标》。</w:t>
      </w:r>
    </w:p>
    <w:p>
      <w:pPr>
        <w:topLinePunct/>
        <w:ind w:firstLine="632" w:firstLineChars="200"/>
        <w:rPr>
          <w:rFonts w:hAnsi="仿宋_GB2312" w:cs="仿宋_GB2312"/>
          <w:snapToGrid w:val="0"/>
          <w:kern w:val="32"/>
          <w:szCs w:val="32"/>
        </w:rPr>
      </w:pPr>
      <w:r>
        <w:rPr>
          <w:rFonts w:hint="eastAsia" w:hAnsi="仿宋_GB2312" w:cs="仿宋_GB2312"/>
          <w:snapToGrid w:val="0"/>
          <w:kern w:val="32"/>
          <w:szCs w:val="32"/>
        </w:rPr>
        <w:t>（2）不存在下达升学指标或以中高考升学率考核学校和教师以及</w:t>
      </w:r>
      <w:r>
        <w:rPr>
          <w:rFonts w:hint="eastAsia" w:hAnsi="Calibri"/>
          <w:snapToGrid w:val="0"/>
          <w:kern w:val="32"/>
          <w:szCs w:val="32"/>
        </w:rPr>
        <w:t>升学率与学校工程项目、经费分配挂钩</w:t>
      </w:r>
      <w:r>
        <w:rPr>
          <w:rFonts w:hint="eastAsia" w:hAnsi="仿宋_GB2312" w:cs="仿宋_GB2312"/>
          <w:bCs/>
          <w:snapToGrid w:val="0"/>
          <w:kern w:val="32"/>
          <w:szCs w:val="32"/>
        </w:rPr>
        <w:t>的情况。</w:t>
      </w:r>
      <w:r>
        <w:rPr>
          <w:rFonts w:hint="eastAsia" w:hAnsi="仿宋_GB2312" w:cs="仿宋_GB2312"/>
          <w:snapToGrid w:val="0"/>
          <w:kern w:val="32"/>
          <w:szCs w:val="32"/>
        </w:rPr>
        <w:t>严禁公布、宣传、炒作中高考“状元”和升学率。</w:t>
      </w:r>
    </w:p>
    <w:p>
      <w:pPr>
        <w:topLinePunct/>
        <w:ind w:firstLine="632" w:firstLineChars="200"/>
        <w:rPr>
          <w:rFonts w:hAnsi="仿宋"/>
          <w:b/>
          <w:bCs/>
          <w:snapToGrid w:val="0"/>
          <w:color w:val="000000"/>
          <w:kern w:val="32"/>
          <w:szCs w:val="32"/>
        </w:rPr>
      </w:pPr>
      <w:r>
        <w:rPr>
          <w:rFonts w:hint="eastAsia" w:hAnsi="仿宋_GB2312" w:cs="仿宋_GB2312"/>
          <w:b/>
          <w:bCs/>
          <w:snapToGrid w:val="0"/>
          <w:kern w:val="32"/>
          <w:szCs w:val="32"/>
        </w:rPr>
        <w:t>2.积极</w:t>
      </w:r>
      <w:r>
        <w:rPr>
          <w:rFonts w:hint="eastAsia" w:hAnsi="仿宋"/>
          <w:b/>
          <w:bCs/>
          <w:snapToGrid w:val="0"/>
          <w:color w:val="000000"/>
          <w:kern w:val="32"/>
          <w:szCs w:val="32"/>
        </w:rPr>
        <w:t>落实“双减”政策要求</w:t>
      </w:r>
    </w:p>
    <w:p>
      <w:pPr>
        <w:pStyle w:val="2"/>
        <w:topLinePunct/>
        <w:spacing w:after="0" w:line="240" w:lineRule="auto"/>
        <w:rPr>
          <w:rFonts w:ascii="仿宋_GB2312"/>
          <w:snapToGrid w:val="0"/>
          <w:color w:val="000000"/>
          <w:sz w:val="32"/>
          <w:szCs w:val="32"/>
        </w:rPr>
      </w:pPr>
      <w:r>
        <w:rPr>
          <w:rFonts w:hint="eastAsia" w:ascii="仿宋_GB2312" w:cs="宋体"/>
          <w:snapToGrid w:val="0"/>
          <w:sz w:val="32"/>
          <w:szCs w:val="32"/>
        </w:rPr>
        <w:t>（1）</w:t>
      </w:r>
      <w:r>
        <w:rPr>
          <w:rFonts w:hint="eastAsia" w:ascii="仿宋_GB2312"/>
          <w:snapToGrid w:val="0"/>
          <w:color w:val="000000"/>
          <w:sz w:val="32"/>
          <w:szCs w:val="32"/>
        </w:rPr>
        <w:t>“双减”工作列入区政府重要议事日程</w:t>
      </w:r>
      <w:r>
        <w:rPr>
          <w:rFonts w:hint="eastAsia" w:ascii="仿宋_GB2312" w:hAnsi="Calibri" w:cs="宋体"/>
          <w:snapToGrid w:val="0"/>
          <w:sz w:val="32"/>
          <w:szCs w:val="32"/>
        </w:rPr>
        <w:t>，成立“双减”工作领导小组及工作专班，建立“三级包保责任制”和“一专班两调度”机制。</w:t>
      </w:r>
      <w:r>
        <w:rPr>
          <w:rFonts w:hint="eastAsia" w:ascii="仿宋_GB2312"/>
          <w:snapToGrid w:val="0"/>
          <w:color w:val="000000"/>
          <w:sz w:val="32"/>
          <w:szCs w:val="32"/>
        </w:rPr>
        <w:t>专班各成员单位协同作战，取得显著成效。</w:t>
      </w:r>
      <w:r>
        <w:rPr>
          <w:rFonts w:hint="eastAsia" w:ascii="仿宋_GB2312" w:hAnsi="Calibri" w:cs="宋体"/>
          <w:snapToGrid w:val="0"/>
          <w:sz w:val="32"/>
          <w:szCs w:val="32"/>
        </w:rPr>
        <w:t>教体局增设“校外教育培训监管室”。</w:t>
      </w:r>
    </w:p>
    <w:p>
      <w:pPr>
        <w:pStyle w:val="2"/>
        <w:topLinePunct/>
        <w:spacing w:after="0" w:line="240" w:lineRule="auto"/>
        <w:rPr>
          <w:rFonts w:ascii="仿宋_GB2312" w:hAnsi="仿宋_GB2312" w:cs="仿宋_GB2312"/>
          <w:snapToGrid w:val="0"/>
          <w:color w:val="000000"/>
          <w:sz w:val="32"/>
          <w:szCs w:val="32"/>
        </w:rPr>
      </w:pPr>
      <w:r>
        <w:rPr>
          <w:rFonts w:hint="eastAsia" w:ascii="仿宋_GB2312" w:hAnsi="仿宋_GB2312" w:cs="仿宋_GB2312"/>
          <w:snapToGrid w:val="0"/>
          <w:sz w:val="32"/>
          <w:szCs w:val="32"/>
        </w:rPr>
        <w:t>（2）开展</w:t>
      </w:r>
      <w:r>
        <w:rPr>
          <w:rFonts w:hint="eastAsia" w:ascii="仿宋_GB2312" w:hAnsi="仿宋_GB2312" w:cs="仿宋_GB2312"/>
          <w:snapToGrid w:val="0"/>
          <w:color w:val="000000"/>
          <w:sz w:val="32"/>
          <w:szCs w:val="32"/>
        </w:rPr>
        <w:t>“秋风”“惊雷”和“回头看”等专项行动加强检查指导，</w:t>
      </w:r>
      <w:r>
        <w:rPr>
          <w:rFonts w:hint="eastAsia" w:ascii="仿宋_GB2312" w:hAnsi="仿宋_GB2312" w:cs="仿宋_GB2312"/>
          <w:snapToGrid w:val="0"/>
          <w:sz w:val="32"/>
          <w:szCs w:val="32"/>
        </w:rPr>
        <w:t>落实包保责任和网格化闭环管理。健全资金风险防控机制，</w:t>
      </w:r>
      <w:r>
        <w:rPr>
          <w:rFonts w:hint="eastAsia" w:ascii="仿宋_GB2312" w:hAnsi="仿宋_GB2312" w:cs="仿宋_GB2312"/>
          <w:snapToGrid w:val="0"/>
          <w:color w:val="000000"/>
          <w:sz w:val="32"/>
          <w:szCs w:val="32"/>
        </w:rPr>
        <w:t>监管协议应签尽签、监管账户应建尽建</w:t>
      </w:r>
      <w:r>
        <w:rPr>
          <w:rFonts w:hint="eastAsia" w:ascii="仿宋_GB2312" w:hAnsi="仿宋_GB2312" w:cs="仿宋_GB2312"/>
          <w:snapToGrid w:val="0"/>
          <w:sz w:val="32"/>
          <w:szCs w:val="32"/>
        </w:rPr>
        <w:t>。</w:t>
      </w:r>
      <w:r>
        <w:rPr>
          <w:rFonts w:hint="eastAsia" w:ascii="仿宋_GB2312" w:hAnsi="仿宋_GB2312" w:cs="仿宋_GB2312"/>
          <w:snapToGrid w:val="0"/>
          <w:color w:val="000000"/>
          <w:sz w:val="32"/>
          <w:szCs w:val="32"/>
        </w:rPr>
        <w:t>在</w:t>
      </w:r>
      <w:r>
        <w:rPr>
          <w:rFonts w:hint="eastAsia" w:ascii="仿宋_GB2312" w:hAnsi="仿宋_GB2312" w:cs="仿宋_GB2312"/>
          <w:bCs/>
          <w:snapToGrid w:val="0"/>
          <w:color w:val="000000"/>
          <w:sz w:val="32"/>
          <w:szCs w:val="32"/>
        </w:rPr>
        <w:t>全</w:t>
      </w:r>
      <w:r>
        <w:rPr>
          <w:rFonts w:hint="eastAsia" w:ascii="仿宋_GB2312" w:hAnsi="仿宋_GB2312" w:cs="仿宋_GB2312"/>
          <w:snapToGrid w:val="0"/>
          <w:color w:val="000000"/>
          <w:sz w:val="32"/>
          <w:szCs w:val="32"/>
        </w:rPr>
        <w:t>市“双减”综合督查中防控资金风险排名第二。</w:t>
      </w:r>
    </w:p>
    <w:p>
      <w:pPr>
        <w:topLinePunct/>
        <w:ind w:firstLine="632" w:firstLineChars="200"/>
        <w:rPr>
          <w:snapToGrid w:val="0"/>
          <w:kern w:val="32"/>
          <w:szCs w:val="32"/>
        </w:rPr>
      </w:pPr>
      <w:r>
        <w:rPr>
          <w:rFonts w:hint="eastAsia" w:hAnsi="仿宋_GB2312" w:cs="仿宋_GB2312"/>
          <w:snapToGrid w:val="0"/>
          <w:kern w:val="32"/>
          <w:szCs w:val="32"/>
        </w:rPr>
        <w:t>（3）发挥学校教育主阵地作用。健全作业管理机制，严控学科作业总量，提高作业设计质量。</w:t>
      </w:r>
      <w:r>
        <w:rPr>
          <w:rFonts w:hint="eastAsia" w:hAnsi="仿宋_GB2312" w:cs="仿宋_GB2312"/>
          <w:snapToGrid w:val="0"/>
          <w:color w:val="000000"/>
          <w:kern w:val="32"/>
          <w:szCs w:val="32"/>
        </w:rPr>
        <w:t>在</w:t>
      </w:r>
      <w:r>
        <w:rPr>
          <w:rFonts w:hint="eastAsia" w:hAnsi="仿宋_GB2312" w:cs="仿宋_GB2312"/>
          <w:bCs/>
          <w:snapToGrid w:val="0"/>
          <w:color w:val="000000"/>
          <w:kern w:val="32"/>
          <w:szCs w:val="32"/>
        </w:rPr>
        <w:t>全</w:t>
      </w:r>
      <w:r>
        <w:rPr>
          <w:rFonts w:hint="eastAsia" w:hAnsi="仿宋_GB2312" w:cs="仿宋_GB2312"/>
          <w:snapToGrid w:val="0"/>
          <w:color w:val="000000"/>
          <w:kern w:val="32"/>
          <w:szCs w:val="32"/>
        </w:rPr>
        <w:t>市“双减”综合督查中取得</w:t>
      </w:r>
      <w:r>
        <w:rPr>
          <w:rFonts w:hint="eastAsia"/>
          <w:snapToGrid w:val="0"/>
          <w:kern w:val="32"/>
          <w:szCs w:val="32"/>
        </w:rPr>
        <w:t>满分的成绩。</w:t>
      </w:r>
    </w:p>
    <w:p>
      <w:pPr>
        <w:topLinePunct/>
        <w:ind w:firstLine="632" w:firstLineChars="200"/>
        <w:rPr>
          <w:rFonts w:hAnsi="仿宋_GB2312" w:cs="仿宋_GB2312"/>
          <w:snapToGrid w:val="0"/>
          <w:kern w:val="32"/>
          <w:szCs w:val="32"/>
        </w:rPr>
      </w:pPr>
      <w:r>
        <w:rPr>
          <w:rFonts w:hint="eastAsia" w:hAnsi="仿宋_GB2312" w:cs="仿宋_GB2312"/>
          <w:snapToGrid w:val="0"/>
          <w:kern w:val="32"/>
          <w:szCs w:val="32"/>
        </w:rPr>
        <w:t>（4）制定《关于进一步做好义务教育阶段学校课后服务工作的实施方案》《滨海新区义务教育阶段学校课后服务工作实施细则(试行)》《滨海新区义务教育阶段学校课后服务教师工作评价与考核办法（试行）》。2021年，区财政拨付课后服务经费</w:t>
      </w:r>
      <w:r>
        <w:rPr>
          <w:rFonts w:hint="eastAsia" w:hAnsi="仿宋_GB2312" w:cs="仿宋_GB2312"/>
          <w:snapToGrid w:val="0"/>
          <w:kern w:val="32"/>
          <w:szCs w:val="32"/>
          <w:lang w:val="en-US" w:eastAsia="zh-CN"/>
        </w:rPr>
        <w:t>3156</w:t>
      </w:r>
      <w:r>
        <w:rPr>
          <w:rFonts w:hint="eastAsia" w:hAnsi="仿宋_GB2312" w:cs="仿宋_GB2312"/>
          <w:snapToGrid w:val="0"/>
          <w:kern w:val="32"/>
          <w:szCs w:val="32"/>
        </w:rPr>
        <w:t>.</w:t>
      </w:r>
      <w:r>
        <w:rPr>
          <w:rFonts w:hint="eastAsia" w:hAnsi="仿宋_GB2312" w:cs="仿宋_GB2312"/>
          <w:snapToGrid w:val="0"/>
          <w:kern w:val="32"/>
          <w:szCs w:val="32"/>
          <w:lang w:val="en-US" w:eastAsia="zh-CN"/>
        </w:rPr>
        <w:t>86</w:t>
      </w:r>
      <w:r>
        <w:rPr>
          <w:rFonts w:hint="eastAsia" w:hAnsi="仿宋_GB2312" w:cs="仿宋_GB2312"/>
          <w:snapToGrid w:val="0"/>
          <w:kern w:val="32"/>
          <w:szCs w:val="32"/>
        </w:rPr>
        <w:t>万元，</w:t>
      </w:r>
      <w:r>
        <w:rPr>
          <w:rFonts w:hint="eastAsia" w:hAnsi="仿宋_GB2312" w:cs="仿宋_GB2312"/>
          <w:snapToGrid w:val="0"/>
          <w:kern w:val="32"/>
          <w:szCs w:val="32"/>
          <w:lang w:eastAsia="zh-CN"/>
        </w:rPr>
        <w:t>保证</w:t>
      </w:r>
      <w:r>
        <w:rPr>
          <w:rFonts w:hint="eastAsia" w:hAnsi="仿宋_GB2312" w:cs="仿宋_GB2312"/>
          <w:snapToGrid w:val="0"/>
          <w:kern w:val="32"/>
          <w:szCs w:val="32"/>
        </w:rPr>
        <w:t>参与课后服务教职工补助按时足额发放。</w:t>
      </w:r>
    </w:p>
    <w:p>
      <w:pPr>
        <w:topLinePunct/>
        <w:ind w:firstLine="632" w:firstLineChars="200"/>
        <w:rPr>
          <w:rFonts w:ascii="楷体_GB2312" w:hAnsi="楷体_GB2312" w:eastAsia="楷体_GB2312" w:cs="楷体_GB2312"/>
          <w:b/>
          <w:snapToGrid w:val="0"/>
          <w:kern w:val="32"/>
          <w:szCs w:val="32"/>
        </w:rPr>
      </w:pPr>
      <w:r>
        <w:rPr>
          <w:rFonts w:hint="eastAsia" w:ascii="楷体_GB2312" w:hAnsi="楷体_GB2312" w:eastAsia="楷体_GB2312" w:cs="楷体_GB2312"/>
          <w:b/>
          <w:snapToGrid w:val="0"/>
          <w:kern w:val="32"/>
          <w:szCs w:val="32"/>
        </w:rPr>
        <w:t>（三）推进各级各类教育优质协调发展</w:t>
      </w:r>
    </w:p>
    <w:p>
      <w:pPr>
        <w:topLinePunct/>
        <w:ind w:firstLine="632" w:firstLineChars="200"/>
        <w:rPr>
          <w:rFonts w:hAnsi="黑体"/>
          <w:b/>
          <w:snapToGrid w:val="0"/>
          <w:kern w:val="32"/>
          <w:szCs w:val="32"/>
          <w:shd w:val="clear" w:color="auto" w:fill="FFFFFF"/>
        </w:rPr>
      </w:pPr>
      <w:r>
        <w:rPr>
          <w:rFonts w:hint="eastAsia" w:hAnsi="仿宋" w:cs="仿宋"/>
          <w:b/>
          <w:bCs/>
          <w:snapToGrid w:val="0"/>
          <w:kern w:val="32"/>
          <w:szCs w:val="32"/>
        </w:rPr>
        <w:t>1.</w:t>
      </w:r>
      <w:r>
        <w:rPr>
          <w:rFonts w:hint="eastAsia" w:hAnsi="黑体"/>
          <w:b/>
          <w:snapToGrid w:val="0"/>
          <w:kern w:val="32"/>
          <w:szCs w:val="32"/>
          <w:shd w:val="clear" w:color="auto" w:fill="FFFFFF"/>
        </w:rPr>
        <w:t>推动学前教育公益普惠发展</w:t>
      </w:r>
    </w:p>
    <w:p>
      <w:pPr>
        <w:topLinePunct/>
        <w:ind w:firstLine="632" w:firstLineChars="200"/>
        <w:rPr>
          <w:rFonts w:hAnsi="仿宋_GB2312" w:cs="仿宋_GB2312"/>
          <w:snapToGrid w:val="0"/>
          <w:kern w:val="32"/>
          <w:szCs w:val="32"/>
        </w:rPr>
      </w:pPr>
      <w:r>
        <w:rPr>
          <w:rFonts w:hint="eastAsia" w:hAnsi="仿宋_GB2312" w:cs="仿宋_GB2312"/>
          <w:snapToGrid w:val="0"/>
          <w:kern w:val="32"/>
          <w:szCs w:val="32"/>
        </w:rPr>
        <w:t>（1）截至2021年12月31日，学前三年毛入园率为85.35%，普惠性幼儿园覆盖率达到80.41%，公办幼儿园在园幼儿占比50.04%。</w:t>
      </w:r>
    </w:p>
    <w:p>
      <w:pPr>
        <w:topLinePunct/>
        <w:ind w:firstLine="632" w:firstLineChars="200"/>
        <w:rPr>
          <w:rFonts w:hAnsi="仿宋_GB2312" w:cs="仿宋_GB2312"/>
          <w:snapToGrid w:val="0"/>
          <w:kern w:val="32"/>
          <w:szCs w:val="32"/>
        </w:rPr>
      </w:pPr>
      <w:r>
        <w:rPr>
          <w:rFonts w:hint="eastAsia" w:hAnsi="仿宋_GB2312" w:cs="仿宋_GB2312"/>
          <w:snapToGrid w:val="0"/>
          <w:kern w:val="32"/>
          <w:szCs w:val="32"/>
        </w:rPr>
        <w:t>（2）</w:t>
      </w:r>
      <w:r>
        <w:rPr>
          <w:snapToGrid w:val="0"/>
          <w:kern w:val="32"/>
          <w:szCs w:val="32"/>
        </w:rPr>
        <w:t>制定</w:t>
      </w:r>
      <w:r>
        <w:rPr>
          <w:rFonts w:hint="eastAsia"/>
          <w:snapToGrid w:val="0"/>
          <w:kern w:val="32"/>
          <w:szCs w:val="32"/>
        </w:rPr>
        <w:t>《</w:t>
      </w:r>
      <w:r>
        <w:rPr>
          <w:snapToGrid w:val="0"/>
          <w:kern w:val="32"/>
          <w:szCs w:val="32"/>
        </w:rPr>
        <w:t>滨海新区</w:t>
      </w:r>
      <w:r>
        <w:rPr>
          <w:rFonts w:hint="eastAsia"/>
          <w:snapToGrid w:val="0"/>
          <w:kern w:val="32"/>
          <w:szCs w:val="32"/>
        </w:rPr>
        <w:t>创建学前教育普及普惠区实施</w:t>
      </w:r>
      <w:r>
        <w:rPr>
          <w:snapToGrid w:val="0"/>
          <w:kern w:val="32"/>
          <w:szCs w:val="32"/>
        </w:rPr>
        <w:t>方案</w:t>
      </w:r>
      <w:r>
        <w:rPr>
          <w:rFonts w:hint="eastAsia"/>
          <w:snapToGrid w:val="0"/>
          <w:kern w:val="32"/>
          <w:szCs w:val="32"/>
        </w:rPr>
        <w:t>（2021—2023）》</w:t>
      </w:r>
      <w:r>
        <w:rPr>
          <w:rFonts w:hint="eastAsia" w:hAnsi="仿宋_GB2312" w:cs="仿宋_GB2312"/>
          <w:snapToGrid w:val="0"/>
          <w:kern w:val="32"/>
          <w:szCs w:val="32"/>
        </w:rPr>
        <w:t>《滨海新区教体局创建学前教育普及普惠区工作推动方案》，</w:t>
      </w:r>
      <w:r>
        <w:rPr>
          <w:rFonts w:hint="eastAsia"/>
          <w:bCs/>
          <w:snapToGrid w:val="0"/>
          <w:kern w:val="32"/>
          <w:szCs w:val="32"/>
        </w:rPr>
        <w:t>分年度推进学前教育优质普惠安全发展。</w:t>
      </w:r>
    </w:p>
    <w:p>
      <w:pPr>
        <w:topLinePunct/>
        <w:ind w:firstLine="632" w:firstLineChars="200"/>
        <w:rPr>
          <w:rFonts w:hAnsi="宋体"/>
          <w:b/>
          <w:snapToGrid w:val="0"/>
          <w:kern w:val="32"/>
          <w:szCs w:val="32"/>
        </w:rPr>
      </w:pPr>
      <w:r>
        <w:rPr>
          <w:rFonts w:hint="eastAsia" w:hAnsi="仿宋" w:cs="仿宋"/>
          <w:b/>
          <w:bCs/>
          <w:snapToGrid w:val="0"/>
          <w:kern w:val="32"/>
          <w:szCs w:val="32"/>
        </w:rPr>
        <w:t>2.巩固</w:t>
      </w:r>
      <w:r>
        <w:rPr>
          <w:rFonts w:hint="eastAsia"/>
          <w:b/>
          <w:snapToGrid w:val="0"/>
          <w:kern w:val="32"/>
          <w:szCs w:val="32"/>
        </w:rPr>
        <w:t>提高</w:t>
      </w:r>
      <w:r>
        <w:rPr>
          <w:rFonts w:hint="eastAsia" w:hAnsi="宋体"/>
          <w:b/>
          <w:snapToGrid w:val="0"/>
          <w:kern w:val="32"/>
          <w:szCs w:val="32"/>
        </w:rPr>
        <w:t>基础教育质量</w:t>
      </w:r>
    </w:p>
    <w:p>
      <w:pPr>
        <w:topLinePunct/>
        <w:ind w:firstLine="632" w:firstLineChars="200"/>
        <w:rPr>
          <w:rFonts w:hAnsi="仿宋_GB2312" w:cs="仿宋_GB2312"/>
          <w:snapToGrid w:val="0"/>
          <w:kern w:val="32"/>
          <w:szCs w:val="32"/>
        </w:rPr>
      </w:pPr>
      <w:r>
        <w:rPr>
          <w:rFonts w:hint="eastAsia" w:hAnsi="仿宋_GB2312" w:cs="仿宋_GB2312"/>
          <w:snapToGrid w:val="0"/>
          <w:kern w:val="32"/>
          <w:szCs w:val="32"/>
        </w:rPr>
        <w:t>（1）健全就学状态异常学生月报制度，建立“一人一案”工作台账和</w:t>
      </w:r>
      <w:r>
        <w:rPr>
          <w:rFonts w:hint="eastAsia"/>
          <w:snapToGrid w:val="0"/>
          <w:kern w:val="32"/>
          <w:szCs w:val="32"/>
        </w:rPr>
        <w:t>劝返台账</w:t>
      </w:r>
      <w:r>
        <w:rPr>
          <w:rFonts w:hint="eastAsia" w:hAnsi="仿宋_GB2312" w:cs="仿宋_GB2312"/>
          <w:snapToGrid w:val="0"/>
          <w:kern w:val="32"/>
          <w:szCs w:val="32"/>
        </w:rPr>
        <w:t>，义务教育巩固率达99%以上。</w:t>
      </w:r>
    </w:p>
    <w:p>
      <w:pPr>
        <w:topLinePunct/>
        <w:ind w:firstLine="632" w:firstLineChars="200"/>
        <w:rPr>
          <w:rFonts w:hAnsi="仿宋_GB2312" w:cs="仿宋_GB2312"/>
          <w:b/>
          <w:snapToGrid w:val="0"/>
          <w:color w:val="auto"/>
          <w:kern w:val="32"/>
          <w:szCs w:val="32"/>
        </w:rPr>
      </w:pPr>
      <w:r>
        <w:rPr>
          <w:rFonts w:hint="eastAsia" w:hAnsi="仿宋_GB2312" w:cs="仿宋_GB2312"/>
          <w:snapToGrid w:val="0"/>
          <w:color w:val="auto"/>
          <w:kern w:val="32"/>
          <w:szCs w:val="32"/>
        </w:rPr>
        <w:t>（2）开展教学视导，互查互看共同体成员校</w:t>
      </w:r>
      <w:r>
        <w:rPr>
          <w:rFonts w:hint="eastAsia" w:hAnsi="仿宋_GB2312" w:cs="仿宋_GB2312"/>
          <w:snapToGrid w:val="0"/>
          <w:color w:val="auto"/>
          <w:kern w:val="32"/>
          <w:szCs w:val="32"/>
          <w:lang w:eastAsia="zh-CN"/>
        </w:rPr>
        <w:t>和各高中校</w:t>
      </w:r>
      <w:r>
        <w:rPr>
          <w:rFonts w:hint="eastAsia" w:hAnsi="仿宋_GB2312" w:cs="仿宋_GB2312"/>
          <w:snapToGrid w:val="0"/>
          <w:color w:val="auto"/>
          <w:kern w:val="32"/>
          <w:szCs w:val="32"/>
        </w:rPr>
        <w:t>的教学管理情况；采取随机方式专题视导学校落实课程计划情况。</w:t>
      </w:r>
    </w:p>
    <w:p>
      <w:pPr>
        <w:topLinePunct/>
        <w:ind w:firstLine="632" w:firstLineChars="200"/>
        <w:rPr>
          <w:rFonts w:hAnsi="仿宋_GB2312" w:cs="仿宋_GB2312"/>
          <w:snapToGrid w:val="0"/>
          <w:kern w:val="32"/>
          <w:szCs w:val="32"/>
        </w:rPr>
      </w:pPr>
      <w:r>
        <w:rPr>
          <w:rFonts w:hint="eastAsia" w:hAnsi="仿宋_GB2312" w:cs="仿宋_GB2312"/>
          <w:snapToGrid w:val="0"/>
          <w:kern w:val="32"/>
          <w:szCs w:val="32"/>
        </w:rPr>
        <w:t>（3）建立健全学生学籍信息与实际在校就读学生对比核查机制，严格落实“一生一籍，籍随人走”，坚决杜绝人籍分离、空挂学籍等现象。</w:t>
      </w:r>
    </w:p>
    <w:p>
      <w:pPr>
        <w:topLinePunct/>
        <w:ind w:firstLine="632" w:firstLineChars="200"/>
        <w:rPr>
          <w:rFonts w:hAnsi="仿宋_GB2312" w:cs="仿宋_GB2312"/>
          <w:snapToGrid w:val="0"/>
          <w:kern w:val="32"/>
          <w:szCs w:val="32"/>
        </w:rPr>
      </w:pPr>
      <w:r>
        <w:rPr>
          <w:rFonts w:hint="eastAsia" w:hAnsi="仿宋_GB2312" w:cs="仿宋_GB2312"/>
          <w:snapToGrid w:val="0"/>
          <w:kern w:val="32"/>
          <w:szCs w:val="32"/>
        </w:rPr>
        <w:t>（4）指导塘沽一中等5所学校制定《品牌高中培育建设三年规划》，推进工作落实。</w:t>
      </w:r>
    </w:p>
    <w:p>
      <w:pPr>
        <w:pStyle w:val="2"/>
        <w:topLinePunct/>
        <w:spacing w:after="0" w:line="240" w:lineRule="auto"/>
        <w:rPr>
          <w:rFonts w:hAnsi="Calibri"/>
          <w:snapToGrid w:val="0"/>
          <w:sz w:val="32"/>
          <w:szCs w:val="32"/>
        </w:rPr>
      </w:pPr>
      <w:r>
        <w:rPr>
          <w:rFonts w:hint="eastAsia" w:ascii="仿宋_GB2312" w:hAnsi="仿宋_GB2312" w:cs="仿宋_GB2312"/>
          <w:snapToGrid w:val="0"/>
          <w:sz w:val="32"/>
          <w:szCs w:val="32"/>
        </w:rPr>
        <w:t>（5）印发《滨海新区推进义务教育优质均衡发展攻坚行动方案》，制定《滨海新区推进区域义务教育优质均衡发展工作规划》</w:t>
      </w:r>
      <w:r>
        <w:rPr>
          <w:rFonts w:hint="eastAsia" w:hAnsi="Calibri"/>
          <w:snapToGrid w:val="0"/>
          <w:sz w:val="32"/>
          <w:szCs w:val="32"/>
        </w:rPr>
        <w:t>。</w:t>
      </w:r>
    </w:p>
    <w:p>
      <w:pPr>
        <w:topLinePunct/>
        <w:ind w:firstLine="632" w:firstLineChars="200"/>
        <w:rPr>
          <w:rFonts w:hAnsi="宋体"/>
          <w:b/>
          <w:bCs/>
          <w:snapToGrid w:val="0"/>
          <w:kern w:val="32"/>
          <w:szCs w:val="32"/>
          <w:highlight w:val="yellow"/>
        </w:rPr>
      </w:pPr>
      <w:r>
        <w:rPr>
          <w:rFonts w:hint="eastAsia" w:hAnsi="仿宋_GB2312" w:cs="仿宋_GB2312"/>
          <w:b/>
          <w:bCs/>
          <w:snapToGrid w:val="0"/>
          <w:kern w:val="32"/>
          <w:szCs w:val="32"/>
        </w:rPr>
        <w:t>3.</w:t>
      </w:r>
      <w:r>
        <w:rPr>
          <w:rFonts w:hint="eastAsia"/>
          <w:b/>
          <w:bCs/>
          <w:snapToGrid w:val="0"/>
          <w:kern w:val="32"/>
          <w:szCs w:val="32"/>
        </w:rPr>
        <w:t>规范民办义务教育发展</w:t>
      </w:r>
    </w:p>
    <w:p>
      <w:pPr>
        <w:topLinePunct/>
        <w:ind w:firstLine="632" w:firstLineChars="200"/>
        <w:rPr>
          <w:snapToGrid w:val="0"/>
          <w:kern w:val="32"/>
          <w:szCs w:val="32"/>
        </w:rPr>
      </w:pPr>
      <w:r>
        <w:rPr>
          <w:rFonts w:hint="eastAsia" w:hAnsi="仿宋" w:cs="宋体"/>
          <w:bCs/>
          <w:snapToGrid w:val="0"/>
          <w:kern w:val="32"/>
          <w:szCs w:val="32"/>
          <w:lang w:bidi="zh-CN"/>
        </w:rPr>
        <w:t>民办义务教育学校在校生占比1.4%，招生计划逐年减少。3所民办义务教育学校完成名称不规范整改工作。民办义务教育学校不存在公参民情况。</w:t>
      </w:r>
    </w:p>
    <w:p>
      <w:pPr>
        <w:topLinePunct/>
        <w:ind w:firstLine="632" w:firstLineChars="200"/>
        <w:rPr>
          <w:b/>
          <w:bCs/>
          <w:snapToGrid w:val="0"/>
          <w:kern w:val="32"/>
          <w:szCs w:val="32"/>
        </w:rPr>
      </w:pPr>
      <w:r>
        <w:rPr>
          <w:rFonts w:hint="eastAsia"/>
          <w:b/>
          <w:bCs/>
          <w:snapToGrid w:val="0"/>
          <w:kern w:val="32"/>
          <w:szCs w:val="32"/>
        </w:rPr>
        <w:t>4.优化特殊教育资源</w:t>
      </w:r>
    </w:p>
    <w:p>
      <w:pPr>
        <w:topLinePunct/>
        <w:ind w:firstLine="632" w:firstLineChars="200"/>
        <w:rPr>
          <w:rFonts w:hAnsi="仿宋_GB2312" w:cs="仿宋_GB2312"/>
          <w:snapToGrid w:val="0"/>
          <w:kern w:val="32"/>
          <w:szCs w:val="32"/>
        </w:rPr>
      </w:pPr>
      <w:r>
        <w:rPr>
          <w:rFonts w:hint="eastAsia" w:hAnsi="仿宋" w:cs="仿宋"/>
          <w:snapToGrid w:val="0"/>
          <w:kern w:val="32"/>
          <w:szCs w:val="32"/>
        </w:rPr>
        <w:t>完成2所初中和2所小学、2所幼儿园孤独症试点学校的资源教室建设。</w:t>
      </w:r>
      <w:r>
        <w:rPr>
          <w:rFonts w:hint="eastAsia" w:hAnsi="仿宋_GB2312" w:cs="仿宋_GB2312"/>
          <w:snapToGrid w:val="0"/>
          <w:kern w:val="32"/>
          <w:szCs w:val="32"/>
        </w:rPr>
        <w:t>2021—2022学年度全区适龄残疾儿童少年在学782人</w:t>
      </w:r>
      <w:r>
        <w:rPr>
          <w:rFonts w:hint="eastAsia"/>
          <w:snapToGrid w:val="0"/>
          <w:kern w:val="32"/>
          <w:szCs w:val="32"/>
        </w:rPr>
        <w:t>，义务教育安置率100%</w:t>
      </w:r>
      <w:r>
        <w:rPr>
          <w:rFonts w:hint="eastAsia" w:hAnsi="仿宋_GB2312" w:cs="仿宋_GB2312"/>
          <w:snapToGrid w:val="0"/>
          <w:kern w:val="32"/>
          <w:szCs w:val="32"/>
        </w:rPr>
        <w:t>。</w:t>
      </w:r>
      <w:r>
        <w:rPr>
          <w:rFonts w:hint="eastAsia"/>
          <w:snapToGrid w:val="0"/>
          <w:kern w:val="32"/>
          <w:szCs w:val="32"/>
        </w:rPr>
        <w:t>完成《2021年全国适龄残疾儿童少年义务教育入学情况监测系统》填报。</w:t>
      </w:r>
    </w:p>
    <w:p>
      <w:pPr>
        <w:topLinePunct/>
        <w:ind w:firstLine="632" w:firstLineChars="200"/>
        <w:rPr>
          <w:rFonts w:hAnsi="宋体"/>
          <w:b/>
          <w:bCs/>
          <w:snapToGrid w:val="0"/>
          <w:kern w:val="32"/>
          <w:szCs w:val="32"/>
          <w:highlight w:val="yellow"/>
        </w:rPr>
      </w:pPr>
      <w:r>
        <w:rPr>
          <w:rFonts w:hint="eastAsia"/>
          <w:b/>
          <w:bCs/>
          <w:snapToGrid w:val="0"/>
          <w:kern w:val="32"/>
          <w:szCs w:val="32"/>
        </w:rPr>
        <w:t>5.推进继续教育发展</w:t>
      </w:r>
    </w:p>
    <w:p>
      <w:pPr>
        <w:topLinePunct/>
        <w:ind w:firstLine="632" w:firstLineChars="200"/>
        <w:rPr>
          <w:rFonts w:ascii="Times New Roman"/>
          <w:snapToGrid w:val="0"/>
          <w:kern w:val="32"/>
          <w:szCs w:val="32"/>
        </w:rPr>
      </w:pPr>
      <w:r>
        <w:rPr>
          <w:rFonts w:hint="eastAsia" w:hAnsi="仿宋_GB2312" w:cs="仿宋_GB2312"/>
          <w:snapToGrid w:val="0"/>
          <w:kern w:val="32"/>
          <w:szCs w:val="32"/>
        </w:rPr>
        <w:t>完成学习型城区建设监测报告。举办滨海新区第十一届终身学习活动周。教体局分别与天津科技大学、天津滨海职业学院建立“区校终身学习联合体”。</w:t>
      </w:r>
      <w:r>
        <w:rPr>
          <w:rFonts w:hint="eastAsia" w:hAnsi="仿宋_GB2312" w:cs="仿宋_GB2312"/>
          <w:snapToGrid w:val="0"/>
          <w:kern w:val="32"/>
          <w:szCs w:val="32"/>
          <w:shd w:val="clear" w:color="auto" w:fill="FFFFFF"/>
        </w:rPr>
        <w:t>利用三级社区老年教育网络</w:t>
      </w:r>
      <w:r>
        <w:rPr>
          <w:rFonts w:ascii="Times New Roman"/>
          <w:snapToGrid w:val="0"/>
          <w:kern w:val="32"/>
          <w:szCs w:val="32"/>
        </w:rPr>
        <w:t>开展老年人运用智能技术教育培训，有效提升老年人运用智能技术能力。</w:t>
      </w:r>
    </w:p>
    <w:p>
      <w:pPr>
        <w:topLinePunct/>
        <w:ind w:firstLine="632" w:firstLineChars="200"/>
        <w:rPr>
          <w:rFonts w:ascii="楷体_GB2312" w:hAnsi="楷体_GB2312" w:eastAsia="楷体_GB2312" w:cs="楷体_GB2312"/>
          <w:b/>
          <w:snapToGrid w:val="0"/>
          <w:kern w:val="32"/>
          <w:szCs w:val="32"/>
        </w:rPr>
      </w:pPr>
      <w:r>
        <w:rPr>
          <w:rFonts w:hint="eastAsia" w:ascii="楷体_GB2312" w:hAnsi="楷体_GB2312" w:eastAsia="楷体_GB2312" w:cs="楷体_GB2312"/>
          <w:b/>
          <w:snapToGrid w:val="0"/>
          <w:kern w:val="32"/>
          <w:szCs w:val="32"/>
        </w:rPr>
        <w:t>（四）加强教育保障能力</w:t>
      </w:r>
    </w:p>
    <w:p>
      <w:pPr>
        <w:topLinePunct/>
        <w:ind w:firstLine="632" w:firstLineChars="200"/>
        <w:rPr>
          <w:rFonts w:hAnsi="仿宋" w:cs="仿宋"/>
          <w:b/>
          <w:bCs/>
          <w:snapToGrid w:val="0"/>
          <w:kern w:val="32"/>
          <w:szCs w:val="32"/>
          <w:highlight w:val="yellow"/>
        </w:rPr>
      </w:pPr>
      <w:r>
        <w:rPr>
          <w:rFonts w:hint="eastAsia"/>
          <w:b/>
          <w:bCs/>
          <w:snapToGrid w:val="0"/>
          <w:color w:val="000000"/>
          <w:kern w:val="32"/>
          <w:szCs w:val="32"/>
        </w:rPr>
        <w:t>1.加大教育资源建设力度</w:t>
      </w:r>
    </w:p>
    <w:p>
      <w:pPr>
        <w:topLinePunct/>
        <w:ind w:firstLine="632" w:firstLineChars="200"/>
        <w:rPr>
          <w:sz w:val="32"/>
          <w:szCs w:val="32"/>
        </w:rPr>
      </w:pPr>
      <w:r>
        <w:rPr>
          <w:rFonts w:hint="eastAsia" w:hAnsi="黑体"/>
          <w:snapToGrid w:val="0"/>
          <w:kern w:val="32"/>
          <w:szCs w:val="32"/>
        </w:rPr>
        <w:t>（1）</w:t>
      </w:r>
      <w:r>
        <w:rPr>
          <w:rFonts w:hint="eastAsia" w:ascii="仿宋_GB2312"/>
          <w:bCs/>
          <w:sz w:val="32"/>
          <w:szCs w:val="32"/>
          <w:lang w:val="en-US" w:eastAsia="zh-CN"/>
        </w:rPr>
        <w:t>2021年，</w:t>
      </w:r>
      <w:r>
        <w:rPr>
          <w:rFonts w:hint="eastAsia" w:ascii="仿宋_GB2312"/>
          <w:color w:val="000000" w:themeColor="text1"/>
          <w:sz w:val="32"/>
          <w:szCs w:val="32"/>
        </w:rPr>
        <w:t>共建成并投入使用学校</w:t>
      </w:r>
      <w:r>
        <w:rPr>
          <w:rFonts w:hint="eastAsia" w:ascii="仿宋_GB2312"/>
          <w:color w:val="000000" w:themeColor="text1"/>
          <w:sz w:val="32"/>
          <w:szCs w:val="32"/>
          <w:lang w:eastAsia="zh-CN"/>
        </w:rPr>
        <w:t>、</w:t>
      </w:r>
      <w:r>
        <w:rPr>
          <w:rFonts w:hint="eastAsia" w:ascii="仿宋_GB2312"/>
          <w:color w:val="000000" w:themeColor="text1"/>
          <w:sz w:val="32"/>
          <w:szCs w:val="32"/>
        </w:rPr>
        <w:t>幼儿园7所</w:t>
      </w:r>
      <w:r>
        <w:rPr>
          <w:rFonts w:hint="eastAsia" w:ascii="仿宋_GB2312"/>
          <w:color w:val="000000" w:themeColor="text1"/>
          <w:sz w:val="32"/>
          <w:szCs w:val="32"/>
          <w:lang w:eastAsia="zh-CN"/>
        </w:rPr>
        <w:t>（学校</w:t>
      </w:r>
      <w:r>
        <w:rPr>
          <w:rFonts w:hint="eastAsia" w:ascii="仿宋_GB2312"/>
          <w:color w:val="000000" w:themeColor="text1"/>
          <w:sz w:val="32"/>
          <w:szCs w:val="32"/>
          <w:lang w:val="en-US" w:eastAsia="zh-CN"/>
        </w:rPr>
        <w:t>4所，幼儿园3所</w:t>
      </w:r>
      <w:r>
        <w:rPr>
          <w:rFonts w:hint="eastAsia" w:ascii="仿宋_GB2312"/>
          <w:color w:val="000000" w:themeColor="text1"/>
          <w:sz w:val="32"/>
          <w:szCs w:val="32"/>
          <w:lang w:eastAsia="zh-CN"/>
        </w:rPr>
        <w:t>）</w:t>
      </w:r>
      <w:r>
        <w:rPr>
          <w:rFonts w:hint="eastAsia" w:ascii="仿宋_GB2312"/>
          <w:color w:val="000000" w:themeColor="text1"/>
          <w:sz w:val="32"/>
          <w:szCs w:val="32"/>
        </w:rPr>
        <w:t>，新增学位8400个</w:t>
      </w:r>
      <w:r>
        <w:rPr>
          <w:rFonts w:hint="eastAsia" w:ascii="仿宋_GB2312"/>
          <w:color w:val="000000" w:themeColor="text1"/>
          <w:sz w:val="32"/>
          <w:szCs w:val="32"/>
          <w:lang w:eastAsia="zh-CN"/>
        </w:rPr>
        <w:t>（学校</w:t>
      </w:r>
      <w:r>
        <w:rPr>
          <w:rFonts w:hint="eastAsia" w:ascii="仿宋_GB2312"/>
          <w:color w:val="000000" w:themeColor="text1"/>
          <w:sz w:val="32"/>
          <w:szCs w:val="32"/>
          <w:lang w:val="en-US" w:eastAsia="zh-CN"/>
        </w:rPr>
        <w:t>7200个，幼儿园1200个</w:t>
      </w:r>
      <w:r>
        <w:rPr>
          <w:rFonts w:hint="eastAsia" w:ascii="仿宋_GB2312"/>
          <w:color w:val="000000" w:themeColor="text1"/>
          <w:sz w:val="32"/>
          <w:szCs w:val="32"/>
          <w:lang w:eastAsia="zh-CN"/>
        </w:rPr>
        <w:t>）；</w:t>
      </w:r>
      <w:r>
        <w:rPr>
          <w:rFonts w:hint="eastAsia" w:ascii="仿宋_GB2312"/>
          <w:bCs/>
          <w:sz w:val="32"/>
          <w:szCs w:val="32"/>
          <w:lang w:eastAsia="zh-CN"/>
        </w:rPr>
        <w:t>截至</w:t>
      </w:r>
      <w:r>
        <w:rPr>
          <w:rFonts w:hint="eastAsia" w:ascii="仿宋_GB2312"/>
          <w:bCs/>
          <w:sz w:val="32"/>
          <w:szCs w:val="32"/>
          <w:lang w:val="en-US" w:eastAsia="zh-CN"/>
        </w:rPr>
        <w:t>2022年8月，</w:t>
      </w:r>
      <w:r>
        <w:rPr>
          <w:rFonts w:hint="eastAsia" w:ascii="仿宋_GB2312"/>
          <w:color w:val="000000" w:themeColor="text1"/>
          <w:sz w:val="32"/>
          <w:szCs w:val="32"/>
        </w:rPr>
        <w:t>共建成学校</w:t>
      </w:r>
      <w:r>
        <w:rPr>
          <w:rFonts w:hint="eastAsia" w:ascii="仿宋_GB2312"/>
          <w:color w:val="000000" w:themeColor="text1"/>
          <w:sz w:val="32"/>
          <w:szCs w:val="32"/>
          <w:lang w:eastAsia="zh-CN"/>
        </w:rPr>
        <w:t>、</w:t>
      </w:r>
      <w:r>
        <w:rPr>
          <w:rFonts w:hint="eastAsia" w:ascii="仿宋_GB2312"/>
          <w:color w:val="000000" w:themeColor="text1"/>
          <w:sz w:val="32"/>
          <w:szCs w:val="32"/>
        </w:rPr>
        <w:t>幼儿园</w:t>
      </w:r>
      <w:r>
        <w:rPr>
          <w:rFonts w:hint="eastAsia" w:ascii="仿宋_GB2312"/>
          <w:color w:val="000000" w:themeColor="text1"/>
          <w:sz w:val="32"/>
          <w:szCs w:val="32"/>
          <w:lang w:val="en-US" w:eastAsia="zh-CN"/>
        </w:rPr>
        <w:t>10</w:t>
      </w:r>
      <w:r>
        <w:rPr>
          <w:rFonts w:hint="eastAsia" w:ascii="仿宋_GB2312"/>
          <w:color w:val="000000" w:themeColor="text1"/>
          <w:sz w:val="32"/>
          <w:szCs w:val="32"/>
        </w:rPr>
        <w:t>所</w:t>
      </w:r>
      <w:r>
        <w:rPr>
          <w:rFonts w:hint="eastAsia" w:ascii="仿宋_GB2312"/>
          <w:color w:val="000000" w:themeColor="text1"/>
          <w:sz w:val="32"/>
          <w:szCs w:val="32"/>
          <w:lang w:eastAsia="zh-CN"/>
        </w:rPr>
        <w:t>（学校</w:t>
      </w:r>
      <w:r>
        <w:rPr>
          <w:rFonts w:hint="eastAsia" w:ascii="仿宋_GB2312"/>
          <w:color w:val="000000" w:themeColor="text1"/>
          <w:sz w:val="32"/>
          <w:szCs w:val="32"/>
          <w:lang w:val="en-US" w:eastAsia="zh-CN"/>
        </w:rPr>
        <w:t>4所，幼儿园6所</w:t>
      </w:r>
      <w:r>
        <w:rPr>
          <w:rFonts w:hint="eastAsia" w:ascii="仿宋_GB2312"/>
          <w:color w:val="000000" w:themeColor="text1"/>
          <w:sz w:val="32"/>
          <w:szCs w:val="32"/>
          <w:lang w:eastAsia="zh-CN"/>
        </w:rPr>
        <w:t>）</w:t>
      </w:r>
      <w:r>
        <w:rPr>
          <w:rFonts w:hint="eastAsia" w:ascii="仿宋_GB2312"/>
          <w:color w:val="000000" w:themeColor="text1"/>
          <w:sz w:val="32"/>
          <w:szCs w:val="32"/>
        </w:rPr>
        <w:t>，新增学位</w:t>
      </w:r>
      <w:r>
        <w:rPr>
          <w:rFonts w:hint="eastAsia" w:ascii="仿宋_GB2312"/>
          <w:color w:val="000000" w:themeColor="text1"/>
          <w:sz w:val="32"/>
          <w:szCs w:val="32"/>
          <w:lang w:val="en-US" w:eastAsia="zh-CN"/>
        </w:rPr>
        <w:t>816</w:t>
      </w:r>
      <w:r>
        <w:rPr>
          <w:rFonts w:hint="eastAsia" w:ascii="仿宋_GB2312"/>
          <w:color w:val="000000" w:themeColor="text1"/>
          <w:sz w:val="32"/>
          <w:szCs w:val="32"/>
        </w:rPr>
        <w:t>0个</w:t>
      </w:r>
      <w:r>
        <w:rPr>
          <w:rFonts w:hint="eastAsia" w:ascii="仿宋_GB2312"/>
          <w:color w:val="000000" w:themeColor="text1"/>
          <w:sz w:val="32"/>
          <w:szCs w:val="32"/>
          <w:lang w:eastAsia="zh-CN"/>
        </w:rPr>
        <w:t>（学校</w:t>
      </w:r>
      <w:r>
        <w:rPr>
          <w:rFonts w:hint="eastAsia" w:ascii="仿宋_GB2312"/>
          <w:color w:val="000000" w:themeColor="text1"/>
          <w:sz w:val="32"/>
          <w:szCs w:val="32"/>
          <w:lang w:val="en-US" w:eastAsia="zh-CN"/>
        </w:rPr>
        <w:t>6390个，幼儿园1770个</w:t>
      </w:r>
      <w:r>
        <w:rPr>
          <w:rFonts w:hint="eastAsia" w:ascii="仿宋_GB2312"/>
          <w:color w:val="000000" w:themeColor="text1"/>
          <w:sz w:val="32"/>
          <w:szCs w:val="32"/>
          <w:lang w:eastAsia="zh-CN"/>
        </w:rPr>
        <w:t>）。</w:t>
      </w:r>
    </w:p>
    <w:p>
      <w:pPr>
        <w:topLinePunct/>
        <w:ind w:firstLine="632" w:firstLineChars="200"/>
        <w:rPr>
          <w:rFonts w:hAnsi="黑体"/>
          <w:snapToGrid w:val="0"/>
          <w:kern w:val="32"/>
          <w:szCs w:val="32"/>
        </w:rPr>
      </w:pPr>
      <w:r>
        <w:rPr>
          <w:rFonts w:hint="eastAsia" w:hAnsi="黑体"/>
          <w:snapToGrid w:val="0"/>
          <w:kern w:val="32"/>
          <w:szCs w:val="32"/>
        </w:rPr>
        <w:t>（2）严格落实住宅小区配套学校和幼儿园管理规定。塘沽湾配套学校建成投用,塘沽湾幼儿园等4所小区配套幼儿园建成移交并开办为公办园。北塘碧桂园天樾幼儿园已建成，正在办理移交手续。</w:t>
      </w:r>
    </w:p>
    <w:p>
      <w:pPr>
        <w:topLinePunct/>
        <w:ind w:firstLine="632" w:firstLineChars="200"/>
        <w:rPr>
          <w:rFonts w:hAnsi="黑体"/>
          <w:bCs/>
          <w:snapToGrid w:val="0"/>
          <w:kern w:val="32"/>
          <w:szCs w:val="32"/>
        </w:rPr>
      </w:pPr>
      <w:r>
        <w:rPr>
          <w:rFonts w:hint="eastAsia" w:hAnsi="黑体"/>
          <w:bCs/>
          <w:snapToGrid w:val="0"/>
          <w:kern w:val="32"/>
          <w:szCs w:val="32"/>
        </w:rPr>
        <w:t>（3）建立C级校舍加固台账，太平村中学等5所学校15266平方米校舍已加固完成。目前仅有大港海滨四校和汉沽河西三小2所学校存在C级校舍，已完善加固改造方案。</w:t>
      </w:r>
    </w:p>
    <w:p>
      <w:pPr>
        <w:topLinePunct/>
        <w:ind w:firstLine="632" w:firstLineChars="200"/>
        <w:rPr>
          <w:snapToGrid w:val="0"/>
          <w:kern w:val="32"/>
          <w:szCs w:val="32"/>
        </w:rPr>
      </w:pPr>
      <w:r>
        <w:rPr>
          <w:rFonts w:hint="eastAsia" w:hAnsi="黑体"/>
          <w:bCs/>
          <w:snapToGrid w:val="0"/>
          <w:kern w:val="32"/>
          <w:szCs w:val="32"/>
        </w:rPr>
        <w:t>（4）对34所学校损坏严重的塑胶场地进行维修改造，通过扩建、补建、与社区共用等措施，小学增加运动场地面积250909.84平米，初中增加118233.67平米。</w:t>
      </w:r>
      <w:r>
        <w:rPr>
          <w:rFonts w:hint="eastAsia" w:hAnsi="仿宋_GB2312" w:cs="仿宋_GB2312"/>
          <w:bCs/>
          <w:snapToGrid w:val="0"/>
          <w:kern w:val="32"/>
          <w:szCs w:val="32"/>
        </w:rPr>
        <w:t>截至2022年6月底，150所学校已经建立劳动实践教室。</w:t>
      </w:r>
      <w:r>
        <w:rPr>
          <w:rFonts w:hint="eastAsia"/>
          <w:snapToGrid w:val="0"/>
          <w:kern w:val="32"/>
          <w:szCs w:val="32"/>
        </w:rPr>
        <w:t>2021年，投入资金4630万元精准改善教育装备等办学条件，新增实验室、功能室56间，新增教学仪器设备1617万元，新增计算机796台。</w:t>
      </w:r>
    </w:p>
    <w:p>
      <w:pPr>
        <w:topLinePunct/>
        <w:ind w:firstLine="632" w:firstLineChars="200"/>
        <w:rPr>
          <w:rFonts w:hAnsi="宋体"/>
          <w:b/>
          <w:bCs/>
          <w:snapToGrid w:val="0"/>
          <w:kern w:val="32"/>
          <w:sz w:val="32"/>
          <w:szCs w:val="32"/>
          <w:highlight w:val="none"/>
        </w:rPr>
      </w:pPr>
      <w:r>
        <w:rPr>
          <w:rFonts w:hint="eastAsia" w:hAnsi="仿宋" w:cs="仿宋"/>
          <w:b/>
          <w:bCs/>
          <w:snapToGrid w:val="0"/>
          <w:kern w:val="32"/>
          <w:sz w:val="32"/>
          <w:szCs w:val="32"/>
          <w:highlight w:val="none"/>
        </w:rPr>
        <w:t>2.落实</w:t>
      </w:r>
      <w:r>
        <w:rPr>
          <w:rFonts w:hint="eastAsia" w:hAnsi="Calibri"/>
          <w:b/>
          <w:bCs/>
          <w:kern w:val="0"/>
          <w:sz w:val="32"/>
          <w:szCs w:val="32"/>
          <w:highlight w:val="none"/>
        </w:rPr>
        <w:t>“两个只增不减”</w:t>
      </w:r>
    </w:p>
    <w:p>
      <w:pPr>
        <w:topLinePunct/>
        <w:ind w:firstLine="632" w:firstLineChars="200"/>
        <w:rPr>
          <w:rFonts w:hAnsi="宋体" w:cs="宋体"/>
          <w:snapToGrid w:val="0"/>
          <w:kern w:val="32"/>
          <w:szCs w:val="32"/>
        </w:rPr>
      </w:pPr>
      <w:r>
        <w:rPr>
          <w:rFonts w:hint="eastAsia" w:hAnsi="宋体" w:cs="宋体"/>
          <w:snapToGrid w:val="0"/>
          <w:kern w:val="32"/>
          <w:szCs w:val="32"/>
        </w:rPr>
        <w:t>2021年，一般公共预算教育经费为82.26亿元，比上年增长了28.97%</w:t>
      </w:r>
      <w:r>
        <w:rPr>
          <w:rFonts w:hint="eastAsia" w:hAnsi="Calibri"/>
          <w:snapToGrid w:val="0"/>
          <w:kern w:val="32"/>
          <w:szCs w:val="32"/>
        </w:rPr>
        <w:t>；除</w:t>
      </w:r>
      <w:r>
        <w:rPr>
          <w:rFonts w:hint="eastAsia" w:hAnsi="宋体" w:cs="宋体"/>
          <w:snapToGrid w:val="0"/>
          <w:kern w:val="32"/>
          <w:szCs w:val="32"/>
        </w:rPr>
        <w:t>幼儿园未实现增长外，其他学段生均一般公共预算教育经费均实现增长。截至2022年7月，一般公共预算教育经费支出43.29亿元，执行率为53%。</w:t>
      </w:r>
    </w:p>
    <w:p>
      <w:pPr>
        <w:topLinePunct/>
        <w:ind w:firstLine="632" w:firstLineChars="200"/>
        <w:rPr>
          <w:rFonts w:hAnsi="宋体"/>
          <w:b/>
          <w:snapToGrid w:val="0"/>
          <w:kern w:val="32"/>
          <w:szCs w:val="32"/>
        </w:rPr>
      </w:pPr>
      <w:r>
        <w:rPr>
          <w:rFonts w:hint="eastAsia" w:hAnsi="仿宋" w:cs="仿宋"/>
          <w:b/>
          <w:bCs/>
          <w:snapToGrid w:val="0"/>
          <w:kern w:val="32"/>
          <w:szCs w:val="32"/>
        </w:rPr>
        <w:t>3.</w:t>
      </w:r>
      <w:r>
        <w:rPr>
          <w:rFonts w:hint="eastAsia" w:hAnsi="黑体"/>
          <w:b/>
          <w:bCs/>
          <w:snapToGrid w:val="0"/>
          <w:kern w:val="32"/>
          <w:szCs w:val="32"/>
        </w:rPr>
        <w:t>加强教师队伍建设</w:t>
      </w:r>
    </w:p>
    <w:p>
      <w:pPr>
        <w:topLinePunct/>
        <w:ind w:firstLine="632" w:firstLineChars="200"/>
        <w:rPr>
          <w:rFonts w:hAnsi="宋体"/>
          <w:snapToGrid w:val="0"/>
          <w:kern w:val="32"/>
          <w:szCs w:val="32"/>
        </w:rPr>
      </w:pPr>
      <w:r>
        <w:rPr>
          <w:rFonts w:hint="eastAsia"/>
          <w:snapToGrid w:val="0"/>
          <w:kern w:val="32"/>
          <w:szCs w:val="32"/>
        </w:rPr>
        <w:t>（1）</w:t>
      </w:r>
      <w:r>
        <w:rPr>
          <w:rFonts w:hint="eastAsia" w:hAnsi="宋体"/>
          <w:snapToGrid w:val="0"/>
          <w:kern w:val="32"/>
          <w:szCs w:val="32"/>
        </w:rPr>
        <w:t>落实《滨海新区进一步保障义务教育教师工资待遇工作实施方案》，从政策和机制上保障义务教育教师平均工资收入不低于公务员。</w:t>
      </w:r>
    </w:p>
    <w:p>
      <w:pPr>
        <w:topLinePunct/>
        <w:ind w:firstLine="632" w:firstLineChars="200"/>
        <w:rPr>
          <w:rFonts w:hAnsi="仿宋"/>
          <w:snapToGrid w:val="0"/>
          <w:kern w:val="32"/>
          <w:szCs w:val="32"/>
        </w:rPr>
      </w:pPr>
      <w:r>
        <w:rPr>
          <w:rFonts w:hint="eastAsia"/>
          <w:snapToGrid w:val="0"/>
          <w:kern w:val="32"/>
          <w:szCs w:val="32"/>
        </w:rPr>
        <w:t>（2）</w:t>
      </w:r>
      <w:r>
        <w:rPr>
          <w:rFonts w:hint="eastAsia" w:hAnsi="Calibri"/>
          <w:snapToGrid w:val="0"/>
          <w:kern w:val="32"/>
          <w:szCs w:val="32"/>
        </w:rPr>
        <w:t>推进义务教育教师“区管校聘”，通过跨校任教、学区内走教等多种方式推动城镇优秀</w:t>
      </w:r>
      <w:r>
        <w:rPr>
          <w:rFonts w:hint="eastAsia" w:hAnsi="Calibri"/>
          <w:snapToGrid w:val="0"/>
          <w:kern w:val="32"/>
          <w:szCs w:val="32"/>
          <w:lang w:eastAsia="zh-CN"/>
        </w:rPr>
        <w:t>教师</w:t>
      </w:r>
      <w:r>
        <w:rPr>
          <w:rFonts w:hint="eastAsia" w:hAnsi="Calibri"/>
          <w:snapToGrid w:val="0"/>
          <w:kern w:val="32"/>
          <w:szCs w:val="32"/>
        </w:rPr>
        <w:t>资源共享。2022年出台《滨海新区关于进一步深化义务教育学校教师校长交流轮岗改革工作实施方案》。</w:t>
      </w:r>
    </w:p>
    <w:p>
      <w:pPr>
        <w:topLinePunct/>
        <w:ind w:firstLine="632" w:firstLineChars="200"/>
        <w:rPr>
          <w:snapToGrid w:val="0"/>
          <w:kern w:val="32"/>
          <w:szCs w:val="32"/>
        </w:rPr>
      </w:pPr>
      <w:r>
        <w:rPr>
          <w:rFonts w:hint="eastAsia"/>
          <w:snapToGrid w:val="0"/>
          <w:kern w:val="32"/>
          <w:szCs w:val="32"/>
        </w:rPr>
        <w:t>（</w:t>
      </w:r>
      <w:r>
        <w:rPr>
          <w:rFonts w:hint="eastAsia"/>
          <w:snapToGrid w:val="0"/>
          <w:kern w:val="32"/>
          <w:szCs w:val="32"/>
          <w:lang w:val="en-US" w:eastAsia="zh-CN"/>
        </w:rPr>
        <w:t>3</w:t>
      </w:r>
      <w:r>
        <w:rPr>
          <w:rFonts w:hint="eastAsia"/>
          <w:snapToGrid w:val="0"/>
          <w:kern w:val="32"/>
          <w:szCs w:val="32"/>
        </w:rPr>
        <w:t>）印发《滨海新区教育系统2021年师德建设月活动方案》《滨海新区教师师德考核指导办法（试行）》，建立“日查”“周讲”“月评”“季研判”“半年违规统计”“学年度考核”师德建设机制。</w:t>
      </w:r>
    </w:p>
    <w:p>
      <w:pPr>
        <w:topLinePunct/>
        <w:ind w:firstLine="632" w:firstLineChars="200"/>
        <w:rPr>
          <w:snapToGrid w:val="0"/>
          <w:kern w:val="32"/>
          <w:szCs w:val="32"/>
        </w:rPr>
      </w:pPr>
      <w:r>
        <w:rPr>
          <w:rFonts w:hint="eastAsia"/>
          <w:snapToGrid w:val="0"/>
          <w:kern w:val="32"/>
          <w:szCs w:val="32"/>
        </w:rPr>
        <w:t>（</w:t>
      </w:r>
      <w:r>
        <w:rPr>
          <w:rFonts w:hint="eastAsia"/>
          <w:snapToGrid w:val="0"/>
          <w:kern w:val="32"/>
          <w:szCs w:val="32"/>
          <w:lang w:val="en-US" w:eastAsia="zh-CN"/>
        </w:rPr>
        <w:t>4</w:t>
      </w:r>
      <w:r>
        <w:rPr>
          <w:rFonts w:hint="eastAsia"/>
          <w:snapToGrid w:val="0"/>
          <w:kern w:val="32"/>
          <w:szCs w:val="32"/>
        </w:rPr>
        <w:t>）严格执行督查检查考核年度计划和审核报备制度，强化日常监督和归口管理，减少专项督查检查。强化督查检查考核结果的分析运用，减轻基层工作负担。</w:t>
      </w:r>
    </w:p>
    <w:p>
      <w:pPr>
        <w:topLinePunct/>
        <w:ind w:firstLine="632" w:firstLineChars="200"/>
        <w:rPr>
          <w:rFonts w:hAnsi="仿宋" w:cs="仿宋"/>
          <w:b/>
          <w:bCs/>
          <w:snapToGrid w:val="0"/>
          <w:kern w:val="32"/>
          <w:szCs w:val="32"/>
        </w:rPr>
      </w:pPr>
      <w:r>
        <w:rPr>
          <w:rFonts w:hint="eastAsia"/>
          <w:b/>
          <w:bCs/>
          <w:snapToGrid w:val="0"/>
          <w:kern w:val="32"/>
          <w:szCs w:val="32"/>
        </w:rPr>
        <w:t>4.</w:t>
      </w:r>
      <w:r>
        <w:rPr>
          <w:rFonts w:hint="eastAsia" w:hAnsi="仿宋" w:cs="仿宋"/>
          <w:b/>
          <w:bCs/>
          <w:snapToGrid w:val="0"/>
          <w:kern w:val="32"/>
          <w:szCs w:val="32"/>
        </w:rPr>
        <w:t>加强教育督导工作</w:t>
      </w:r>
    </w:p>
    <w:p>
      <w:pPr>
        <w:topLinePunct/>
        <w:ind w:firstLine="632" w:firstLineChars="200"/>
        <w:rPr>
          <w:rFonts w:hAnsi="仿宋"/>
          <w:b/>
          <w:bCs/>
          <w:snapToGrid w:val="0"/>
          <w:kern w:val="32"/>
          <w:szCs w:val="32"/>
        </w:rPr>
      </w:pPr>
      <w:r>
        <w:rPr>
          <w:rFonts w:hint="eastAsia" w:hAnsi="仿宋_GB2312" w:cs="仿宋_GB2312"/>
          <w:snapToGrid w:val="0"/>
          <w:kern w:val="32"/>
          <w:szCs w:val="32"/>
        </w:rPr>
        <w:t>落实</w:t>
      </w:r>
      <w:r>
        <w:rPr>
          <w:rFonts w:hint="eastAsia" w:hAnsi="微软雅黑"/>
          <w:snapToGrid w:val="0"/>
          <w:kern w:val="32"/>
          <w:szCs w:val="32"/>
        </w:rPr>
        <w:t>《</w:t>
      </w:r>
      <w:r>
        <w:rPr>
          <w:rFonts w:hint="eastAsia" w:hAnsi="仿宋_GB2312" w:cs="仿宋_GB2312"/>
          <w:snapToGrid w:val="0"/>
          <w:color w:val="000000"/>
          <w:kern w:val="32"/>
          <w:szCs w:val="32"/>
        </w:rPr>
        <w:t>中共天津市委办公厅天津市人民政府办公厅</w:t>
      </w:r>
      <w:r>
        <w:rPr>
          <w:rFonts w:hint="eastAsia" w:hAnsi="微软雅黑"/>
          <w:snapToGrid w:val="0"/>
          <w:kern w:val="32"/>
          <w:szCs w:val="32"/>
        </w:rPr>
        <w:t>印发&lt;关于深化新时代教育督导体制机制改革的若干措施&gt;的通知》要求。</w:t>
      </w:r>
      <w:r>
        <w:rPr>
          <w:rFonts w:hint="eastAsia" w:hAnsi="Calibri"/>
          <w:snapToGrid w:val="0"/>
          <w:kern w:val="32"/>
          <w:szCs w:val="32"/>
        </w:rPr>
        <w:t>区</w:t>
      </w:r>
      <w:r>
        <w:rPr>
          <w:rFonts w:hint="eastAsia" w:hAnsi="仿宋" w:cs="仿宋"/>
          <w:snapToGrid w:val="0"/>
          <w:kern w:val="32"/>
          <w:szCs w:val="32"/>
        </w:rPr>
        <w:t>教体局加挂区政府教育督导室牌子，其日常工作由内设机构区政府教育督导室办公室承担。</w:t>
      </w:r>
      <w:r>
        <w:rPr>
          <w:rFonts w:hint="eastAsia" w:hAnsi="Calibri"/>
          <w:snapToGrid w:val="0"/>
          <w:kern w:val="32"/>
          <w:szCs w:val="32"/>
        </w:rPr>
        <w:t>健全完善中小学、幼儿园责任督学挂牌督导工作机制</w:t>
      </w:r>
      <w:r>
        <w:rPr>
          <w:rFonts w:hint="eastAsia" w:hAnsi="仿宋" w:cs="仿宋"/>
          <w:snapToGrid w:val="0"/>
          <w:kern w:val="32"/>
          <w:szCs w:val="32"/>
        </w:rPr>
        <w:t>，实现全区中小学幼儿园</w:t>
      </w:r>
      <w:r>
        <w:rPr>
          <w:rFonts w:hint="eastAsia" w:hAnsi="方正小标宋简体" w:cs="方正小标宋简体"/>
          <w:bCs/>
          <w:snapToGrid w:val="0"/>
          <w:kern w:val="32"/>
          <w:szCs w:val="32"/>
        </w:rPr>
        <w:t>责任督学</w:t>
      </w:r>
      <w:r>
        <w:rPr>
          <w:rFonts w:hint="eastAsia" w:hAnsi="仿宋" w:cs="仿宋"/>
          <w:snapToGrid w:val="0"/>
          <w:kern w:val="32"/>
          <w:szCs w:val="32"/>
        </w:rPr>
        <w:t>全覆盖。</w:t>
      </w:r>
    </w:p>
    <w:p>
      <w:pPr>
        <w:topLinePunct/>
        <w:ind w:firstLine="632" w:firstLineChars="200"/>
        <w:rPr>
          <w:rFonts w:ascii="楷体_GB2312" w:hAnsi="楷体_GB2312" w:eastAsia="楷体_GB2312" w:cs="楷体_GB2312"/>
          <w:b/>
          <w:bCs/>
          <w:snapToGrid w:val="0"/>
          <w:kern w:val="32"/>
          <w:szCs w:val="32"/>
        </w:rPr>
      </w:pPr>
      <w:r>
        <w:rPr>
          <w:rFonts w:hint="eastAsia" w:ascii="楷体_GB2312" w:hAnsi="楷体_GB2312" w:eastAsia="楷体_GB2312" w:cs="楷体_GB2312"/>
          <w:b/>
          <w:bCs/>
          <w:snapToGrid w:val="0"/>
          <w:kern w:val="32"/>
          <w:szCs w:val="32"/>
        </w:rPr>
        <w:t>（五）落实意识形态重点任务</w:t>
      </w:r>
    </w:p>
    <w:p>
      <w:pPr>
        <w:topLinePunct/>
        <w:ind w:firstLine="632" w:firstLineChars="200"/>
        <w:rPr>
          <w:snapToGrid w:val="0"/>
          <w:kern w:val="32"/>
          <w:szCs w:val="32"/>
        </w:rPr>
      </w:pPr>
      <w:r>
        <w:rPr>
          <w:rFonts w:hint="eastAsia"/>
          <w:snapToGrid w:val="0"/>
          <w:kern w:val="32"/>
          <w:szCs w:val="32"/>
        </w:rPr>
        <w:t>加强中小学教材管理，2021年制发《关于加强中小学教材管理工作的通知》。规范教材教辅选用使用，严格按照“一科一辅、学生自愿、无偿代购”的原则推荐和使用教辅材料。开展教材专项排查治理工作，2021年4月成立滨海新区大中小学教材专项排查工作专班，开展大中小学外语教材和大中小学学科专业类境外教材“两类教材”和中小学境外教材专项治理，2021年9月开展义务教育和普通高中阶段各类学校违规开设境外课程、使用境外教材问题专项治理。组织课程教材使用培训展示活动。</w:t>
      </w:r>
    </w:p>
    <w:p>
      <w:pPr>
        <w:topLinePunct/>
        <w:ind w:firstLine="632" w:firstLineChars="200"/>
        <w:rPr>
          <w:rFonts w:ascii="楷体_GB2312" w:hAnsi="楷体_GB2312" w:eastAsia="楷体_GB2312" w:cs="楷体_GB2312"/>
          <w:b/>
          <w:snapToGrid w:val="0"/>
          <w:color w:val="000000"/>
          <w:kern w:val="32"/>
          <w:szCs w:val="32"/>
        </w:rPr>
      </w:pPr>
      <w:r>
        <w:rPr>
          <w:rFonts w:hint="eastAsia" w:ascii="楷体_GB2312" w:hAnsi="楷体_GB2312" w:eastAsia="楷体_GB2312" w:cs="楷体_GB2312"/>
          <w:b/>
          <w:snapToGrid w:val="0"/>
          <w:kern w:val="32"/>
          <w:szCs w:val="32"/>
        </w:rPr>
        <w:t>（六）</w:t>
      </w:r>
      <w:r>
        <w:rPr>
          <w:rFonts w:hint="eastAsia" w:ascii="楷体_GB2312" w:hAnsi="楷体_GB2312" w:eastAsia="楷体_GB2312" w:cs="楷体_GB2312"/>
          <w:b/>
          <w:snapToGrid w:val="0"/>
          <w:color w:val="000000"/>
          <w:kern w:val="32"/>
          <w:szCs w:val="32"/>
        </w:rPr>
        <w:t>加强校园安全工作</w:t>
      </w:r>
    </w:p>
    <w:p>
      <w:pPr>
        <w:topLinePunct/>
        <w:ind w:firstLine="632" w:firstLineChars="200"/>
        <w:rPr>
          <w:rFonts w:ascii="楷体_GB2312" w:hAnsi="楷体_GB2312" w:cs="楷体_GB2312"/>
          <w:b/>
          <w:bCs/>
          <w:snapToGrid w:val="0"/>
          <w:kern w:val="32"/>
          <w:szCs w:val="32"/>
          <w:highlight w:val="yellow"/>
        </w:rPr>
      </w:pPr>
      <w:r>
        <w:rPr>
          <w:rFonts w:hint="eastAsia" w:hAnsi="宋体"/>
          <w:b/>
          <w:bCs/>
          <w:snapToGrid w:val="0"/>
          <w:color w:val="000000"/>
          <w:kern w:val="32"/>
          <w:szCs w:val="32"/>
        </w:rPr>
        <w:t>1.健全中小学幼儿园安全管理长效机制</w:t>
      </w:r>
    </w:p>
    <w:p>
      <w:pPr>
        <w:topLinePunct/>
        <w:ind w:firstLine="632" w:firstLineChars="200"/>
        <w:rPr>
          <w:rFonts w:hAnsi="仿宋" w:cs="仿宋"/>
          <w:snapToGrid w:val="0"/>
          <w:kern w:val="32"/>
          <w:szCs w:val="32"/>
        </w:rPr>
      </w:pPr>
      <w:r>
        <w:rPr>
          <w:rFonts w:hint="eastAsia" w:hAnsi="仿宋" w:cs="仿宋"/>
          <w:snapToGrid w:val="0"/>
          <w:kern w:val="32"/>
          <w:szCs w:val="32"/>
        </w:rPr>
        <w:t>在区委平安滨海建设领导小组领导下，构建政府有关部门共同参与的学校安全风险防控体系，</w:t>
      </w:r>
      <w:r>
        <w:rPr>
          <w:rFonts w:hint="eastAsia" w:hAnsi="仿宋_GB2312" w:cs="仿宋_GB2312"/>
          <w:snapToGrid w:val="0"/>
          <w:kern w:val="32"/>
          <w:szCs w:val="32"/>
        </w:rPr>
        <w:t>持续深入开展防范校园欺凌</w:t>
      </w:r>
      <w:r>
        <w:rPr>
          <w:rFonts w:hint="eastAsia" w:hAnsi="Calibri"/>
          <w:snapToGrid w:val="0"/>
          <w:kern w:val="32"/>
          <w:szCs w:val="32"/>
        </w:rPr>
        <w:t>、学生溺水</w:t>
      </w:r>
      <w:r>
        <w:rPr>
          <w:rFonts w:hint="eastAsia" w:hAnsi="仿宋_GB2312" w:cs="仿宋_GB2312"/>
          <w:snapToGrid w:val="0"/>
          <w:kern w:val="32"/>
          <w:szCs w:val="32"/>
        </w:rPr>
        <w:t>等排查整治</w:t>
      </w:r>
      <w:r>
        <w:rPr>
          <w:rFonts w:hint="eastAsia" w:hAnsi="仿宋" w:cs="仿宋"/>
          <w:snapToGrid w:val="0"/>
          <w:kern w:val="32"/>
          <w:szCs w:val="32"/>
        </w:rPr>
        <w:t>。加强人防、物防、技防建设及投入，落实4个100%目标。</w:t>
      </w:r>
    </w:p>
    <w:p>
      <w:pPr>
        <w:topLinePunct/>
        <w:ind w:firstLine="632" w:firstLineChars="200"/>
        <w:rPr>
          <w:rFonts w:hAnsi="宋体"/>
          <w:b/>
          <w:bCs/>
          <w:snapToGrid w:val="0"/>
          <w:color w:val="000000"/>
          <w:kern w:val="32"/>
          <w:szCs w:val="32"/>
        </w:rPr>
      </w:pPr>
      <w:r>
        <w:rPr>
          <w:rFonts w:hint="eastAsia" w:hAnsi="宋体"/>
          <w:b/>
          <w:bCs/>
          <w:snapToGrid w:val="0"/>
          <w:color w:val="000000"/>
          <w:kern w:val="32"/>
          <w:szCs w:val="32"/>
        </w:rPr>
        <w:t>2.加强校外培训机构安全管理</w:t>
      </w:r>
    </w:p>
    <w:p>
      <w:pPr>
        <w:topLinePunct/>
        <w:ind w:firstLine="632" w:firstLineChars="200"/>
        <w:rPr>
          <w:rFonts w:cs="宋体"/>
          <w:snapToGrid w:val="0"/>
          <w:kern w:val="32"/>
          <w:szCs w:val="32"/>
        </w:rPr>
      </w:pPr>
      <w:r>
        <w:rPr>
          <w:rFonts w:hint="eastAsia" w:cs="宋体"/>
          <w:snapToGrid w:val="0"/>
          <w:kern w:val="32"/>
          <w:szCs w:val="32"/>
        </w:rPr>
        <w:t>开展“秋风”“惊雷”和“回头看”等专项行动加强检查指导，开展消防隐患全覆盖检查。</w:t>
      </w:r>
    </w:p>
    <w:p>
      <w:pPr>
        <w:topLinePunct/>
        <w:ind w:firstLine="632" w:firstLineChars="200"/>
        <w:rPr>
          <w:rFonts w:hAnsi="仿宋" w:cs="仿宋"/>
          <w:snapToGrid w:val="0"/>
          <w:kern w:val="32"/>
          <w:szCs w:val="32"/>
        </w:rPr>
      </w:pPr>
      <w:r>
        <w:rPr>
          <w:rFonts w:hint="eastAsia" w:hAnsi="宋体" w:cs="宋体"/>
          <w:b/>
          <w:bCs/>
          <w:snapToGrid w:val="0"/>
          <w:color w:val="3A3A3A"/>
          <w:kern w:val="32"/>
          <w:szCs w:val="32"/>
          <w:shd w:val="clear" w:color="auto" w:fill="FFFFFF"/>
        </w:rPr>
        <w:t>3.加强中小学校外配餐监管</w:t>
      </w:r>
    </w:p>
    <w:p>
      <w:pPr>
        <w:topLinePunct/>
        <w:ind w:firstLine="632" w:firstLineChars="200"/>
        <w:rPr>
          <w:snapToGrid w:val="0"/>
          <w:kern w:val="32"/>
          <w:szCs w:val="32"/>
          <w:lang w:val="zh-TW"/>
        </w:rPr>
      </w:pPr>
      <w:r>
        <w:rPr>
          <w:rFonts w:hint="eastAsia" w:hAnsi="楷体"/>
          <w:snapToGrid w:val="0"/>
          <w:kern w:val="32"/>
          <w:szCs w:val="32"/>
        </w:rPr>
        <w:t>制定《区教体局印发关于进一步落实校园食品安全管理主体责任的实施方案的通知》</w:t>
      </w:r>
      <w:r>
        <w:rPr>
          <w:rFonts w:hint="eastAsia"/>
          <w:snapToGrid w:val="0"/>
          <w:kern w:val="32"/>
          <w:szCs w:val="32"/>
        </w:rPr>
        <w:t>。通过公开招标方式选定校外配餐企业。每年春秋季开展学校食品安全工作专项监督检查。落实校（园）长、教师代表、家长代表及食品安全监管人员陪餐制度。实施“阳光工程”，自觉接受社会监督</w:t>
      </w:r>
      <w:r>
        <w:rPr>
          <w:rFonts w:hint="eastAsia"/>
          <w:snapToGrid w:val="0"/>
          <w:kern w:val="32"/>
          <w:szCs w:val="32"/>
          <w:lang w:val="zh-TW"/>
        </w:rPr>
        <w:t>。</w:t>
      </w:r>
    </w:p>
    <w:p>
      <w:pPr>
        <w:topLinePunct/>
        <w:ind w:firstLine="632" w:firstLineChars="200"/>
        <w:rPr>
          <w:rFonts w:ascii="黑体" w:eastAsia="黑体"/>
          <w:snapToGrid w:val="0"/>
          <w:kern w:val="32"/>
          <w:szCs w:val="32"/>
        </w:rPr>
      </w:pPr>
      <w:r>
        <w:rPr>
          <w:rFonts w:hint="eastAsia" w:ascii="黑体" w:eastAsia="黑体"/>
          <w:snapToGrid w:val="0"/>
          <w:kern w:val="32"/>
          <w:szCs w:val="32"/>
        </w:rPr>
        <w:t>三、存在问题及改进措施</w:t>
      </w:r>
    </w:p>
    <w:p>
      <w:pPr>
        <w:topLinePunct/>
        <w:ind w:firstLine="632" w:firstLineChars="200"/>
        <w:rPr>
          <w:rFonts w:ascii="楷体_GB2312" w:eastAsia="楷体_GB2312"/>
          <w:b/>
          <w:bCs/>
          <w:snapToGrid w:val="0"/>
          <w:kern w:val="32"/>
          <w:szCs w:val="32"/>
        </w:rPr>
      </w:pPr>
      <w:r>
        <w:rPr>
          <w:rFonts w:hint="eastAsia" w:ascii="楷体_GB2312" w:eastAsia="楷体_GB2312"/>
          <w:b/>
          <w:bCs/>
          <w:snapToGrid w:val="0"/>
          <w:kern w:val="32"/>
          <w:szCs w:val="32"/>
        </w:rPr>
        <w:t>（一）存在问题</w:t>
      </w:r>
    </w:p>
    <w:p>
      <w:pPr>
        <w:topLinePunct/>
        <w:ind w:firstLine="632" w:firstLineChars="200"/>
        <w:rPr>
          <w:rFonts w:ascii="楷体_GB2312"/>
          <w:b/>
          <w:bCs/>
          <w:snapToGrid w:val="0"/>
          <w:kern w:val="32"/>
          <w:szCs w:val="32"/>
        </w:rPr>
      </w:pPr>
      <w:r>
        <w:rPr>
          <w:rFonts w:hint="eastAsia" w:ascii="楷体_GB2312"/>
          <w:b/>
          <w:bCs/>
          <w:snapToGrid w:val="0"/>
          <w:kern w:val="32"/>
          <w:szCs w:val="32"/>
        </w:rPr>
        <w:t>1.教育质量总体水平不高</w:t>
      </w:r>
    </w:p>
    <w:p>
      <w:pPr>
        <w:topLinePunct/>
        <w:ind w:firstLine="632" w:firstLineChars="200"/>
        <w:rPr>
          <w:bCs/>
          <w:snapToGrid w:val="0"/>
          <w:kern w:val="32"/>
          <w:szCs w:val="32"/>
        </w:rPr>
      </w:pPr>
      <w:r>
        <w:rPr>
          <w:rFonts w:hint="eastAsia"/>
          <w:bCs/>
          <w:snapToGrid w:val="0"/>
          <w:kern w:val="32"/>
          <w:szCs w:val="32"/>
        </w:rPr>
        <w:t>学前教育普及普惠主要指标偏低，农村幼儿园数量、民办幼儿园教师待遇、幼儿园园舍条件、班额等指标不合格；部分义务教育学校生均教学及辅助用房和体育运动场馆面积、生均教学仪器设备值等单项指标未达标。体质健康监测和义务教育质量监测排名不高。</w:t>
      </w:r>
      <w:r>
        <w:rPr>
          <w:rFonts w:hint="eastAsia" w:hAnsi="仿宋"/>
          <w:bCs/>
          <w:snapToGrid w:val="0"/>
          <w:kern w:val="32"/>
          <w:szCs w:val="32"/>
        </w:rPr>
        <w:t>基础教育信息化水平偏低，</w:t>
      </w:r>
      <w:r>
        <w:rPr>
          <w:rFonts w:hint="eastAsia"/>
          <w:bCs/>
          <w:snapToGrid w:val="0"/>
          <w:kern w:val="32"/>
          <w:szCs w:val="32"/>
        </w:rPr>
        <w:t>智慧教育示范区创建工作进展迟缓。</w:t>
      </w:r>
    </w:p>
    <w:p>
      <w:pPr>
        <w:topLinePunct/>
        <w:ind w:firstLine="632" w:firstLineChars="200"/>
        <w:rPr>
          <w:rFonts w:ascii="楷体_GB2312" w:hAnsi="楷体" w:cs="Arial"/>
          <w:b/>
          <w:bCs/>
          <w:snapToGrid w:val="0"/>
          <w:kern w:val="32"/>
          <w:szCs w:val="32"/>
        </w:rPr>
      </w:pPr>
      <w:r>
        <w:rPr>
          <w:rFonts w:hint="eastAsia" w:ascii="楷体_GB2312" w:hAnsi="楷体" w:cs="Arial"/>
          <w:b/>
          <w:bCs/>
          <w:snapToGrid w:val="0"/>
          <w:kern w:val="32"/>
          <w:szCs w:val="32"/>
        </w:rPr>
        <w:t>2.各学段学位资源结构性短缺</w:t>
      </w:r>
    </w:p>
    <w:p>
      <w:pPr>
        <w:topLinePunct/>
        <w:ind w:firstLine="632" w:firstLineChars="200"/>
        <w:rPr>
          <w:snapToGrid w:val="0"/>
          <w:kern w:val="32"/>
          <w:szCs w:val="32"/>
        </w:rPr>
      </w:pPr>
      <w:r>
        <w:rPr>
          <w:rFonts w:hint="eastAsia"/>
          <w:snapToGrid w:val="0"/>
          <w:kern w:val="32"/>
          <w:szCs w:val="32"/>
        </w:rPr>
        <w:t>学前教育学位资源结构性短缺，学位缺口较大，学位资源布局不均衡，托幼点及在点幼儿较多。</w:t>
      </w:r>
      <w:r>
        <w:rPr>
          <w:rFonts w:hint="eastAsia" w:hAnsi="Arial" w:cs="Arial"/>
          <w:snapToGrid w:val="0"/>
          <w:kern w:val="32"/>
          <w:szCs w:val="32"/>
        </w:rPr>
        <w:t>义务教育学位</w:t>
      </w:r>
      <w:r>
        <w:rPr>
          <w:rFonts w:hint="eastAsia"/>
          <w:snapToGrid w:val="0"/>
          <w:kern w:val="32"/>
          <w:szCs w:val="32"/>
        </w:rPr>
        <w:t>区域间、校际间布局不均衡，小学学位供需不均衡，矛盾突出，初中部分区域学位</w:t>
      </w:r>
      <w:r>
        <w:rPr>
          <w:rFonts w:hint="eastAsia"/>
          <w:snapToGrid w:val="0"/>
          <w:kern w:val="32"/>
          <w:szCs w:val="32"/>
          <w:lang w:eastAsia="zh-CN"/>
        </w:rPr>
        <w:t>较</w:t>
      </w:r>
      <w:r>
        <w:rPr>
          <w:rFonts w:hint="eastAsia"/>
          <w:snapToGrid w:val="0"/>
          <w:kern w:val="32"/>
          <w:szCs w:val="32"/>
        </w:rPr>
        <w:t>紧。高中存量学位使用接近饱和且分布不均衡，未来三年高中增量需求加大。</w:t>
      </w:r>
    </w:p>
    <w:p>
      <w:pPr>
        <w:topLinePunct/>
        <w:ind w:firstLine="632" w:firstLineChars="200"/>
        <w:rPr>
          <w:rFonts w:ascii="楷体_GB2312"/>
          <w:b/>
          <w:snapToGrid w:val="0"/>
          <w:kern w:val="32"/>
          <w:szCs w:val="32"/>
        </w:rPr>
      </w:pPr>
      <w:r>
        <w:rPr>
          <w:rFonts w:hint="eastAsia" w:ascii="楷体_GB2312"/>
          <w:b/>
          <w:snapToGrid w:val="0"/>
          <w:kern w:val="32"/>
          <w:szCs w:val="32"/>
        </w:rPr>
        <w:t>3.</w:t>
      </w:r>
      <w:r>
        <w:rPr>
          <w:rFonts w:hint="eastAsia" w:ascii="楷体_GB2312" w:hAnsi="黑体"/>
          <w:b/>
          <w:snapToGrid w:val="0"/>
          <w:kern w:val="32"/>
          <w:szCs w:val="32"/>
        </w:rPr>
        <w:t>教师队伍整体素质有待提升</w:t>
      </w:r>
    </w:p>
    <w:p>
      <w:pPr>
        <w:topLinePunct/>
        <w:ind w:firstLine="632" w:firstLineChars="200"/>
        <w:rPr>
          <w:snapToGrid w:val="0"/>
          <w:kern w:val="32"/>
          <w:szCs w:val="32"/>
        </w:rPr>
      </w:pPr>
      <w:r>
        <w:rPr>
          <w:rFonts w:hint="eastAsia" w:hAnsi="仿宋"/>
          <w:snapToGrid w:val="0"/>
          <w:kern w:val="32"/>
          <w:szCs w:val="32"/>
        </w:rPr>
        <w:t>教师队伍数量不足，名教师</w:t>
      </w:r>
      <w:r>
        <w:rPr>
          <w:rFonts w:hint="eastAsia"/>
          <w:snapToGrid w:val="0"/>
          <w:kern w:val="32"/>
          <w:szCs w:val="32"/>
        </w:rPr>
        <w:t>名校长数量少，干部教师</w:t>
      </w:r>
      <w:r>
        <w:rPr>
          <w:rFonts w:hint="eastAsia" w:hAnsi="仿宋"/>
          <w:snapToGrid w:val="0"/>
          <w:kern w:val="32"/>
          <w:szCs w:val="32"/>
        </w:rPr>
        <w:t>年龄结构老化，</w:t>
      </w:r>
      <w:r>
        <w:rPr>
          <w:rFonts w:hint="eastAsia" w:hAnsi="仿宋" w:cs="宋体"/>
          <w:snapToGrid w:val="0"/>
          <w:kern w:val="32"/>
          <w:szCs w:val="32"/>
        </w:rPr>
        <w:t>教师管理体制改革效果不明显。</w:t>
      </w:r>
    </w:p>
    <w:p>
      <w:pPr>
        <w:topLinePunct/>
        <w:ind w:firstLine="632" w:firstLineChars="200"/>
        <w:rPr>
          <w:rFonts w:ascii="楷体_GB2312"/>
          <w:b/>
          <w:snapToGrid w:val="0"/>
          <w:kern w:val="32"/>
          <w:szCs w:val="32"/>
        </w:rPr>
      </w:pPr>
      <w:r>
        <w:rPr>
          <w:rFonts w:hint="eastAsia" w:ascii="楷体_GB2312"/>
          <w:b/>
          <w:snapToGrid w:val="0"/>
          <w:kern w:val="32"/>
          <w:szCs w:val="32"/>
        </w:rPr>
        <w:t>4.南北两翼与核心区教育发展不平衡</w:t>
      </w:r>
    </w:p>
    <w:p>
      <w:pPr>
        <w:topLinePunct/>
        <w:ind w:firstLine="632" w:firstLineChars="200"/>
        <w:rPr>
          <w:snapToGrid w:val="0"/>
          <w:kern w:val="32"/>
          <w:szCs w:val="32"/>
        </w:rPr>
      </w:pPr>
      <w:r>
        <w:rPr>
          <w:rFonts w:hint="eastAsia" w:hAnsi="微软雅黑"/>
          <w:snapToGrid w:val="0"/>
          <w:kern w:val="32"/>
          <w:szCs w:val="32"/>
        </w:rPr>
        <w:t>南北两翼与核心区学校硬件条件上的差距尚不明显，但在学校管理、师资水平、教育质量方面的差距加大，</w:t>
      </w:r>
      <w:r>
        <w:rPr>
          <w:rFonts w:hint="eastAsia"/>
          <w:snapToGrid w:val="0"/>
          <w:kern w:val="32"/>
          <w:szCs w:val="32"/>
        </w:rPr>
        <w:t>办学治校水平逐渐拉大距离。</w:t>
      </w:r>
    </w:p>
    <w:p>
      <w:pPr>
        <w:topLinePunct/>
        <w:ind w:firstLine="632" w:firstLineChars="200"/>
        <w:rPr>
          <w:rFonts w:ascii="楷体_GB2312" w:eastAsia="楷体_GB2312"/>
          <w:b/>
          <w:bCs/>
          <w:snapToGrid w:val="0"/>
          <w:kern w:val="32"/>
          <w:szCs w:val="32"/>
        </w:rPr>
      </w:pPr>
      <w:r>
        <w:rPr>
          <w:rFonts w:hint="eastAsia" w:ascii="楷体_GB2312" w:eastAsia="楷体_GB2312"/>
          <w:b/>
          <w:bCs/>
          <w:snapToGrid w:val="0"/>
          <w:kern w:val="32"/>
          <w:szCs w:val="32"/>
        </w:rPr>
        <w:t>（二）改进措施</w:t>
      </w:r>
    </w:p>
    <w:p>
      <w:pPr>
        <w:pStyle w:val="13"/>
        <w:shd w:val="clear" w:color="auto" w:fill="FFFFFF"/>
        <w:topLinePunct/>
        <w:spacing w:before="0" w:beforeAutospacing="0" w:after="0" w:afterAutospacing="0"/>
        <w:ind w:firstLine="632" w:firstLineChars="200"/>
        <w:jc w:val="both"/>
        <w:rPr>
          <w:rFonts w:ascii="黑体" w:hAnsi="黑体"/>
          <w:snapToGrid w:val="0"/>
          <w:kern w:val="32"/>
          <w:sz w:val="32"/>
          <w:szCs w:val="32"/>
        </w:rPr>
      </w:pPr>
      <w:r>
        <w:rPr>
          <w:rFonts w:hint="eastAsia"/>
          <w:snapToGrid w:val="0"/>
          <w:kern w:val="32"/>
          <w:sz w:val="32"/>
          <w:szCs w:val="32"/>
        </w:rPr>
        <w:t>坚持以问题为导向，以促进优质化均衡化发展为目标，用足市颁支持政策，发挥自身优势，平衡城区和农村教育发展，统筹化解存量与增量问题，以实施“四大工程”为牵引，精准施策，加速补齐教育短板。</w:t>
      </w:r>
    </w:p>
    <w:p>
      <w:pPr>
        <w:topLinePunct/>
        <w:ind w:firstLine="632" w:firstLineChars="200"/>
        <w:rPr>
          <w:rFonts w:ascii="楷体_GB2312"/>
          <w:b/>
          <w:snapToGrid w:val="0"/>
          <w:kern w:val="32"/>
          <w:szCs w:val="32"/>
        </w:rPr>
      </w:pPr>
      <w:r>
        <w:rPr>
          <w:rFonts w:hint="eastAsia" w:ascii="楷体_GB2312"/>
          <w:b/>
          <w:snapToGrid w:val="0"/>
          <w:kern w:val="32"/>
          <w:szCs w:val="32"/>
        </w:rPr>
        <w:t>1.实施教育质量提升工程，补齐质量短板</w:t>
      </w:r>
    </w:p>
    <w:p>
      <w:pPr>
        <w:topLinePunct/>
        <w:ind w:firstLine="632" w:firstLineChars="200"/>
        <w:rPr>
          <w:rFonts w:hAnsi="微软雅黑" w:cs="宋体"/>
          <w:snapToGrid w:val="0"/>
          <w:kern w:val="32"/>
          <w:szCs w:val="32"/>
        </w:rPr>
      </w:pPr>
      <w:r>
        <w:rPr>
          <w:rFonts w:hint="eastAsia" w:hAnsi="微软雅黑" w:cs="宋体"/>
          <w:snapToGrid w:val="0"/>
          <w:kern w:val="32"/>
          <w:szCs w:val="32"/>
        </w:rPr>
        <w:t>（1）全面提高教育教学质量。围绕高效课堂，推进课堂教学改革，落实高中育人方式改革，多措并举提升教育教学质量；</w:t>
      </w:r>
      <w:r>
        <w:rPr>
          <w:rFonts w:hint="eastAsia"/>
          <w:snapToGrid w:val="0"/>
          <w:kern w:val="32"/>
          <w:szCs w:val="32"/>
        </w:rPr>
        <w:t>加强教育教学研究，实施教研员专业能力提升计划，提升新区教科研课题层次和质量；</w:t>
      </w:r>
      <w:r>
        <w:rPr>
          <w:rFonts w:hint="eastAsia"/>
          <w:bCs/>
          <w:snapToGrid w:val="0"/>
          <w:kern w:val="32"/>
          <w:szCs w:val="32"/>
        </w:rPr>
        <w:t>全面抓好“双减”工作，</w:t>
      </w:r>
      <w:r>
        <w:rPr>
          <w:rFonts w:hint="eastAsia"/>
          <w:snapToGrid w:val="0"/>
          <w:kern w:val="32"/>
          <w:szCs w:val="32"/>
        </w:rPr>
        <w:t>健全校园“五项管理”长效机制。</w:t>
      </w:r>
    </w:p>
    <w:p>
      <w:pPr>
        <w:topLinePunct/>
        <w:ind w:firstLine="632" w:firstLineChars="200"/>
        <w:rPr>
          <w:rFonts w:hAnsi="微软雅黑"/>
          <w:snapToGrid w:val="0"/>
          <w:kern w:val="32"/>
          <w:szCs w:val="32"/>
        </w:rPr>
      </w:pPr>
      <w:r>
        <w:rPr>
          <w:rFonts w:hint="eastAsia" w:hAnsi="Arial" w:cs="Arial"/>
          <w:bCs/>
          <w:snapToGrid w:val="0"/>
          <w:kern w:val="32"/>
          <w:szCs w:val="32"/>
        </w:rPr>
        <w:t>（2）以</w:t>
      </w:r>
      <w:r>
        <w:rPr>
          <w:rFonts w:hint="eastAsia"/>
          <w:snapToGrid w:val="0"/>
          <w:kern w:val="32"/>
          <w:szCs w:val="32"/>
        </w:rPr>
        <w:t>“四个创建”（即</w:t>
      </w:r>
      <w:r>
        <w:rPr>
          <w:rFonts w:hint="eastAsia"/>
          <w:bCs/>
          <w:snapToGrid w:val="0"/>
          <w:kern w:val="32"/>
          <w:szCs w:val="32"/>
        </w:rPr>
        <w:t>创建全国学前教育普及普惠区、</w:t>
      </w:r>
      <w:r>
        <w:rPr>
          <w:rFonts w:hint="eastAsia" w:hAnsi="宋体"/>
          <w:bCs/>
          <w:snapToGrid w:val="0"/>
          <w:kern w:val="32"/>
          <w:szCs w:val="32"/>
        </w:rPr>
        <w:t>创建全国</w:t>
      </w:r>
      <w:r>
        <w:rPr>
          <w:rFonts w:hint="eastAsia"/>
          <w:bCs/>
          <w:snapToGrid w:val="0"/>
          <w:kern w:val="32"/>
          <w:szCs w:val="32"/>
        </w:rPr>
        <w:t>义务教育优质均衡区、</w:t>
      </w:r>
      <w:r>
        <w:rPr>
          <w:rFonts w:hint="eastAsia"/>
          <w:snapToGrid w:val="0"/>
          <w:kern w:val="32"/>
          <w:szCs w:val="32"/>
        </w:rPr>
        <w:t>创建“品牌高中”、</w:t>
      </w:r>
      <w:r>
        <w:rPr>
          <w:rFonts w:hint="eastAsia"/>
          <w:bCs/>
          <w:snapToGrid w:val="0"/>
          <w:kern w:val="32"/>
          <w:szCs w:val="32"/>
        </w:rPr>
        <w:t>创建“特色学校”</w:t>
      </w:r>
      <w:r>
        <w:rPr>
          <w:rFonts w:hint="eastAsia"/>
          <w:snapToGrid w:val="0"/>
          <w:kern w:val="32"/>
          <w:szCs w:val="32"/>
        </w:rPr>
        <w:t>）为抓手，推动教育质量提质增效。</w:t>
      </w:r>
    </w:p>
    <w:p>
      <w:pPr>
        <w:pStyle w:val="13"/>
        <w:shd w:val="clear" w:color="auto" w:fill="FFFFFF"/>
        <w:topLinePunct/>
        <w:spacing w:before="0" w:beforeAutospacing="0" w:after="0" w:afterAutospacing="0"/>
        <w:ind w:firstLine="632" w:firstLineChars="200"/>
        <w:jc w:val="both"/>
        <w:rPr>
          <w:snapToGrid w:val="0"/>
          <w:kern w:val="32"/>
          <w:sz w:val="32"/>
          <w:szCs w:val="32"/>
        </w:rPr>
      </w:pPr>
      <w:r>
        <w:rPr>
          <w:rFonts w:hint="eastAsia" w:hAnsi="Arial" w:cs="Arial"/>
          <w:snapToGrid w:val="0"/>
          <w:kern w:val="32"/>
          <w:sz w:val="32"/>
          <w:szCs w:val="32"/>
        </w:rPr>
        <w:t>（3）加强教育信息化深度应用。</w:t>
      </w:r>
      <w:r>
        <w:rPr>
          <w:rFonts w:hint="eastAsia" w:hAnsi="微软雅黑"/>
          <w:snapToGrid w:val="0"/>
          <w:kern w:val="32"/>
          <w:sz w:val="32"/>
          <w:szCs w:val="32"/>
        </w:rPr>
        <w:t>推动创建智慧教育示范区，分步实施数字校园环境提升工程、数字校园应用建设、新中高考改革支撑等10大工程；</w:t>
      </w:r>
      <w:r>
        <w:rPr>
          <w:rFonts w:hint="eastAsia"/>
          <w:snapToGrid w:val="0"/>
          <w:kern w:val="32"/>
          <w:sz w:val="32"/>
          <w:szCs w:val="32"/>
        </w:rPr>
        <w:t>推进“互联网+教育”纳入智慧城市建设，</w:t>
      </w:r>
      <w:r>
        <w:rPr>
          <w:rFonts w:hint="eastAsia" w:hAnsi="微软雅黑"/>
          <w:snapToGrid w:val="0"/>
          <w:kern w:val="32"/>
          <w:sz w:val="32"/>
          <w:szCs w:val="32"/>
        </w:rPr>
        <w:t>对接天津教育资源服务平台，推进大数据、人工智能等新技术融入教学全过程</w:t>
      </w:r>
      <w:r>
        <w:rPr>
          <w:rFonts w:hint="eastAsia"/>
          <w:snapToGrid w:val="0"/>
          <w:kern w:val="32"/>
          <w:sz w:val="32"/>
          <w:szCs w:val="32"/>
        </w:rPr>
        <w:t>。</w:t>
      </w:r>
    </w:p>
    <w:p>
      <w:pPr>
        <w:pStyle w:val="13"/>
        <w:shd w:val="clear" w:color="auto" w:fill="FFFFFF"/>
        <w:topLinePunct/>
        <w:spacing w:before="0" w:beforeAutospacing="0" w:after="0" w:afterAutospacing="0"/>
        <w:ind w:firstLine="632" w:firstLineChars="200"/>
        <w:jc w:val="both"/>
        <w:rPr>
          <w:rFonts w:ascii="楷体_GB2312" w:hAnsi="Calibri"/>
          <w:b/>
          <w:snapToGrid w:val="0"/>
          <w:kern w:val="32"/>
          <w:sz w:val="32"/>
          <w:szCs w:val="32"/>
        </w:rPr>
      </w:pPr>
      <w:r>
        <w:rPr>
          <w:rFonts w:hint="eastAsia" w:ascii="楷体_GB2312" w:hAnsi="Calibri"/>
          <w:b/>
          <w:snapToGrid w:val="0"/>
          <w:kern w:val="32"/>
          <w:sz w:val="32"/>
          <w:szCs w:val="32"/>
        </w:rPr>
        <w:t>2.实施扩容增量工程，补齐学位供给短板</w:t>
      </w:r>
    </w:p>
    <w:p>
      <w:pPr>
        <w:topLinePunct/>
        <w:ind w:firstLine="632" w:firstLineChars="200"/>
        <w:rPr>
          <w:snapToGrid w:val="0"/>
          <w:kern w:val="32"/>
          <w:szCs w:val="32"/>
        </w:rPr>
      </w:pPr>
      <w:r>
        <w:rPr>
          <w:rFonts w:hint="eastAsia"/>
          <w:bCs/>
          <w:snapToGrid w:val="0"/>
          <w:kern w:val="32"/>
          <w:szCs w:val="32"/>
        </w:rPr>
        <w:t>（1）进一步优化资源结构。</w:t>
      </w:r>
      <w:r>
        <w:rPr>
          <w:rFonts w:hint="eastAsia"/>
          <w:snapToGrid w:val="0"/>
          <w:kern w:val="32"/>
          <w:szCs w:val="32"/>
        </w:rPr>
        <w:t>三年内建成幼儿园26所，新增300个教学班，新增学位9000个；新建、改扩建东壹区九年一贯制学校等18所学校，增加小学学位20430个，初中学位12310个。</w:t>
      </w:r>
    </w:p>
    <w:p>
      <w:pPr>
        <w:topLinePunct/>
        <w:ind w:firstLine="632" w:firstLineChars="200"/>
        <w:rPr>
          <w:rFonts w:hint="eastAsia"/>
          <w:snapToGrid w:val="0"/>
          <w:kern w:val="32"/>
          <w:szCs w:val="32"/>
        </w:rPr>
      </w:pPr>
      <w:r>
        <w:rPr>
          <w:rFonts w:hint="eastAsia" w:hAnsi="Arial" w:cs="Arial"/>
          <w:snapToGrid w:val="0"/>
          <w:kern w:val="32"/>
          <w:szCs w:val="32"/>
        </w:rPr>
        <w:t>（2）拓展建设模式增加学位资源。</w:t>
      </w:r>
      <w:r>
        <w:rPr>
          <w:rFonts w:hint="eastAsia" w:hAnsi="宋体"/>
          <w:snapToGrid w:val="0"/>
          <w:kern w:val="32"/>
          <w:szCs w:val="32"/>
        </w:rPr>
        <w:t>坚持把教育作为财政支出重点领域给予优先保障，</w:t>
      </w:r>
      <w:r>
        <w:rPr>
          <w:rFonts w:hint="eastAsia"/>
          <w:snapToGrid w:val="0"/>
          <w:kern w:val="32"/>
          <w:szCs w:val="32"/>
        </w:rPr>
        <w:t>在学位缺口严重学区片，“腾笼换鸟”式改建、城市更新补建；在新建居民区，通过绑定出让地块由开发单位建设学校。</w:t>
      </w:r>
    </w:p>
    <w:p>
      <w:pPr>
        <w:shd w:val="clear" w:color="auto" w:fill="FFFFFF"/>
        <w:topLinePunct/>
        <w:ind w:firstLine="632" w:firstLineChars="200"/>
        <w:rPr>
          <w:rFonts w:hAnsi="Arial" w:cs="Arial"/>
          <w:bCs/>
          <w:snapToGrid w:val="0"/>
          <w:kern w:val="32"/>
          <w:szCs w:val="32"/>
        </w:rPr>
      </w:pPr>
      <w:r>
        <w:rPr>
          <w:rFonts w:hint="eastAsia" w:hAnsi="Arial" w:cs="Arial"/>
          <w:bCs/>
          <w:snapToGrid w:val="0"/>
          <w:kern w:val="32"/>
          <w:szCs w:val="32"/>
        </w:rPr>
        <w:t>（3）分类施策壮大优质资源。聚合学科优势，强化品牌高中建设，持续推动集团化办学，</w:t>
      </w:r>
      <w:r>
        <w:rPr>
          <w:rFonts w:hint="eastAsia" w:hAnsi="仿宋" w:cs="宋体"/>
          <w:bCs/>
          <w:snapToGrid w:val="0"/>
          <w:kern w:val="32"/>
          <w:szCs w:val="32"/>
        </w:rPr>
        <w:t>组建一批教育集团，</w:t>
      </w:r>
      <w:r>
        <w:rPr>
          <w:rFonts w:hint="eastAsia" w:hAnsi="Arial" w:cs="Arial"/>
          <w:snapToGrid w:val="0"/>
          <w:kern w:val="32"/>
          <w:szCs w:val="32"/>
        </w:rPr>
        <w:t>增强名校</w:t>
      </w:r>
      <w:r>
        <w:rPr>
          <w:rFonts w:hint="eastAsia" w:hAnsi="微软雅黑" w:cs="宋体"/>
          <w:snapToGrid w:val="0"/>
          <w:kern w:val="32"/>
          <w:szCs w:val="32"/>
        </w:rPr>
        <w:t>名园的示范、辐射和带动作用。</w:t>
      </w:r>
    </w:p>
    <w:p>
      <w:pPr>
        <w:pStyle w:val="13"/>
        <w:shd w:val="clear" w:color="auto" w:fill="FFFFFF"/>
        <w:topLinePunct/>
        <w:spacing w:before="0" w:beforeAutospacing="0" w:after="0" w:afterAutospacing="0"/>
        <w:ind w:firstLine="632" w:firstLineChars="200"/>
        <w:jc w:val="both"/>
        <w:rPr>
          <w:rFonts w:ascii="楷体_GB2312" w:hAnsi="Calibri"/>
          <w:b/>
          <w:snapToGrid w:val="0"/>
          <w:kern w:val="32"/>
          <w:sz w:val="32"/>
          <w:szCs w:val="32"/>
        </w:rPr>
      </w:pPr>
      <w:r>
        <w:rPr>
          <w:rFonts w:hint="eastAsia" w:ascii="楷体_GB2312" w:hAnsi="Calibri"/>
          <w:b/>
          <w:snapToGrid w:val="0"/>
          <w:kern w:val="32"/>
          <w:sz w:val="32"/>
          <w:szCs w:val="32"/>
        </w:rPr>
        <w:t>3.实施“三名工程”，补齐队伍建设短板</w:t>
      </w:r>
    </w:p>
    <w:p>
      <w:pPr>
        <w:topLinePunct/>
        <w:ind w:firstLine="632" w:firstLineChars="200"/>
        <w:rPr>
          <w:rFonts w:hAnsi="Arial" w:cs="Arial"/>
          <w:snapToGrid w:val="0"/>
          <w:kern w:val="32"/>
          <w:szCs w:val="32"/>
        </w:rPr>
      </w:pPr>
      <w:r>
        <w:rPr>
          <w:rFonts w:hint="eastAsia" w:hAnsi="Arial" w:cs="Arial"/>
          <w:snapToGrid w:val="0"/>
          <w:kern w:val="32"/>
          <w:szCs w:val="32"/>
        </w:rPr>
        <w:t>（1）</w:t>
      </w:r>
      <w:r>
        <w:rPr>
          <w:rFonts w:hint="eastAsia" w:hAnsi="微软雅黑"/>
          <w:bCs/>
          <w:snapToGrid w:val="0"/>
          <w:kern w:val="32"/>
          <w:szCs w:val="32"/>
        </w:rPr>
        <w:t>统筹教育编制资源。</w:t>
      </w:r>
      <w:r>
        <w:rPr>
          <w:rFonts w:hint="eastAsia" w:hAnsi="微软雅黑"/>
          <w:snapToGrid w:val="0"/>
          <w:kern w:val="32"/>
          <w:szCs w:val="32"/>
          <w:shd w:val="clear" w:color="auto" w:fill="FFFFFF"/>
        </w:rPr>
        <w:t>建立义务教育学校教职工编制统筹配置和跨区域调整机制，实行教职工编制城乡、区域统筹和动态管理，盘活编制存量，提高使用效益。</w:t>
      </w:r>
    </w:p>
    <w:p>
      <w:pPr>
        <w:topLinePunct/>
        <w:ind w:firstLine="632" w:firstLineChars="200"/>
        <w:rPr>
          <w:snapToGrid w:val="0"/>
          <w:kern w:val="32"/>
          <w:szCs w:val="32"/>
        </w:rPr>
      </w:pPr>
      <w:r>
        <w:rPr>
          <w:rFonts w:hint="eastAsia" w:hAnsi="Arial" w:cs="Arial"/>
          <w:snapToGrid w:val="0"/>
          <w:kern w:val="32"/>
          <w:szCs w:val="32"/>
        </w:rPr>
        <w:t>（2）深化教育用人机制改革。加大“区管校聘”改革力度，引导教师由超编学校向空编学校流动；完善交流轮岗机制，</w:t>
      </w:r>
      <w:r>
        <w:rPr>
          <w:rFonts w:hint="eastAsia"/>
          <w:snapToGrid w:val="0"/>
          <w:kern w:val="32"/>
          <w:szCs w:val="32"/>
        </w:rPr>
        <w:t>明确每学年符合交流条件教师交流比例由10%提高到20%，其中各级骨干教师、优秀教师、高级教师比例由占交流教师的20%提高到50%；完善中小学教职工岗位统筹管理机制，实行集中管理，统筹使用。</w:t>
      </w:r>
    </w:p>
    <w:p>
      <w:pPr>
        <w:topLinePunct/>
        <w:ind w:firstLine="632" w:firstLineChars="200"/>
        <w:rPr>
          <w:snapToGrid w:val="0"/>
          <w:kern w:val="32"/>
          <w:szCs w:val="32"/>
        </w:rPr>
      </w:pPr>
      <w:r>
        <w:rPr>
          <w:rFonts w:hint="eastAsia"/>
          <w:bCs/>
          <w:snapToGrid w:val="0"/>
          <w:kern w:val="32"/>
          <w:szCs w:val="32"/>
        </w:rPr>
        <w:t>（3）加快引进高层次教育人才。</w:t>
      </w:r>
      <w:r>
        <w:rPr>
          <w:rFonts w:hint="eastAsia" w:hAnsi="仿宋" w:cs="宋体"/>
          <w:snapToGrid w:val="0"/>
          <w:kern w:val="32"/>
          <w:szCs w:val="32"/>
        </w:rPr>
        <w:t>打通人才引进绿色通道，</w:t>
      </w:r>
      <w:r>
        <w:rPr>
          <w:rFonts w:hint="eastAsia"/>
          <w:snapToGrid w:val="0"/>
          <w:kern w:val="32"/>
          <w:szCs w:val="32"/>
        </w:rPr>
        <w:t>每年计划引进10名左右高层次教育人才。面向全国招聘在职名校长、名师、高水平教研和教科研员。</w:t>
      </w:r>
    </w:p>
    <w:p>
      <w:pPr>
        <w:topLinePunct/>
        <w:ind w:firstLine="632" w:firstLineChars="200"/>
        <w:rPr>
          <w:rFonts w:hAnsi="Arial" w:cs="Arial"/>
          <w:snapToGrid w:val="0"/>
          <w:kern w:val="32"/>
          <w:szCs w:val="32"/>
        </w:rPr>
      </w:pPr>
      <w:r>
        <w:rPr>
          <w:rFonts w:hint="eastAsia" w:hAnsi="Arial" w:cs="Arial"/>
          <w:snapToGrid w:val="0"/>
          <w:kern w:val="32"/>
          <w:szCs w:val="32"/>
        </w:rPr>
        <w:t>（4）推动干部教师素质整体提升。大力推进党组织领导的校长负责制，开展涉学生利益问题专项整治排除廉政风险隐患，实施师德师风问题专项整顿；实施名校长名园长培养工程，完善校(园)长选任机制和管理办法；实施骨干教师培训工程，重点加强教学名师、学科带头人、教学能手的培养培训工作，抓好名师工作室建设。</w:t>
      </w:r>
    </w:p>
    <w:p>
      <w:pPr>
        <w:topLinePunct/>
        <w:ind w:firstLine="632" w:firstLineChars="200"/>
        <w:rPr>
          <w:snapToGrid w:val="0"/>
          <w:kern w:val="32"/>
          <w:szCs w:val="32"/>
        </w:rPr>
      </w:pPr>
      <w:r>
        <w:rPr>
          <w:rFonts w:hint="eastAsia" w:hAnsi="Arial" w:cs="Arial"/>
          <w:snapToGrid w:val="0"/>
          <w:kern w:val="32"/>
          <w:szCs w:val="32"/>
        </w:rPr>
        <w:t>（5）深化学校和教师评价考核改革。</w:t>
      </w:r>
      <w:r>
        <w:rPr>
          <w:rFonts w:hint="eastAsia"/>
          <w:snapToGrid w:val="0"/>
          <w:kern w:val="32"/>
          <w:szCs w:val="32"/>
        </w:rPr>
        <w:t>研究制定学校综合评价和学校领导干部、教师评价改革实施方案，发挥考核评价的“指挥棒”和“方向标”作用</w:t>
      </w:r>
      <w:r>
        <w:rPr>
          <w:rFonts w:hint="eastAsia" w:hAnsi="微软雅黑"/>
          <w:snapToGrid w:val="0"/>
          <w:kern w:val="32"/>
          <w:szCs w:val="32"/>
        </w:rPr>
        <w:t>。改革教师校长奖励性绩效核算发放办法。</w:t>
      </w:r>
    </w:p>
    <w:p>
      <w:pPr>
        <w:pStyle w:val="13"/>
        <w:shd w:val="clear" w:color="auto" w:fill="FFFFFF"/>
        <w:topLinePunct/>
        <w:spacing w:before="0" w:beforeAutospacing="0" w:after="0" w:afterAutospacing="0"/>
        <w:ind w:firstLine="632" w:firstLineChars="200"/>
        <w:jc w:val="both"/>
        <w:rPr>
          <w:rFonts w:ascii="楷体_GB2312" w:hAnsi="Calibri"/>
          <w:b/>
          <w:snapToGrid w:val="0"/>
          <w:kern w:val="32"/>
          <w:sz w:val="32"/>
          <w:szCs w:val="32"/>
        </w:rPr>
      </w:pPr>
      <w:r>
        <w:rPr>
          <w:rFonts w:hint="eastAsia" w:ascii="楷体_GB2312" w:hAnsi="Calibri"/>
          <w:b/>
          <w:snapToGrid w:val="0"/>
          <w:kern w:val="32"/>
          <w:sz w:val="32"/>
          <w:szCs w:val="32"/>
        </w:rPr>
        <w:t xml:space="preserve">4.实施优质资源引领工程，补齐南北两翼教育发展不平衡短板 </w:t>
      </w:r>
    </w:p>
    <w:p>
      <w:pPr>
        <w:pStyle w:val="13"/>
        <w:shd w:val="clear" w:color="auto" w:fill="FFFFFF"/>
        <w:topLinePunct/>
        <w:spacing w:before="0" w:beforeAutospacing="0" w:after="0" w:afterAutospacing="0"/>
        <w:ind w:firstLine="632" w:firstLineChars="200"/>
        <w:jc w:val="both"/>
        <w:rPr>
          <w:rFonts w:hAnsi="Arial" w:cs="Arial"/>
          <w:snapToGrid w:val="0"/>
          <w:kern w:val="32"/>
          <w:sz w:val="32"/>
          <w:szCs w:val="32"/>
        </w:rPr>
      </w:pPr>
      <w:r>
        <w:rPr>
          <w:rFonts w:hint="eastAsia" w:hAnsi="Arial" w:cs="Arial"/>
          <w:snapToGrid w:val="0"/>
          <w:kern w:val="32"/>
          <w:sz w:val="32"/>
          <w:szCs w:val="32"/>
        </w:rPr>
        <w:t>突出“四个坚持”，做到“四个一样”，即</w:t>
      </w:r>
      <w:r>
        <w:rPr>
          <w:rFonts w:hint="eastAsia" w:ascii="仿宋" w:hAnsi="仿宋"/>
          <w:bCs/>
          <w:snapToGrid w:val="0"/>
          <w:color w:val="222222"/>
          <w:kern w:val="32"/>
          <w:sz w:val="32"/>
          <w:szCs w:val="32"/>
        </w:rPr>
        <w:t>坚持城乡一体、办学条件一样优，</w:t>
      </w:r>
      <w:r>
        <w:rPr>
          <w:rFonts w:hint="eastAsia" w:hAnsi="微软雅黑"/>
          <w:bCs/>
          <w:snapToGrid w:val="0"/>
          <w:kern w:val="32"/>
          <w:sz w:val="32"/>
          <w:szCs w:val="32"/>
        </w:rPr>
        <w:t>坚持多措并举、教师队伍一样强</w:t>
      </w:r>
      <w:r>
        <w:rPr>
          <w:rStyle w:val="26"/>
          <w:rFonts w:hint="eastAsia" w:ascii="楷体" w:hAnsi="楷体"/>
          <w:snapToGrid w:val="0"/>
          <w:color w:val="3A3A3A"/>
          <w:kern w:val="32"/>
          <w:sz w:val="32"/>
          <w:szCs w:val="32"/>
          <w:shd w:val="clear" w:color="auto" w:fill="FFFFFF"/>
        </w:rPr>
        <w:t>，</w:t>
      </w:r>
      <w:r>
        <w:rPr>
          <w:rFonts w:hint="eastAsia" w:hAnsi="宋体"/>
          <w:snapToGrid w:val="0"/>
          <w:kern w:val="32"/>
          <w:sz w:val="32"/>
          <w:szCs w:val="32"/>
        </w:rPr>
        <w:t>坚持改革创新、教学质量一样好，</w:t>
      </w:r>
      <w:r>
        <w:rPr>
          <w:rFonts w:hint="eastAsia" w:hAnsi="Arial" w:cs="Arial"/>
          <w:bCs/>
          <w:snapToGrid w:val="0"/>
          <w:kern w:val="32"/>
          <w:sz w:val="32"/>
          <w:szCs w:val="32"/>
        </w:rPr>
        <w:t>坚持民生思维、服务水平一样高，</w:t>
      </w:r>
      <w:r>
        <w:rPr>
          <w:rFonts w:hint="eastAsia" w:hAnsi="Arial" w:cs="Arial"/>
          <w:snapToGrid w:val="0"/>
          <w:kern w:val="32"/>
          <w:sz w:val="32"/>
          <w:szCs w:val="32"/>
        </w:rPr>
        <w:t>推进南北两翼尤其是农村校边远校高质量发展。</w:t>
      </w:r>
    </w:p>
    <w:p>
      <w:pPr>
        <w:topLinePunct/>
        <w:ind w:firstLine="632" w:firstLineChars="200"/>
        <w:rPr>
          <w:snapToGrid w:val="0"/>
          <w:kern w:val="32"/>
          <w:szCs w:val="32"/>
        </w:rPr>
      </w:pPr>
      <w:r>
        <w:rPr>
          <w:rFonts w:hint="eastAsia" w:hAnsi="微软雅黑"/>
          <w:snapToGrid w:val="0"/>
          <w:kern w:val="32"/>
          <w:szCs w:val="32"/>
        </w:rPr>
        <w:t>教育是国之大计，党之大计。</w:t>
      </w:r>
      <w:r>
        <w:rPr>
          <w:rFonts w:hint="eastAsia"/>
          <w:snapToGrid w:val="0"/>
          <w:kern w:val="32"/>
          <w:szCs w:val="32"/>
        </w:rPr>
        <w:t>滨海新区将认真贯彻执行党的教育方针，切实履行教育职责，</w:t>
      </w:r>
      <w:r>
        <w:rPr>
          <w:rFonts w:hint="eastAsia" w:hAnsi="微软雅黑"/>
          <w:snapToGrid w:val="0"/>
          <w:color w:val="000000"/>
          <w:kern w:val="32"/>
          <w:szCs w:val="32"/>
          <w:shd w:val="clear" w:color="auto" w:fill="FFFFFF"/>
        </w:rPr>
        <w:t>对照人民群众对优质教育的新期盼、教育改革发展的新要求，</w:t>
      </w:r>
      <w:r>
        <w:rPr>
          <w:rFonts w:hint="eastAsia"/>
          <w:snapToGrid w:val="0"/>
          <w:kern w:val="32"/>
          <w:szCs w:val="32"/>
        </w:rPr>
        <w:t>找差距、补短板、促发展、提效能，不断推动滨海新区教育事业高质量发展。</w:t>
      </w:r>
    </w:p>
    <w:sectPr>
      <w:footerReference r:id="rId3" w:type="default"/>
      <w:pgSz w:w="11906" w:h="16838"/>
      <w:pgMar w:top="2041" w:right="1474" w:bottom="1701" w:left="1588" w:header="851" w:footer="992" w:gutter="0"/>
      <w:cols w:space="425"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简标宋">
    <w:altName w:val="方正书宋_GBK"/>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11"/>
                  <w:rPr>
                    <w:rFonts w:asciiTheme="minorEastAsia" w:hAnsiTheme="minorEastAsia" w:eastAsiaTheme="minorEastAsia"/>
                    <w:sz w:val="24"/>
                  </w:rPr>
                </w:pP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PAGE  \* MERGEFORMAT </w:instrText>
                </w:r>
                <w:r>
                  <w:rPr>
                    <w:rFonts w:hint="eastAsia" w:asciiTheme="minorEastAsia" w:hAnsiTheme="minorEastAsia" w:eastAsiaTheme="minorEastAsia"/>
                    <w:sz w:val="24"/>
                  </w:rPr>
                  <w:fldChar w:fldCharType="separate"/>
                </w:r>
                <w:r>
                  <w:rPr>
                    <w:rFonts w:asciiTheme="minorEastAsia" w:hAnsiTheme="minorEastAsia" w:eastAsiaTheme="minorEastAsia"/>
                    <w:sz w:val="24"/>
                  </w:rPr>
                  <w:t>14</w:t>
                </w:r>
                <w:r>
                  <w:rPr>
                    <w:rFonts w:hint="eastAsia" w:asciiTheme="minorEastAsia" w:hAnsiTheme="minorEastAsia" w:eastAsiaTheme="minorEastAsia"/>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58"/>
  <w:drawingGridVerticalSpacing w:val="595"/>
  <w:displayHorizont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yNmI0ZGI2N2YwMzc3ODg1NDUwZDUyZjE3OTI0NjkifQ=="/>
  </w:docVars>
  <w:rsids>
    <w:rsidRoot w:val="005C2D3C"/>
    <w:rsid w:val="00000AEA"/>
    <w:rsid w:val="00001460"/>
    <w:rsid w:val="00004876"/>
    <w:rsid w:val="00022FFB"/>
    <w:rsid w:val="000259AF"/>
    <w:rsid w:val="000302F3"/>
    <w:rsid w:val="00041AFB"/>
    <w:rsid w:val="000428A8"/>
    <w:rsid w:val="000459C8"/>
    <w:rsid w:val="00047448"/>
    <w:rsid w:val="0005350B"/>
    <w:rsid w:val="00054DC7"/>
    <w:rsid w:val="00060359"/>
    <w:rsid w:val="000615B2"/>
    <w:rsid w:val="00063202"/>
    <w:rsid w:val="000637CF"/>
    <w:rsid w:val="00072201"/>
    <w:rsid w:val="000775E7"/>
    <w:rsid w:val="00084EC6"/>
    <w:rsid w:val="0008588A"/>
    <w:rsid w:val="000A1201"/>
    <w:rsid w:val="000A2BC2"/>
    <w:rsid w:val="000A471E"/>
    <w:rsid w:val="000A7141"/>
    <w:rsid w:val="000B1002"/>
    <w:rsid w:val="000B29AF"/>
    <w:rsid w:val="000B5963"/>
    <w:rsid w:val="000B71A9"/>
    <w:rsid w:val="000C5858"/>
    <w:rsid w:val="000D7D90"/>
    <w:rsid w:val="00104460"/>
    <w:rsid w:val="001045BB"/>
    <w:rsid w:val="00105D6E"/>
    <w:rsid w:val="00131D88"/>
    <w:rsid w:val="001328A7"/>
    <w:rsid w:val="00142468"/>
    <w:rsid w:val="00142ECA"/>
    <w:rsid w:val="00146465"/>
    <w:rsid w:val="00153408"/>
    <w:rsid w:val="00153AD0"/>
    <w:rsid w:val="00153FF0"/>
    <w:rsid w:val="00160F48"/>
    <w:rsid w:val="00166D09"/>
    <w:rsid w:val="00170167"/>
    <w:rsid w:val="00171E50"/>
    <w:rsid w:val="00180DCB"/>
    <w:rsid w:val="0018233A"/>
    <w:rsid w:val="001909DA"/>
    <w:rsid w:val="0019704F"/>
    <w:rsid w:val="001B5515"/>
    <w:rsid w:val="001C2089"/>
    <w:rsid w:val="001C26B1"/>
    <w:rsid w:val="001C2715"/>
    <w:rsid w:val="001C410A"/>
    <w:rsid w:val="001D145F"/>
    <w:rsid w:val="001D306B"/>
    <w:rsid w:val="001E213C"/>
    <w:rsid w:val="001E3428"/>
    <w:rsid w:val="001E505F"/>
    <w:rsid w:val="001E70BD"/>
    <w:rsid w:val="001F2933"/>
    <w:rsid w:val="001F419A"/>
    <w:rsid w:val="001F79F3"/>
    <w:rsid w:val="002064D2"/>
    <w:rsid w:val="00211D97"/>
    <w:rsid w:val="00215BEE"/>
    <w:rsid w:val="00216B0B"/>
    <w:rsid w:val="00220A44"/>
    <w:rsid w:val="002408D9"/>
    <w:rsid w:val="00252601"/>
    <w:rsid w:val="0025277A"/>
    <w:rsid w:val="0025512A"/>
    <w:rsid w:val="00256120"/>
    <w:rsid w:val="00260021"/>
    <w:rsid w:val="002655FA"/>
    <w:rsid w:val="002676B1"/>
    <w:rsid w:val="00271420"/>
    <w:rsid w:val="0029098E"/>
    <w:rsid w:val="00291FCE"/>
    <w:rsid w:val="002944C4"/>
    <w:rsid w:val="002A4720"/>
    <w:rsid w:val="002A6568"/>
    <w:rsid w:val="002B1DDC"/>
    <w:rsid w:val="002B2575"/>
    <w:rsid w:val="002B2663"/>
    <w:rsid w:val="002B2A6F"/>
    <w:rsid w:val="002B41A6"/>
    <w:rsid w:val="002C5391"/>
    <w:rsid w:val="002C5A24"/>
    <w:rsid w:val="002D0555"/>
    <w:rsid w:val="002D17A4"/>
    <w:rsid w:val="002D309C"/>
    <w:rsid w:val="002D5958"/>
    <w:rsid w:val="002E7E55"/>
    <w:rsid w:val="002F627A"/>
    <w:rsid w:val="00304F85"/>
    <w:rsid w:val="00312C06"/>
    <w:rsid w:val="003203F6"/>
    <w:rsid w:val="0032437E"/>
    <w:rsid w:val="00333195"/>
    <w:rsid w:val="003447E3"/>
    <w:rsid w:val="003463B9"/>
    <w:rsid w:val="0035139D"/>
    <w:rsid w:val="00356094"/>
    <w:rsid w:val="00356875"/>
    <w:rsid w:val="00370F06"/>
    <w:rsid w:val="0037358B"/>
    <w:rsid w:val="00380185"/>
    <w:rsid w:val="00386121"/>
    <w:rsid w:val="003918DE"/>
    <w:rsid w:val="003931E3"/>
    <w:rsid w:val="003B0DCC"/>
    <w:rsid w:val="003B23C2"/>
    <w:rsid w:val="003C260F"/>
    <w:rsid w:val="003C799E"/>
    <w:rsid w:val="003D3821"/>
    <w:rsid w:val="003D3877"/>
    <w:rsid w:val="003D4C4E"/>
    <w:rsid w:val="003D616F"/>
    <w:rsid w:val="003E2882"/>
    <w:rsid w:val="00405614"/>
    <w:rsid w:val="00405859"/>
    <w:rsid w:val="00407CD2"/>
    <w:rsid w:val="004113DD"/>
    <w:rsid w:val="00412F55"/>
    <w:rsid w:val="00422F8D"/>
    <w:rsid w:val="00437C25"/>
    <w:rsid w:val="00453892"/>
    <w:rsid w:val="00454E78"/>
    <w:rsid w:val="0046184C"/>
    <w:rsid w:val="004642D7"/>
    <w:rsid w:val="004742F0"/>
    <w:rsid w:val="0048004A"/>
    <w:rsid w:val="004968DD"/>
    <w:rsid w:val="00497882"/>
    <w:rsid w:val="004A150F"/>
    <w:rsid w:val="004B57BF"/>
    <w:rsid w:val="004B790F"/>
    <w:rsid w:val="004C09F4"/>
    <w:rsid w:val="004C7E40"/>
    <w:rsid w:val="004D596B"/>
    <w:rsid w:val="004F7FBE"/>
    <w:rsid w:val="00505D7F"/>
    <w:rsid w:val="00505E27"/>
    <w:rsid w:val="005070AE"/>
    <w:rsid w:val="005107E0"/>
    <w:rsid w:val="00521136"/>
    <w:rsid w:val="005334D0"/>
    <w:rsid w:val="00546764"/>
    <w:rsid w:val="0055319B"/>
    <w:rsid w:val="00553766"/>
    <w:rsid w:val="005624F5"/>
    <w:rsid w:val="005649E5"/>
    <w:rsid w:val="00573B63"/>
    <w:rsid w:val="0058600F"/>
    <w:rsid w:val="005A1090"/>
    <w:rsid w:val="005A23B9"/>
    <w:rsid w:val="005A6BB3"/>
    <w:rsid w:val="005B3BC5"/>
    <w:rsid w:val="005B41B7"/>
    <w:rsid w:val="005C2D3C"/>
    <w:rsid w:val="005C7F2D"/>
    <w:rsid w:val="005D064D"/>
    <w:rsid w:val="005D3676"/>
    <w:rsid w:val="005D5A88"/>
    <w:rsid w:val="005D7891"/>
    <w:rsid w:val="005E208D"/>
    <w:rsid w:val="005F25F6"/>
    <w:rsid w:val="00603D00"/>
    <w:rsid w:val="00605F4C"/>
    <w:rsid w:val="006110CE"/>
    <w:rsid w:val="00613181"/>
    <w:rsid w:val="00644AAF"/>
    <w:rsid w:val="00652098"/>
    <w:rsid w:val="00652525"/>
    <w:rsid w:val="006542B0"/>
    <w:rsid w:val="00657697"/>
    <w:rsid w:val="006605A7"/>
    <w:rsid w:val="00692CEE"/>
    <w:rsid w:val="0069391F"/>
    <w:rsid w:val="006B27BF"/>
    <w:rsid w:val="006B642C"/>
    <w:rsid w:val="006C3696"/>
    <w:rsid w:val="006D4C76"/>
    <w:rsid w:val="006D678A"/>
    <w:rsid w:val="006E21C2"/>
    <w:rsid w:val="006E30AF"/>
    <w:rsid w:val="006F3F95"/>
    <w:rsid w:val="00700107"/>
    <w:rsid w:val="00702289"/>
    <w:rsid w:val="00713E20"/>
    <w:rsid w:val="00715AD5"/>
    <w:rsid w:val="00732591"/>
    <w:rsid w:val="0073465E"/>
    <w:rsid w:val="00751586"/>
    <w:rsid w:val="00752A45"/>
    <w:rsid w:val="007540FB"/>
    <w:rsid w:val="007672E4"/>
    <w:rsid w:val="007675FB"/>
    <w:rsid w:val="0077178E"/>
    <w:rsid w:val="007836C2"/>
    <w:rsid w:val="007901B8"/>
    <w:rsid w:val="00796856"/>
    <w:rsid w:val="007A0659"/>
    <w:rsid w:val="007A28E9"/>
    <w:rsid w:val="007B18BB"/>
    <w:rsid w:val="007B222B"/>
    <w:rsid w:val="007B27D2"/>
    <w:rsid w:val="007B59CB"/>
    <w:rsid w:val="007C2950"/>
    <w:rsid w:val="007C5409"/>
    <w:rsid w:val="007C7063"/>
    <w:rsid w:val="007F1300"/>
    <w:rsid w:val="007F3836"/>
    <w:rsid w:val="0080737C"/>
    <w:rsid w:val="00822EB2"/>
    <w:rsid w:val="00825055"/>
    <w:rsid w:val="00827D12"/>
    <w:rsid w:val="00831CA9"/>
    <w:rsid w:val="008468A0"/>
    <w:rsid w:val="00847599"/>
    <w:rsid w:val="008522DD"/>
    <w:rsid w:val="008638CE"/>
    <w:rsid w:val="00866E53"/>
    <w:rsid w:val="008705CD"/>
    <w:rsid w:val="0088211F"/>
    <w:rsid w:val="00885D68"/>
    <w:rsid w:val="00887D47"/>
    <w:rsid w:val="00897CA6"/>
    <w:rsid w:val="008A1DD1"/>
    <w:rsid w:val="008A5213"/>
    <w:rsid w:val="008C1199"/>
    <w:rsid w:val="008C357F"/>
    <w:rsid w:val="008D3606"/>
    <w:rsid w:val="008D49A2"/>
    <w:rsid w:val="008E3E09"/>
    <w:rsid w:val="008E5BB3"/>
    <w:rsid w:val="008F2F99"/>
    <w:rsid w:val="008F615D"/>
    <w:rsid w:val="00904751"/>
    <w:rsid w:val="00914B31"/>
    <w:rsid w:val="0091513F"/>
    <w:rsid w:val="00930B80"/>
    <w:rsid w:val="0093202A"/>
    <w:rsid w:val="00934204"/>
    <w:rsid w:val="00943816"/>
    <w:rsid w:val="00943DB6"/>
    <w:rsid w:val="00953CD8"/>
    <w:rsid w:val="0096026A"/>
    <w:rsid w:val="00970CCF"/>
    <w:rsid w:val="00992BDF"/>
    <w:rsid w:val="0099385C"/>
    <w:rsid w:val="00997633"/>
    <w:rsid w:val="009A6ED5"/>
    <w:rsid w:val="009A6EEE"/>
    <w:rsid w:val="009B39A1"/>
    <w:rsid w:val="009D242D"/>
    <w:rsid w:val="009E42FC"/>
    <w:rsid w:val="009E76BE"/>
    <w:rsid w:val="009F015D"/>
    <w:rsid w:val="009F064D"/>
    <w:rsid w:val="009F0BD9"/>
    <w:rsid w:val="009F6210"/>
    <w:rsid w:val="00A14C9E"/>
    <w:rsid w:val="00A15089"/>
    <w:rsid w:val="00A216B9"/>
    <w:rsid w:val="00A41A0F"/>
    <w:rsid w:val="00A45BA6"/>
    <w:rsid w:val="00A514C4"/>
    <w:rsid w:val="00A53E36"/>
    <w:rsid w:val="00A64A0A"/>
    <w:rsid w:val="00A74730"/>
    <w:rsid w:val="00A7713F"/>
    <w:rsid w:val="00A93952"/>
    <w:rsid w:val="00A94DF3"/>
    <w:rsid w:val="00AA1CD9"/>
    <w:rsid w:val="00AB3322"/>
    <w:rsid w:val="00AC4C1C"/>
    <w:rsid w:val="00AC68F5"/>
    <w:rsid w:val="00AF0C8B"/>
    <w:rsid w:val="00AF5E58"/>
    <w:rsid w:val="00B04DEC"/>
    <w:rsid w:val="00B05917"/>
    <w:rsid w:val="00B07AF1"/>
    <w:rsid w:val="00B323A0"/>
    <w:rsid w:val="00B35F68"/>
    <w:rsid w:val="00B362CF"/>
    <w:rsid w:val="00B526C6"/>
    <w:rsid w:val="00B52E9F"/>
    <w:rsid w:val="00B54004"/>
    <w:rsid w:val="00B547F3"/>
    <w:rsid w:val="00B56A56"/>
    <w:rsid w:val="00B60031"/>
    <w:rsid w:val="00B6067C"/>
    <w:rsid w:val="00B63105"/>
    <w:rsid w:val="00B63936"/>
    <w:rsid w:val="00B64DD1"/>
    <w:rsid w:val="00B76904"/>
    <w:rsid w:val="00B7722C"/>
    <w:rsid w:val="00B84A9C"/>
    <w:rsid w:val="00B8657D"/>
    <w:rsid w:val="00B872B3"/>
    <w:rsid w:val="00B8779F"/>
    <w:rsid w:val="00BA4DFD"/>
    <w:rsid w:val="00BA74EF"/>
    <w:rsid w:val="00BB46BD"/>
    <w:rsid w:val="00BD0828"/>
    <w:rsid w:val="00BD4345"/>
    <w:rsid w:val="00BE1BBD"/>
    <w:rsid w:val="00BF3B4F"/>
    <w:rsid w:val="00BF67C0"/>
    <w:rsid w:val="00BF6C0E"/>
    <w:rsid w:val="00C03C8C"/>
    <w:rsid w:val="00C148D4"/>
    <w:rsid w:val="00C20631"/>
    <w:rsid w:val="00C21E31"/>
    <w:rsid w:val="00C25B03"/>
    <w:rsid w:val="00C3141C"/>
    <w:rsid w:val="00C32702"/>
    <w:rsid w:val="00C340F6"/>
    <w:rsid w:val="00C34234"/>
    <w:rsid w:val="00C35839"/>
    <w:rsid w:val="00C35C51"/>
    <w:rsid w:val="00C450F1"/>
    <w:rsid w:val="00C637EE"/>
    <w:rsid w:val="00C813C1"/>
    <w:rsid w:val="00C84479"/>
    <w:rsid w:val="00C90302"/>
    <w:rsid w:val="00C93785"/>
    <w:rsid w:val="00C96D77"/>
    <w:rsid w:val="00CA650C"/>
    <w:rsid w:val="00CB3026"/>
    <w:rsid w:val="00CB6CCD"/>
    <w:rsid w:val="00CC4B16"/>
    <w:rsid w:val="00CC66A5"/>
    <w:rsid w:val="00CD029E"/>
    <w:rsid w:val="00CD0450"/>
    <w:rsid w:val="00CE4005"/>
    <w:rsid w:val="00CE7DF3"/>
    <w:rsid w:val="00CF5B68"/>
    <w:rsid w:val="00CF5B87"/>
    <w:rsid w:val="00D11126"/>
    <w:rsid w:val="00D11476"/>
    <w:rsid w:val="00D13A60"/>
    <w:rsid w:val="00D161B2"/>
    <w:rsid w:val="00D2055E"/>
    <w:rsid w:val="00D20B7C"/>
    <w:rsid w:val="00D214E0"/>
    <w:rsid w:val="00D21638"/>
    <w:rsid w:val="00D27DB8"/>
    <w:rsid w:val="00D407BE"/>
    <w:rsid w:val="00D41B1A"/>
    <w:rsid w:val="00D459D8"/>
    <w:rsid w:val="00D62F9A"/>
    <w:rsid w:val="00D73953"/>
    <w:rsid w:val="00D85485"/>
    <w:rsid w:val="00D91F26"/>
    <w:rsid w:val="00DA734F"/>
    <w:rsid w:val="00DB1467"/>
    <w:rsid w:val="00DB61C4"/>
    <w:rsid w:val="00DD31D1"/>
    <w:rsid w:val="00DD5328"/>
    <w:rsid w:val="00DD7F5C"/>
    <w:rsid w:val="00DE295E"/>
    <w:rsid w:val="00DE76EA"/>
    <w:rsid w:val="00E02274"/>
    <w:rsid w:val="00E03D44"/>
    <w:rsid w:val="00E27E5C"/>
    <w:rsid w:val="00E30AA8"/>
    <w:rsid w:val="00E340E0"/>
    <w:rsid w:val="00E36CD8"/>
    <w:rsid w:val="00E408A8"/>
    <w:rsid w:val="00E42ED6"/>
    <w:rsid w:val="00E65FA6"/>
    <w:rsid w:val="00E75E05"/>
    <w:rsid w:val="00E767E7"/>
    <w:rsid w:val="00E77E80"/>
    <w:rsid w:val="00E8137A"/>
    <w:rsid w:val="00E913C5"/>
    <w:rsid w:val="00EA2361"/>
    <w:rsid w:val="00EA6B0C"/>
    <w:rsid w:val="00EB4A83"/>
    <w:rsid w:val="00EC2123"/>
    <w:rsid w:val="00EC7A49"/>
    <w:rsid w:val="00ED3542"/>
    <w:rsid w:val="00ED5372"/>
    <w:rsid w:val="00ED7A10"/>
    <w:rsid w:val="00EE133F"/>
    <w:rsid w:val="00EF4F8E"/>
    <w:rsid w:val="00EF5A89"/>
    <w:rsid w:val="00F11604"/>
    <w:rsid w:val="00F14ADB"/>
    <w:rsid w:val="00F21029"/>
    <w:rsid w:val="00F37075"/>
    <w:rsid w:val="00F37915"/>
    <w:rsid w:val="00F47F29"/>
    <w:rsid w:val="00F60415"/>
    <w:rsid w:val="00F60FDD"/>
    <w:rsid w:val="00F673D5"/>
    <w:rsid w:val="00F75DA5"/>
    <w:rsid w:val="00F77266"/>
    <w:rsid w:val="00F778DA"/>
    <w:rsid w:val="00F77C35"/>
    <w:rsid w:val="00F82DD2"/>
    <w:rsid w:val="00F83C32"/>
    <w:rsid w:val="00F84C75"/>
    <w:rsid w:val="00F938D9"/>
    <w:rsid w:val="00F9456C"/>
    <w:rsid w:val="00F97888"/>
    <w:rsid w:val="00FA29BD"/>
    <w:rsid w:val="00FB06B3"/>
    <w:rsid w:val="00FB18D2"/>
    <w:rsid w:val="00FC755C"/>
    <w:rsid w:val="00FE44EE"/>
    <w:rsid w:val="00FF698C"/>
    <w:rsid w:val="015C417F"/>
    <w:rsid w:val="024224E0"/>
    <w:rsid w:val="027B23BE"/>
    <w:rsid w:val="03020353"/>
    <w:rsid w:val="030B7730"/>
    <w:rsid w:val="03961F45"/>
    <w:rsid w:val="03B55700"/>
    <w:rsid w:val="0627262A"/>
    <w:rsid w:val="06961DAB"/>
    <w:rsid w:val="07745378"/>
    <w:rsid w:val="078817EC"/>
    <w:rsid w:val="07AE58D2"/>
    <w:rsid w:val="07B46FE4"/>
    <w:rsid w:val="086B0E6C"/>
    <w:rsid w:val="08762E59"/>
    <w:rsid w:val="087F0583"/>
    <w:rsid w:val="089D60E7"/>
    <w:rsid w:val="0A340E24"/>
    <w:rsid w:val="0AD90C87"/>
    <w:rsid w:val="0B8C1229"/>
    <w:rsid w:val="0CAF371E"/>
    <w:rsid w:val="0DE44CF4"/>
    <w:rsid w:val="0E7F5810"/>
    <w:rsid w:val="0E8807C3"/>
    <w:rsid w:val="0E9A6308"/>
    <w:rsid w:val="0F4C3C74"/>
    <w:rsid w:val="0F9601F1"/>
    <w:rsid w:val="0FBA42CB"/>
    <w:rsid w:val="101E7104"/>
    <w:rsid w:val="10E41230"/>
    <w:rsid w:val="11032C38"/>
    <w:rsid w:val="11390710"/>
    <w:rsid w:val="12BC2383"/>
    <w:rsid w:val="12CA1507"/>
    <w:rsid w:val="13222A4D"/>
    <w:rsid w:val="13B2210D"/>
    <w:rsid w:val="146D7751"/>
    <w:rsid w:val="155D0A38"/>
    <w:rsid w:val="15BE73C3"/>
    <w:rsid w:val="17E84EDE"/>
    <w:rsid w:val="199D2271"/>
    <w:rsid w:val="19A16396"/>
    <w:rsid w:val="1A302F6B"/>
    <w:rsid w:val="1A6D05DA"/>
    <w:rsid w:val="1AC03460"/>
    <w:rsid w:val="1AD81A6C"/>
    <w:rsid w:val="1BD23100"/>
    <w:rsid w:val="1C314628"/>
    <w:rsid w:val="1C370895"/>
    <w:rsid w:val="1CD203FA"/>
    <w:rsid w:val="1D7809FA"/>
    <w:rsid w:val="1F2D5632"/>
    <w:rsid w:val="1F776C23"/>
    <w:rsid w:val="21693532"/>
    <w:rsid w:val="224F2D5D"/>
    <w:rsid w:val="22B33B1A"/>
    <w:rsid w:val="237277A1"/>
    <w:rsid w:val="23A10F8D"/>
    <w:rsid w:val="23C96E09"/>
    <w:rsid w:val="24583D3D"/>
    <w:rsid w:val="246304C6"/>
    <w:rsid w:val="26410255"/>
    <w:rsid w:val="26552F3B"/>
    <w:rsid w:val="275E6A3C"/>
    <w:rsid w:val="27A413B7"/>
    <w:rsid w:val="28092439"/>
    <w:rsid w:val="28866B3B"/>
    <w:rsid w:val="28E95A6E"/>
    <w:rsid w:val="28EA147C"/>
    <w:rsid w:val="29DF67BA"/>
    <w:rsid w:val="2AD804B4"/>
    <w:rsid w:val="2B197BA7"/>
    <w:rsid w:val="2B797774"/>
    <w:rsid w:val="2DE575D8"/>
    <w:rsid w:val="2E4E3252"/>
    <w:rsid w:val="2E661983"/>
    <w:rsid w:val="2E987A11"/>
    <w:rsid w:val="30401418"/>
    <w:rsid w:val="30F4276F"/>
    <w:rsid w:val="314827BA"/>
    <w:rsid w:val="32CA2473"/>
    <w:rsid w:val="33456EE0"/>
    <w:rsid w:val="336F31C9"/>
    <w:rsid w:val="33F43CBA"/>
    <w:rsid w:val="344D37C0"/>
    <w:rsid w:val="35530D4C"/>
    <w:rsid w:val="357F49DC"/>
    <w:rsid w:val="359945A0"/>
    <w:rsid w:val="35A40382"/>
    <w:rsid w:val="35E97595"/>
    <w:rsid w:val="36963C68"/>
    <w:rsid w:val="3728665D"/>
    <w:rsid w:val="37DF307E"/>
    <w:rsid w:val="3912599D"/>
    <w:rsid w:val="39165ABC"/>
    <w:rsid w:val="396828B3"/>
    <w:rsid w:val="39A83977"/>
    <w:rsid w:val="3A465A13"/>
    <w:rsid w:val="3A466488"/>
    <w:rsid w:val="3A5C6CBC"/>
    <w:rsid w:val="3BDC2A43"/>
    <w:rsid w:val="3DD54EDA"/>
    <w:rsid w:val="3E37238D"/>
    <w:rsid w:val="3F394877"/>
    <w:rsid w:val="405247A3"/>
    <w:rsid w:val="40707D32"/>
    <w:rsid w:val="40875EA3"/>
    <w:rsid w:val="40CC2768"/>
    <w:rsid w:val="41C52CE3"/>
    <w:rsid w:val="425B449B"/>
    <w:rsid w:val="42EF31E1"/>
    <w:rsid w:val="435E6A63"/>
    <w:rsid w:val="437338FD"/>
    <w:rsid w:val="439E28A9"/>
    <w:rsid w:val="43D35EE3"/>
    <w:rsid w:val="456E55ED"/>
    <w:rsid w:val="46C3095E"/>
    <w:rsid w:val="4756392E"/>
    <w:rsid w:val="48A62A9C"/>
    <w:rsid w:val="49AD15C6"/>
    <w:rsid w:val="4A0328B3"/>
    <w:rsid w:val="4A0564D9"/>
    <w:rsid w:val="4A77715C"/>
    <w:rsid w:val="4A782CAB"/>
    <w:rsid w:val="4AB409ED"/>
    <w:rsid w:val="4AFD3F98"/>
    <w:rsid w:val="4B3164DE"/>
    <w:rsid w:val="4BEB1341"/>
    <w:rsid w:val="4DEF2321"/>
    <w:rsid w:val="4F667FB4"/>
    <w:rsid w:val="4FB65134"/>
    <w:rsid w:val="4FC664A5"/>
    <w:rsid w:val="4FF744CE"/>
    <w:rsid w:val="503A5E23"/>
    <w:rsid w:val="5060619C"/>
    <w:rsid w:val="5072670D"/>
    <w:rsid w:val="50D64CFC"/>
    <w:rsid w:val="510505A5"/>
    <w:rsid w:val="511A2EBF"/>
    <w:rsid w:val="5138447F"/>
    <w:rsid w:val="529E7409"/>
    <w:rsid w:val="52D44A74"/>
    <w:rsid w:val="52E13E18"/>
    <w:rsid w:val="539F0804"/>
    <w:rsid w:val="54A44BDF"/>
    <w:rsid w:val="551E14F4"/>
    <w:rsid w:val="553E08B0"/>
    <w:rsid w:val="55DC12C7"/>
    <w:rsid w:val="565A01DE"/>
    <w:rsid w:val="570626E5"/>
    <w:rsid w:val="57D14DE7"/>
    <w:rsid w:val="57DA3DC5"/>
    <w:rsid w:val="57F25A92"/>
    <w:rsid w:val="58427A88"/>
    <w:rsid w:val="587F1F5D"/>
    <w:rsid w:val="58DB5FF3"/>
    <w:rsid w:val="59113F14"/>
    <w:rsid w:val="5AB7007D"/>
    <w:rsid w:val="5AC84A3B"/>
    <w:rsid w:val="5B594AB4"/>
    <w:rsid w:val="5BEC32DB"/>
    <w:rsid w:val="5C026827"/>
    <w:rsid w:val="5D49378C"/>
    <w:rsid w:val="5EB756DB"/>
    <w:rsid w:val="5F864B8D"/>
    <w:rsid w:val="5FF06E5D"/>
    <w:rsid w:val="60BB2836"/>
    <w:rsid w:val="60D966BB"/>
    <w:rsid w:val="60E97493"/>
    <w:rsid w:val="61767E46"/>
    <w:rsid w:val="61977C26"/>
    <w:rsid w:val="621171E4"/>
    <w:rsid w:val="64316003"/>
    <w:rsid w:val="65E06B9F"/>
    <w:rsid w:val="668D4300"/>
    <w:rsid w:val="670C1D97"/>
    <w:rsid w:val="672F19CF"/>
    <w:rsid w:val="68502939"/>
    <w:rsid w:val="69B32743"/>
    <w:rsid w:val="6A353F7B"/>
    <w:rsid w:val="6A417133"/>
    <w:rsid w:val="6A7D1CA0"/>
    <w:rsid w:val="6A911203"/>
    <w:rsid w:val="6AD05AE3"/>
    <w:rsid w:val="6AD71986"/>
    <w:rsid w:val="6B437C01"/>
    <w:rsid w:val="6B5A5B45"/>
    <w:rsid w:val="6B726A16"/>
    <w:rsid w:val="6B8D0A1F"/>
    <w:rsid w:val="6BBD60EC"/>
    <w:rsid w:val="6BDA7D1C"/>
    <w:rsid w:val="6DA43992"/>
    <w:rsid w:val="6DB23D71"/>
    <w:rsid w:val="6DF73743"/>
    <w:rsid w:val="6F8924B9"/>
    <w:rsid w:val="70BB07C8"/>
    <w:rsid w:val="710060C9"/>
    <w:rsid w:val="71C943B0"/>
    <w:rsid w:val="733F07D2"/>
    <w:rsid w:val="7452064E"/>
    <w:rsid w:val="75B64412"/>
    <w:rsid w:val="774503C9"/>
    <w:rsid w:val="775336F0"/>
    <w:rsid w:val="77706341"/>
    <w:rsid w:val="77D82A88"/>
    <w:rsid w:val="77E972D0"/>
    <w:rsid w:val="78272088"/>
    <w:rsid w:val="782C759B"/>
    <w:rsid w:val="78401C94"/>
    <w:rsid w:val="78580305"/>
    <w:rsid w:val="78D316E6"/>
    <w:rsid w:val="79196394"/>
    <w:rsid w:val="7942254F"/>
    <w:rsid w:val="7A3D7A03"/>
    <w:rsid w:val="7A423807"/>
    <w:rsid w:val="7A5B75F7"/>
    <w:rsid w:val="7C6A7223"/>
    <w:rsid w:val="7CC43D67"/>
    <w:rsid w:val="7D235C6A"/>
    <w:rsid w:val="7EB824E2"/>
    <w:rsid w:val="7EC32F36"/>
    <w:rsid w:val="7EFF73E1"/>
    <w:rsid w:val="7FE403C7"/>
    <w:rsid w:val="7FFF438F"/>
    <w:rsid w:val="EFFE5DA0"/>
    <w:rsid w:val="FCFD95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link w:val="24"/>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link w:val="21"/>
    <w:semiHidden/>
    <w:unhideWhenUsed/>
    <w:qFormat/>
    <w:uiPriority w:val="0"/>
    <w:pPr>
      <w:keepNext/>
      <w:keepLines/>
      <w:spacing w:before="260" w:after="260" w:line="416" w:lineRule="auto"/>
      <w:outlineLvl w:val="2"/>
    </w:pPr>
    <w:rPr>
      <w:b/>
      <w:bCs/>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0"/>
    <w:pPr>
      <w:spacing w:after="120" w:line="580" w:lineRule="exact"/>
      <w:ind w:firstLine="632" w:firstLineChars="200"/>
    </w:pPr>
    <w:rPr>
      <w:rFonts w:ascii="Times New Roman"/>
      <w:kern w:val="32"/>
      <w:sz w:val="36"/>
      <w:szCs w:val="20"/>
    </w:rPr>
  </w:style>
  <w:style w:type="paragraph" w:styleId="6">
    <w:name w:val="Body Text Indent"/>
    <w:basedOn w:val="1"/>
    <w:link w:val="22"/>
    <w:qFormat/>
    <w:uiPriority w:val="0"/>
    <w:pPr>
      <w:spacing w:after="120"/>
      <w:ind w:left="420" w:leftChars="200"/>
    </w:pPr>
  </w:style>
  <w:style w:type="paragraph" w:styleId="7">
    <w:name w:val="Date"/>
    <w:basedOn w:val="1"/>
    <w:next w:val="1"/>
    <w:link w:val="17"/>
    <w:qFormat/>
    <w:uiPriority w:val="0"/>
    <w:pPr>
      <w:ind w:left="100" w:leftChars="2500"/>
    </w:pPr>
  </w:style>
  <w:style w:type="paragraph" w:styleId="8">
    <w:name w:val="Body Text Indent 2"/>
    <w:basedOn w:val="1"/>
    <w:next w:val="9"/>
    <w:qFormat/>
    <w:uiPriority w:val="0"/>
    <w:pPr>
      <w:spacing w:line="540" w:lineRule="exact"/>
      <w:ind w:firstLine="638" w:firstLineChars="200"/>
    </w:pPr>
    <w:rPr>
      <w:spacing w:val="-42"/>
    </w:rPr>
  </w:style>
  <w:style w:type="paragraph" w:styleId="9">
    <w:name w:val="Body Text First Indent 2"/>
    <w:basedOn w:val="1"/>
    <w:link w:val="23"/>
    <w:qFormat/>
    <w:uiPriority w:val="0"/>
    <w:pPr>
      <w:ind w:firstLine="420" w:firstLineChars="200"/>
    </w:pPr>
  </w:style>
  <w:style w:type="paragraph" w:styleId="10">
    <w:name w:val="Balloon Text"/>
    <w:basedOn w:val="1"/>
    <w:link w:val="25"/>
    <w:qFormat/>
    <w:uiPriority w:val="0"/>
    <w:rPr>
      <w:sz w:val="18"/>
      <w:szCs w:val="18"/>
    </w:rPr>
  </w:style>
  <w:style w:type="paragraph" w:styleId="11">
    <w:name w:val="footer"/>
    <w:basedOn w:val="1"/>
    <w:link w:val="20"/>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next w:val="1"/>
    <w:qFormat/>
    <w:uiPriority w:val="99"/>
    <w:pPr>
      <w:spacing w:before="100" w:beforeAutospacing="1" w:after="100" w:afterAutospacing="1"/>
      <w:jc w:val="left"/>
    </w:pPr>
    <w:rPr>
      <w:kern w:val="0"/>
      <w:sz w:val="24"/>
    </w:rPr>
  </w:style>
  <w:style w:type="paragraph" w:styleId="14">
    <w:name w:val="Body Text First Indent"/>
    <w:basedOn w:val="2"/>
    <w:semiHidden/>
    <w:unhideWhenUsed/>
    <w:qFormat/>
    <w:uiPriority w:val="99"/>
    <w:pPr>
      <w:ind w:firstLine="420" w:firstLineChars="100"/>
    </w:pPr>
  </w:style>
  <w:style w:type="character" w:customStyle="1" w:styleId="17">
    <w:name w:val="日期 Char"/>
    <w:basedOn w:val="16"/>
    <w:link w:val="7"/>
    <w:qFormat/>
    <w:uiPriority w:val="0"/>
    <w:rPr>
      <w:rFonts w:ascii="仿宋_GB2312" w:eastAsia="仿宋_GB2312"/>
      <w:kern w:val="2"/>
      <w:sz w:val="32"/>
      <w:szCs w:val="24"/>
    </w:rPr>
  </w:style>
  <w:style w:type="paragraph" w:styleId="18">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19">
    <w:name w:val="正文文本 Char"/>
    <w:basedOn w:val="16"/>
    <w:link w:val="2"/>
    <w:qFormat/>
    <w:uiPriority w:val="0"/>
    <w:rPr>
      <w:rFonts w:eastAsia="仿宋_GB2312"/>
      <w:kern w:val="32"/>
      <w:sz w:val="36"/>
    </w:rPr>
  </w:style>
  <w:style w:type="character" w:customStyle="1" w:styleId="20">
    <w:name w:val="页脚 Char"/>
    <w:basedOn w:val="16"/>
    <w:link w:val="11"/>
    <w:qFormat/>
    <w:uiPriority w:val="99"/>
    <w:rPr>
      <w:rFonts w:ascii="仿宋_GB2312" w:hAnsi="Times New Roman" w:eastAsia="仿宋_GB2312"/>
      <w:kern w:val="2"/>
      <w:sz w:val="18"/>
      <w:szCs w:val="24"/>
    </w:rPr>
  </w:style>
  <w:style w:type="character" w:customStyle="1" w:styleId="21">
    <w:name w:val="标题 3 Char"/>
    <w:basedOn w:val="16"/>
    <w:link w:val="5"/>
    <w:semiHidden/>
    <w:qFormat/>
    <w:uiPriority w:val="0"/>
    <w:rPr>
      <w:rFonts w:ascii="仿宋_GB2312" w:hAnsi="Times New Roman" w:eastAsia="仿宋_GB2312"/>
      <w:b/>
      <w:bCs/>
      <w:kern w:val="2"/>
      <w:sz w:val="32"/>
      <w:szCs w:val="32"/>
    </w:rPr>
  </w:style>
  <w:style w:type="character" w:customStyle="1" w:styleId="22">
    <w:name w:val="正文文本缩进 Char"/>
    <w:basedOn w:val="16"/>
    <w:link w:val="6"/>
    <w:qFormat/>
    <w:uiPriority w:val="0"/>
    <w:rPr>
      <w:rFonts w:ascii="仿宋_GB2312" w:hAnsi="Times New Roman" w:eastAsia="仿宋_GB2312"/>
      <w:kern w:val="2"/>
      <w:sz w:val="32"/>
      <w:szCs w:val="24"/>
    </w:rPr>
  </w:style>
  <w:style w:type="character" w:customStyle="1" w:styleId="23">
    <w:name w:val="正文首行缩进 2 Char"/>
    <w:basedOn w:val="22"/>
    <w:link w:val="9"/>
    <w:qFormat/>
    <w:uiPriority w:val="0"/>
    <w:rPr>
      <w:rFonts w:ascii="仿宋_GB2312" w:hAnsi="Times New Roman" w:eastAsia="仿宋_GB2312"/>
      <w:kern w:val="2"/>
      <w:sz w:val="32"/>
      <w:szCs w:val="24"/>
    </w:rPr>
  </w:style>
  <w:style w:type="character" w:customStyle="1" w:styleId="24">
    <w:name w:val="标题 2 Char"/>
    <w:basedOn w:val="16"/>
    <w:link w:val="4"/>
    <w:semiHidden/>
    <w:qFormat/>
    <w:uiPriority w:val="0"/>
    <w:rPr>
      <w:rFonts w:asciiTheme="majorHAnsi" w:hAnsiTheme="majorHAnsi" w:eastAsiaTheme="majorEastAsia" w:cstheme="majorBidi"/>
      <w:b/>
      <w:bCs/>
      <w:kern w:val="2"/>
      <w:sz w:val="32"/>
      <w:szCs w:val="32"/>
    </w:rPr>
  </w:style>
  <w:style w:type="character" w:customStyle="1" w:styleId="25">
    <w:name w:val="批注框文本 Char"/>
    <w:basedOn w:val="16"/>
    <w:link w:val="10"/>
    <w:qFormat/>
    <w:uiPriority w:val="0"/>
    <w:rPr>
      <w:rFonts w:ascii="仿宋_GB2312" w:hAnsi="Times New Roman" w:eastAsia="仿宋_GB2312"/>
      <w:kern w:val="2"/>
      <w:sz w:val="18"/>
      <w:szCs w:val="18"/>
    </w:rPr>
  </w:style>
  <w:style w:type="character" w:customStyle="1" w:styleId="26">
    <w:name w:val="16"/>
    <w:basedOn w:val="16"/>
    <w:qFormat/>
    <w:uiPriority w:val="0"/>
    <w:rPr>
      <w:rFonts w:hint="default" w:ascii="Calibri" w:hAnsi="Calibri" w:cs="Calibri"/>
      <w:b/>
      <w:bCs/>
    </w:rPr>
  </w:style>
  <w:style w:type="character" w:customStyle="1" w:styleId="27">
    <w:name w:val="15"/>
    <w:basedOn w:val="16"/>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6742</Words>
  <Characters>7040</Characters>
  <Lines>3</Lines>
  <Paragraphs>13</Paragraphs>
  <TotalTime>2</TotalTime>
  <ScaleCrop>false</ScaleCrop>
  <LinksUpToDate>false</LinksUpToDate>
  <CharactersWithSpaces>7046</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2019-09-04T16:50:00Z</dcterms:created>
  <dc:creator>j</dc:creator>
  <cp:lastModifiedBy>王春庆</cp:lastModifiedBy>
  <cp:lastPrinted>2021-07-28T01:58:00Z</cp:lastPrinted>
  <dcterms:modified xsi:type="dcterms:W3CDTF">2022-08-29T11:13:48Z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CD8CB03995B04A2DABB56CAE4C269F26</vt:lpwstr>
  </property>
</Properties>
</file>