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jc w:val="center"/>
        <w:rPr>
          <w:rFonts w:ascii="方正小标宋简体" w:eastAsia="方正小标宋简体" w:cs="仿宋_GB2312"/>
          <w:bCs/>
          <w:sz w:val="44"/>
          <w:szCs w:val="44"/>
        </w:rPr>
      </w:pPr>
      <w:r>
        <w:rPr>
          <w:rFonts w:hint="eastAsia" w:ascii="方正小标宋简体" w:eastAsia="方正小标宋简体" w:cs="仿宋_GB2312"/>
          <w:bCs/>
          <w:sz w:val="44"/>
          <w:szCs w:val="44"/>
        </w:rPr>
        <w:t>天津市滨海新区海滨人民医院职责目录</w:t>
      </w:r>
    </w:p>
    <w:tbl>
      <w:tblPr>
        <w:tblStyle w:val="5"/>
        <w:tblW w:w="903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4"/>
        <w:gridCol w:w="1701"/>
        <w:gridCol w:w="992"/>
        <w:gridCol w:w="4961"/>
        <w:gridCol w:w="8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Merge w:val="restart"/>
          </w:tcPr>
          <w:p>
            <w:pPr>
              <w:widowControl/>
              <w:jc w:val="center"/>
              <w:rPr>
                <w:sz w:val="28"/>
                <w:szCs w:val="28"/>
              </w:rPr>
            </w:pPr>
            <w:r>
              <w:rPr>
                <w:rFonts w:hint="eastAsia" w:ascii="方正黑体简体" w:hAnsi="宋体" w:eastAsia="方正黑体简体" w:cs="宋体"/>
                <w:kern w:val="0"/>
                <w:sz w:val="30"/>
                <w:szCs w:val="30"/>
              </w:rPr>
              <w:t>序号</w:t>
            </w:r>
          </w:p>
        </w:tc>
        <w:tc>
          <w:tcPr>
            <w:tcW w:w="1701" w:type="dxa"/>
            <w:vMerge w:val="restart"/>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jc w:val="center"/>
              <w:rPr>
                <w:sz w:val="28"/>
                <w:szCs w:val="28"/>
              </w:rPr>
            </w:pPr>
            <w:r>
              <w:rPr>
                <w:rFonts w:hint="eastAsia" w:ascii="方正黑体简体" w:hAnsi="宋体" w:eastAsia="方正黑体简体" w:cs="宋体"/>
                <w:kern w:val="0"/>
                <w:sz w:val="30"/>
                <w:szCs w:val="30"/>
              </w:rPr>
              <w:t>职责</w:t>
            </w:r>
          </w:p>
        </w:tc>
        <w:tc>
          <w:tcPr>
            <w:tcW w:w="6804" w:type="dxa"/>
            <w:gridSpan w:val="3"/>
          </w:tcPr>
          <w:p>
            <w:pPr>
              <w:widowControl/>
              <w:jc w:val="center"/>
              <w:rPr>
                <w:sz w:val="28"/>
                <w:szCs w:val="28"/>
              </w:rPr>
            </w:pPr>
            <w:r>
              <w:rPr>
                <w:rFonts w:hint="eastAsia" w:ascii="方正黑体简体" w:hAnsi="宋体" w:eastAsia="方正黑体简体" w:cs="宋体"/>
                <w:kern w:val="0"/>
                <w:sz w:val="30"/>
                <w:szCs w:val="30"/>
              </w:rPr>
              <w:t>职责事项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Merge w:val="continue"/>
          </w:tcPr>
          <w:p>
            <w:pPr>
              <w:jc w:val="center"/>
              <w:rPr>
                <w:sz w:val="28"/>
                <w:szCs w:val="28"/>
              </w:rPr>
            </w:pPr>
          </w:p>
        </w:tc>
        <w:tc>
          <w:tcPr>
            <w:tcW w:w="1701" w:type="dxa"/>
            <w:vMerge w:val="continue"/>
          </w:tcPr>
          <w:p>
            <w:pPr>
              <w:jc w:val="center"/>
              <w:rPr>
                <w:sz w:val="28"/>
                <w:szCs w:val="28"/>
              </w:rPr>
            </w:pPr>
          </w:p>
        </w:tc>
        <w:tc>
          <w:tcPr>
            <w:tcW w:w="992" w:type="dxa"/>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961" w:type="dxa"/>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851" w:type="dxa"/>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Merge w:val="restart"/>
            <w:vAlign w:val="center"/>
          </w:tcPr>
          <w:p>
            <w:pPr>
              <w:jc w:val="center"/>
              <w:rPr>
                <w:sz w:val="28"/>
                <w:szCs w:val="28"/>
              </w:rPr>
            </w:pPr>
            <w:r>
              <w:rPr>
                <w:rFonts w:hint="eastAsia"/>
                <w:sz w:val="28"/>
                <w:szCs w:val="28"/>
              </w:rPr>
              <w:t>1</w:t>
            </w:r>
          </w:p>
        </w:tc>
        <w:tc>
          <w:tcPr>
            <w:tcW w:w="1701" w:type="dxa"/>
            <w:vMerge w:val="restart"/>
            <w:vAlign w:val="center"/>
          </w:tcPr>
          <w:p>
            <w:pPr>
              <w:widowControl/>
              <w:jc w:val="cente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医疗服务</w:t>
            </w:r>
          </w:p>
        </w:tc>
        <w:tc>
          <w:tcPr>
            <w:tcW w:w="992" w:type="dxa"/>
            <w:vAlign w:val="center"/>
          </w:tcPr>
          <w:p>
            <w:pPr>
              <w:spacing w:line="360" w:lineRule="exact"/>
              <w:jc w:val="center"/>
              <w:rPr>
                <w:sz w:val="28"/>
                <w:szCs w:val="28"/>
              </w:rPr>
            </w:pPr>
            <w:r>
              <w:rPr>
                <w:rFonts w:hint="eastAsia"/>
                <w:sz w:val="28"/>
                <w:szCs w:val="28"/>
              </w:rPr>
              <w:t>1.1</w:t>
            </w:r>
          </w:p>
        </w:tc>
        <w:tc>
          <w:tcPr>
            <w:tcW w:w="4961" w:type="dxa"/>
            <w:vAlign w:val="center"/>
          </w:tcPr>
          <w:p>
            <w:pPr>
              <w:widowControl/>
              <w:spacing w:line="480" w:lineRule="exac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门诊诊疗服务</w:t>
            </w:r>
          </w:p>
        </w:tc>
        <w:tc>
          <w:tcPr>
            <w:tcW w:w="851" w:type="dxa"/>
            <w:vAlign w:val="center"/>
          </w:tcPr>
          <w:p>
            <w:pPr>
              <w:spacing w:line="360" w:lineRule="exact"/>
              <w:jc w:val="center"/>
              <w:rPr>
                <w:sz w:val="28"/>
                <w:szCs w:val="28"/>
              </w:rPr>
            </w:pPr>
            <w:r>
              <w:rPr>
                <w:rFonts w:hint="eastAsia"/>
                <w:sz w:val="28"/>
                <w:szCs w:val="28"/>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Merge w:val="continue"/>
          </w:tcPr>
          <w:p>
            <w:pPr>
              <w:jc w:val="center"/>
              <w:rPr>
                <w:sz w:val="28"/>
                <w:szCs w:val="28"/>
              </w:rPr>
            </w:pPr>
          </w:p>
        </w:tc>
        <w:tc>
          <w:tcPr>
            <w:tcW w:w="1701" w:type="dxa"/>
            <w:vMerge w:val="continue"/>
          </w:tcPr>
          <w:p>
            <w:pPr>
              <w:widowControl/>
              <w:jc w:val="center"/>
              <w:rPr>
                <w:rFonts w:ascii="方正楷体简体" w:hAnsi="宋体" w:eastAsia="方正楷体简体" w:cs="宋体"/>
                <w:kern w:val="0"/>
                <w:sz w:val="30"/>
                <w:szCs w:val="30"/>
              </w:rPr>
            </w:pPr>
          </w:p>
        </w:tc>
        <w:tc>
          <w:tcPr>
            <w:tcW w:w="992" w:type="dxa"/>
            <w:vAlign w:val="center"/>
          </w:tcPr>
          <w:p>
            <w:pPr>
              <w:spacing w:line="360" w:lineRule="exact"/>
              <w:jc w:val="center"/>
              <w:rPr>
                <w:sz w:val="28"/>
                <w:szCs w:val="28"/>
              </w:rPr>
            </w:pPr>
            <w:r>
              <w:rPr>
                <w:rFonts w:hint="eastAsia"/>
                <w:sz w:val="28"/>
                <w:szCs w:val="28"/>
              </w:rPr>
              <w:t>1.2</w:t>
            </w:r>
          </w:p>
        </w:tc>
        <w:tc>
          <w:tcPr>
            <w:tcW w:w="4961" w:type="dxa"/>
            <w:vAlign w:val="center"/>
          </w:tcPr>
          <w:p>
            <w:pPr>
              <w:widowControl/>
              <w:spacing w:line="480" w:lineRule="exac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护理服务</w:t>
            </w:r>
          </w:p>
        </w:tc>
        <w:tc>
          <w:tcPr>
            <w:tcW w:w="851" w:type="dxa"/>
            <w:vAlign w:val="center"/>
          </w:tcPr>
          <w:p>
            <w:pPr>
              <w:spacing w:line="360" w:lineRule="exact"/>
              <w:jc w:val="center"/>
              <w:rPr>
                <w:sz w:val="28"/>
                <w:szCs w:val="28"/>
              </w:rPr>
            </w:pPr>
            <w:r>
              <w:rPr>
                <w:rFonts w:hint="eastAsia"/>
                <w:sz w:val="28"/>
                <w:szCs w:val="28"/>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Merge w:val="continue"/>
          </w:tcPr>
          <w:p>
            <w:pPr>
              <w:jc w:val="center"/>
              <w:rPr>
                <w:sz w:val="28"/>
                <w:szCs w:val="28"/>
              </w:rPr>
            </w:pPr>
          </w:p>
        </w:tc>
        <w:tc>
          <w:tcPr>
            <w:tcW w:w="1701" w:type="dxa"/>
            <w:vMerge w:val="continue"/>
          </w:tcPr>
          <w:p>
            <w:pPr>
              <w:widowControl/>
              <w:jc w:val="center"/>
              <w:rPr>
                <w:rFonts w:ascii="方正楷体简体" w:hAnsi="宋体" w:eastAsia="方正楷体简体" w:cs="宋体"/>
                <w:kern w:val="0"/>
                <w:sz w:val="30"/>
                <w:szCs w:val="30"/>
              </w:rPr>
            </w:pPr>
          </w:p>
        </w:tc>
        <w:tc>
          <w:tcPr>
            <w:tcW w:w="992" w:type="dxa"/>
            <w:vAlign w:val="center"/>
          </w:tcPr>
          <w:p>
            <w:pPr>
              <w:spacing w:line="360" w:lineRule="exact"/>
              <w:jc w:val="center"/>
              <w:rPr>
                <w:sz w:val="28"/>
                <w:szCs w:val="28"/>
              </w:rPr>
            </w:pPr>
            <w:r>
              <w:rPr>
                <w:rFonts w:hint="eastAsia"/>
                <w:sz w:val="28"/>
                <w:szCs w:val="28"/>
              </w:rPr>
              <w:t>1.3</w:t>
            </w:r>
          </w:p>
        </w:tc>
        <w:tc>
          <w:tcPr>
            <w:tcW w:w="4961" w:type="dxa"/>
            <w:vAlign w:val="center"/>
          </w:tcPr>
          <w:p>
            <w:pPr>
              <w:widowControl/>
              <w:spacing w:line="480" w:lineRule="exac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复印、复制客观病历</w:t>
            </w:r>
          </w:p>
        </w:tc>
        <w:tc>
          <w:tcPr>
            <w:tcW w:w="851" w:type="dxa"/>
            <w:vAlign w:val="center"/>
          </w:tcPr>
          <w:p>
            <w:pPr>
              <w:spacing w:line="360" w:lineRule="exact"/>
              <w:jc w:val="center"/>
              <w:rPr>
                <w:sz w:val="28"/>
                <w:szCs w:val="28"/>
              </w:rPr>
            </w:pPr>
            <w:r>
              <w:rPr>
                <w:rFonts w:hint="eastAsia"/>
                <w:sz w:val="28"/>
                <w:szCs w:val="28"/>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Merge w:val="continue"/>
          </w:tcPr>
          <w:p>
            <w:pPr>
              <w:jc w:val="center"/>
              <w:rPr>
                <w:sz w:val="28"/>
                <w:szCs w:val="28"/>
              </w:rPr>
            </w:pPr>
          </w:p>
        </w:tc>
        <w:tc>
          <w:tcPr>
            <w:tcW w:w="1701" w:type="dxa"/>
            <w:vMerge w:val="continue"/>
          </w:tcPr>
          <w:p>
            <w:pPr>
              <w:widowControl/>
              <w:jc w:val="center"/>
              <w:rPr>
                <w:rFonts w:ascii="方正楷体简体" w:hAnsi="宋体" w:eastAsia="方正楷体简体" w:cs="宋体"/>
                <w:kern w:val="0"/>
                <w:sz w:val="30"/>
                <w:szCs w:val="30"/>
              </w:rPr>
            </w:pPr>
          </w:p>
        </w:tc>
        <w:tc>
          <w:tcPr>
            <w:tcW w:w="992" w:type="dxa"/>
            <w:vAlign w:val="center"/>
          </w:tcPr>
          <w:p>
            <w:pPr>
              <w:spacing w:line="360" w:lineRule="exact"/>
              <w:jc w:val="center"/>
              <w:rPr>
                <w:sz w:val="28"/>
                <w:szCs w:val="28"/>
              </w:rPr>
            </w:pPr>
            <w:r>
              <w:rPr>
                <w:rFonts w:hint="eastAsia"/>
                <w:sz w:val="28"/>
                <w:szCs w:val="28"/>
              </w:rPr>
              <w:t>1.4</w:t>
            </w:r>
          </w:p>
        </w:tc>
        <w:tc>
          <w:tcPr>
            <w:tcW w:w="4961" w:type="dxa"/>
            <w:vAlign w:val="center"/>
          </w:tcPr>
          <w:p>
            <w:pPr>
              <w:widowControl/>
              <w:spacing w:line="480" w:lineRule="exac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疾病应急救助基金申请</w:t>
            </w:r>
          </w:p>
        </w:tc>
        <w:tc>
          <w:tcPr>
            <w:tcW w:w="851" w:type="dxa"/>
            <w:vAlign w:val="center"/>
          </w:tcPr>
          <w:p>
            <w:pPr>
              <w:spacing w:line="360" w:lineRule="exact"/>
              <w:jc w:val="center"/>
              <w:rPr>
                <w:sz w:val="28"/>
                <w:szCs w:val="28"/>
              </w:rPr>
            </w:pPr>
            <w:r>
              <w:rPr>
                <w:rFonts w:hint="eastAsia"/>
                <w:sz w:val="28"/>
                <w:szCs w:val="28"/>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Merge w:val="continue"/>
          </w:tcPr>
          <w:p>
            <w:pPr>
              <w:jc w:val="center"/>
              <w:rPr>
                <w:sz w:val="28"/>
                <w:szCs w:val="28"/>
              </w:rPr>
            </w:pPr>
          </w:p>
        </w:tc>
        <w:tc>
          <w:tcPr>
            <w:tcW w:w="1701" w:type="dxa"/>
            <w:vMerge w:val="continue"/>
          </w:tcPr>
          <w:p>
            <w:pPr>
              <w:widowControl/>
              <w:jc w:val="center"/>
              <w:rPr>
                <w:rFonts w:ascii="方正楷体简体" w:hAnsi="宋体" w:eastAsia="方正楷体简体" w:cs="宋体"/>
                <w:kern w:val="0"/>
                <w:sz w:val="30"/>
                <w:szCs w:val="30"/>
              </w:rPr>
            </w:pPr>
          </w:p>
        </w:tc>
        <w:tc>
          <w:tcPr>
            <w:tcW w:w="992" w:type="dxa"/>
            <w:vAlign w:val="center"/>
          </w:tcPr>
          <w:p>
            <w:pPr>
              <w:spacing w:line="360" w:lineRule="exact"/>
              <w:jc w:val="center"/>
              <w:rPr>
                <w:sz w:val="28"/>
                <w:szCs w:val="28"/>
              </w:rPr>
            </w:pPr>
            <w:r>
              <w:rPr>
                <w:rFonts w:hint="eastAsia"/>
                <w:sz w:val="28"/>
                <w:szCs w:val="28"/>
              </w:rPr>
              <w:t>1.5</w:t>
            </w:r>
          </w:p>
        </w:tc>
        <w:tc>
          <w:tcPr>
            <w:tcW w:w="4961" w:type="dxa"/>
            <w:vAlign w:val="center"/>
          </w:tcPr>
          <w:p>
            <w:pPr>
              <w:widowControl/>
              <w:spacing w:line="480" w:lineRule="exac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公安、司法、人力资源社会保障、保险以及负责医疗事故技术鉴定的部门审核、查阅或者复制病历资料</w:t>
            </w:r>
          </w:p>
        </w:tc>
        <w:tc>
          <w:tcPr>
            <w:tcW w:w="851" w:type="dxa"/>
            <w:vAlign w:val="center"/>
          </w:tcPr>
          <w:p>
            <w:pPr>
              <w:spacing w:line="360" w:lineRule="exact"/>
              <w:jc w:val="center"/>
              <w:rPr>
                <w:sz w:val="28"/>
                <w:szCs w:val="28"/>
              </w:rPr>
            </w:pPr>
            <w:r>
              <w:rPr>
                <w:rFonts w:hint="eastAsia"/>
                <w:sz w:val="28"/>
                <w:szCs w:val="28"/>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Merge w:val="continue"/>
          </w:tcPr>
          <w:p>
            <w:pPr>
              <w:jc w:val="center"/>
              <w:rPr>
                <w:sz w:val="28"/>
                <w:szCs w:val="28"/>
              </w:rPr>
            </w:pPr>
          </w:p>
        </w:tc>
        <w:tc>
          <w:tcPr>
            <w:tcW w:w="1701" w:type="dxa"/>
            <w:vMerge w:val="continue"/>
          </w:tcPr>
          <w:p>
            <w:pPr>
              <w:widowControl/>
              <w:jc w:val="center"/>
              <w:rPr>
                <w:rFonts w:ascii="方正楷体简体" w:hAnsi="宋体" w:eastAsia="方正楷体简体" w:cs="宋体"/>
                <w:kern w:val="0"/>
                <w:sz w:val="30"/>
                <w:szCs w:val="30"/>
              </w:rPr>
            </w:pPr>
          </w:p>
        </w:tc>
        <w:tc>
          <w:tcPr>
            <w:tcW w:w="992" w:type="dxa"/>
            <w:vAlign w:val="center"/>
          </w:tcPr>
          <w:p>
            <w:pPr>
              <w:spacing w:line="360" w:lineRule="exact"/>
              <w:jc w:val="center"/>
              <w:rPr>
                <w:sz w:val="28"/>
                <w:szCs w:val="28"/>
              </w:rPr>
            </w:pPr>
            <w:r>
              <w:rPr>
                <w:rFonts w:hint="eastAsia"/>
                <w:sz w:val="28"/>
                <w:szCs w:val="28"/>
              </w:rPr>
              <w:t>1.6</w:t>
            </w:r>
          </w:p>
        </w:tc>
        <w:tc>
          <w:tcPr>
            <w:tcW w:w="4961" w:type="dxa"/>
            <w:vAlign w:val="center"/>
          </w:tcPr>
          <w:p>
            <w:pPr>
              <w:widowControl/>
              <w:spacing w:line="480" w:lineRule="exac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住院病历的封存和启封</w:t>
            </w:r>
          </w:p>
        </w:tc>
        <w:tc>
          <w:tcPr>
            <w:tcW w:w="851" w:type="dxa"/>
            <w:vAlign w:val="center"/>
          </w:tcPr>
          <w:p>
            <w:pPr>
              <w:spacing w:line="360" w:lineRule="exact"/>
              <w:jc w:val="center"/>
              <w:rPr>
                <w:sz w:val="28"/>
                <w:szCs w:val="28"/>
              </w:rPr>
            </w:pPr>
            <w:r>
              <w:rPr>
                <w:rFonts w:hint="eastAsia"/>
                <w:sz w:val="28"/>
                <w:szCs w:val="28"/>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Merge w:val="continue"/>
          </w:tcPr>
          <w:p>
            <w:pPr>
              <w:jc w:val="center"/>
              <w:rPr>
                <w:sz w:val="28"/>
                <w:szCs w:val="28"/>
              </w:rPr>
            </w:pPr>
          </w:p>
        </w:tc>
        <w:tc>
          <w:tcPr>
            <w:tcW w:w="1701" w:type="dxa"/>
            <w:vMerge w:val="continue"/>
          </w:tcPr>
          <w:p>
            <w:pPr>
              <w:widowControl/>
              <w:jc w:val="center"/>
              <w:rPr>
                <w:rFonts w:ascii="方正楷体简体" w:hAnsi="宋体" w:eastAsia="方正楷体简体" w:cs="宋体"/>
                <w:kern w:val="0"/>
                <w:sz w:val="30"/>
                <w:szCs w:val="30"/>
              </w:rPr>
            </w:pPr>
          </w:p>
        </w:tc>
        <w:tc>
          <w:tcPr>
            <w:tcW w:w="992" w:type="dxa"/>
            <w:vAlign w:val="center"/>
          </w:tcPr>
          <w:p>
            <w:pPr>
              <w:spacing w:line="360" w:lineRule="exact"/>
              <w:jc w:val="center"/>
              <w:rPr>
                <w:sz w:val="28"/>
                <w:szCs w:val="28"/>
              </w:rPr>
            </w:pPr>
            <w:r>
              <w:rPr>
                <w:rFonts w:hint="eastAsia"/>
                <w:sz w:val="28"/>
                <w:szCs w:val="28"/>
              </w:rPr>
              <w:t>1.7</w:t>
            </w:r>
          </w:p>
        </w:tc>
        <w:tc>
          <w:tcPr>
            <w:tcW w:w="4961" w:type="dxa"/>
            <w:vAlign w:val="center"/>
          </w:tcPr>
          <w:p>
            <w:pPr>
              <w:widowControl/>
              <w:spacing w:line="480" w:lineRule="exac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义诊</w:t>
            </w:r>
          </w:p>
        </w:tc>
        <w:tc>
          <w:tcPr>
            <w:tcW w:w="851" w:type="dxa"/>
            <w:vAlign w:val="center"/>
          </w:tcPr>
          <w:p>
            <w:pPr>
              <w:spacing w:line="360" w:lineRule="exact"/>
              <w:jc w:val="center"/>
              <w:rPr>
                <w:sz w:val="28"/>
                <w:szCs w:val="28"/>
              </w:rPr>
            </w:pPr>
            <w:r>
              <w:rPr>
                <w:rFonts w:hint="eastAsia"/>
                <w:sz w:val="28"/>
                <w:szCs w:val="28"/>
              </w:rPr>
              <w:t>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Merge w:val="restart"/>
            <w:vAlign w:val="center"/>
          </w:tcPr>
          <w:p>
            <w:pPr>
              <w:jc w:val="center"/>
              <w:rPr>
                <w:sz w:val="28"/>
                <w:szCs w:val="28"/>
              </w:rPr>
            </w:pPr>
            <w:r>
              <w:rPr>
                <w:rFonts w:hint="eastAsia"/>
                <w:sz w:val="28"/>
                <w:szCs w:val="28"/>
              </w:rPr>
              <w:t>2</w:t>
            </w:r>
          </w:p>
        </w:tc>
        <w:tc>
          <w:tcPr>
            <w:tcW w:w="1701" w:type="dxa"/>
            <w:vMerge w:val="restart"/>
            <w:vAlign w:val="center"/>
          </w:tcPr>
          <w:p>
            <w:pPr>
              <w:widowControl/>
              <w:jc w:val="cente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医疗统计</w:t>
            </w:r>
          </w:p>
        </w:tc>
        <w:tc>
          <w:tcPr>
            <w:tcW w:w="992" w:type="dxa"/>
            <w:vAlign w:val="center"/>
          </w:tcPr>
          <w:p>
            <w:pPr>
              <w:spacing w:line="360" w:lineRule="exact"/>
              <w:jc w:val="center"/>
              <w:rPr>
                <w:sz w:val="28"/>
                <w:szCs w:val="28"/>
              </w:rPr>
            </w:pPr>
            <w:r>
              <w:rPr>
                <w:rFonts w:hint="eastAsia"/>
                <w:sz w:val="28"/>
                <w:szCs w:val="28"/>
              </w:rPr>
              <w:t>2.1</w:t>
            </w:r>
          </w:p>
        </w:tc>
        <w:tc>
          <w:tcPr>
            <w:tcW w:w="4961" w:type="dxa"/>
            <w:vAlign w:val="center"/>
          </w:tcPr>
          <w:p>
            <w:pPr>
              <w:widowControl/>
              <w:spacing w:line="480" w:lineRule="exac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卫统表上报</w:t>
            </w:r>
          </w:p>
        </w:tc>
        <w:tc>
          <w:tcPr>
            <w:tcW w:w="851" w:type="dxa"/>
            <w:vAlign w:val="center"/>
          </w:tcPr>
          <w:p>
            <w:pPr>
              <w:spacing w:line="360" w:lineRule="exact"/>
              <w:jc w:val="center"/>
              <w:rPr>
                <w:sz w:val="28"/>
                <w:szCs w:val="28"/>
              </w:rPr>
            </w:pPr>
            <w:r>
              <w:rPr>
                <w:rFonts w:hint="eastAsia"/>
                <w:sz w:val="28"/>
                <w:szCs w:val="28"/>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Merge w:val="continue"/>
            <w:vAlign w:val="center"/>
          </w:tcPr>
          <w:p>
            <w:pPr>
              <w:jc w:val="center"/>
              <w:rPr>
                <w:sz w:val="28"/>
                <w:szCs w:val="28"/>
              </w:rPr>
            </w:pPr>
          </w:p>
        </w:tc>
        <w:tc>
          <w:tcPr>
            <w:tcW w:w="1701" w:type="dxa"/>
            <w:vMerge w:val="continue"/>
            <w:vAlign w:val="center"/>
          </w:tcPr>
          <w:p>
            <w:pPr>
              <w:widowControl/>
              <w:jc w:val="center"/>
              <w:rPr>
                <w:rFonts w:ascii="方正楷体简体" w:hAnsi="宋体" w:eastAsia="方正楷体简体" w:cs="宋体"/>
                <w:kern w:val="0"/>
                <w:sz w:val="30"/>
                <w:szCs w:val="30"/>
              </w:rPr>
            </w:pPr>
          </w:p>
        </w:tc>
        <w:tc>
          <w:tcPr>
            <w:tcW w:w="992" w:type="dxa"/>
            <w:vAlign w:val="center"/>
          </w:tcPr>
          <w:p>
            <w:pPr>
              <w:spacing w:line="360" w:lineRule="exact"/>
              <w:jc w:val="center"/>
              <w:rPr>
                <w:sz w:val="28"/>
                <w:szCs w:val="28"/>
              </w:rPr>
            </w:pPr>
            <w:r>
              <w:rPr>
                <w:rFonts w:hint="eastAsia"/>
                <w:sz w:val="28"/>
                <w:szCs w:val="28"/>
              </w:rPr>
              <w:t>2.2</w:t>
            </w:r>
          </w:p>
        </w:tc>
        <w:tc>
          <w:tcPr>
            <w:tcW w:w="4961" w:type="dxa"/>
            <w:vAlign w:val="center"/>
          </w:tcPr>
          <w:p>
            <w:pPr>
              <w:widowControl/>
              <w:spacing w:line="480" w:lineRule="exac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各项监测报表统计上报</w:t>
            </w:r>
          </w:p>
        </w:tc>
        <w:tc>
          <w:tcPr>
            <w:tcW w:w="851" w:type="dxa"/>
            <w:vAlign w:val="center"/>
          </w:tcPr>
          <w:p>
            <w:pPr>
              <w:spacing w:line="360" w:lineRule="exact"/>
              <w:jc w:val="center"/>
              <w:rPr>
                <w:sz w:val="28"/>
                <w:szCs w:val="28"/>
              </w:rPr>
            </w:pPr>
            <w:r>
              <w:rPr>
                <w:rFonts w:hint="eastAsia"/>
                <w:sz w:val="28"/>
                <w:szCs w:val="28"/>
              </w:rPr>
              <w:t>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Merge w:val="restart"/>
            <w:vAlign w:val="center"/>
          </w:tcPr>
          <w:p>
            <w:pPr>
              <w:jc w:val="center"/>
              <w:rPr>
                <w:sz w:val="28"/>
                <w:szCs w:val="28"/>
              </w:rPr>
            </w:pPr>
            <w:r>
              <w:rPr>
                <w:rFonts w:hint="eastAsia"/>
                <w:sz w:val="28"/>
                <w:szCs w:val="28"/>
              </w:rPr>
              <w:t>3</w:t>
            </w:r>
          </w:p>
        </w:tc>
        <w:tc>
          <w:tcPr>
            <w:tcW w:w="1701" w:type="dxa"/>
            <w:vMerge w:val="restart"/>
            <w:vAlign w:val="center"/>
          </w:tcPr>
          <w:p>
            <w:pPr>
              <w:widowControl/>
              <w:jc w:val="cente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卫生技术人员教育与科研管理</w:t>
            </w:r>
          </w:p>
        </w:tc>
        <w:tc>
          <w:tcPr>
            <w:tcW w:w="992" w:type="dxa"/>
            <w:vAlign w:val="center"/>
          </w:tcPr>
          <w:p>
            <w:pPr>
              <w:spacing w:line="360" w:lineRule="exact"/>
              <w:jc w:val="center"/>
              <w:rPr>
                <w:sz w:val="28"/>
                <w:szCs w:val="28"/>
              </w:rPr>
            </w:pPr>
            <w:r>
              <w:rPr>
                <w:rFonts w:hint="eastAsia"/>
                <w:sz w:val="28"/>
                <w:szCs w:val="28"/>
              </w:rPr>
              <w:t>3.1</w:t>
            </w:r>
          </w:p>
        </w:tc>
        <w:tc>
          <w:tcPr>
            <w:tcW w:w="4961" w:type="dxa"/>
            <w:vAlign w:val="center"/>
          </w:tcPr>
          <w:p>
            <w:pPr>
              <w:widowControl/>
              <w:spacing w:line="480" w:lineRule="exac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人员培训进修</w:t>
            </w:r>
          </w:p>
        </w:tc>
        <w:tc>
          <w:tcPr>
            <w:tcW w:w="851" w:type="dxa"/>
            <w:vAlign w:val="center"/>
          </w:tcPr>
          <w:p>
            <w:pPr>
              <w:spacing w:line="360" w:lineRule="exact"/>
              <w:jc w:val="center"/>
              <w:rPr>
                <w:sz w:val="28"/>
                <w:szCs w:val="28"/>
              </w:rPr>
            </w:pPr>
            <w:r>
              <w:rPr>
                <w:rFonts w:hint="eastAsia"/>
                <w:sz w:val="28"/>
                <w:szCs w:val="28"/>
              </w:rPr>
              <w:t>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Merge w:val="continue"/>
          </w:tcPr>
          <w:p>
            <w:pPr>
              <w:jc w:val="center"/>
              <w:rPr>
                <w:sz w:val="28"/>
                <w:szCs w:val="28"/>
              </w:rPr>
            </w:pPr>
          </w:p>
        </w:tc>
        <w:tc>
          <w:tcPr>
            <w:tcW w:w="1701" w:type="dxa"/>
            <w:vMerge w:val="continue"/>
          </w:tcPr>
          <w:p>
            <w:pPr>
              <w:widowControl/>
              <w:jc w:val="center"/>
              <w:rPr>
                <w:rFonts w:ascii="方正楷体简体" w:hAnsi="宋体" w:eastAsia="方正楷体简体" w:cs="宋体"/>
                <w:kern w:val="0"/>
                <w:sz w:val="30"/>
                <w:szCs w:val="30"/>
              </w:rPr>
            </w:pPr>
          </w:p>
        </w:tc>
        <w:tc>
          <w:tcPr>
            <w:tcW w:w="992" w:type="dxa"/>
            <w:vAlign w:val="center"/>
          </w:tcPr>
          <w:p>
            <w:pPr>
              <w:spacing w:line="360" w:lineRule="exact"/>
              <w:jc w:val="center"/>
              <w:rPr>
                <w:sz w:val="28"/>
                <w:szCs w:val="28"/>
              </w:rPr>
            </w:pPr>
            <w:r>
              <w:rPr>
                <w:rFonts w:hint="eastAsia"/>
                <w:sz w:val="28"/>
                <w:szCs w:val="28"/>
              </w:rPr>
              <w:t>3.2</w:t>
            </w:r>
          </w:p>
        </w:tc>
        <w:tc>
          <w:tcPr>
            <w:tcW w:w="4961" w:type="dxa"/>
            <w:vAlign w:val="center"/>
          </w:tcPr>
          <w:p>
            <w:pPr>
              <w:widowControl/>
              <w:spacing w:line="480" w:lineRule="exac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卫生技术人员继续教育</w:t>
            </w:r>
          </w:p>
        </w:tc>
        <w:tc>
          <w:tcPr>
            <w:tcW w:w="851" w:type="dxa"/>
            <w:vAlign w:val="center"/>
          </w:tcPr>
          <w:p>
            <w:pPr>
              <w:spacing w:line="360" w:lineRule="exact"/>
              <w:jc w:val="center"/>
              <w:rPr>
                <w:sz w:val="28"/>
                <w:szCs w:val="28"/>
              </w:rPr>
            </w:pPr>
            <w:r>
              <w:rPr>
                <w:rFonts w:hint="eastAsia"/>
                <w:sz w:val="28"/>
                <w:szCs w:val="28"/>
              </w:rPr>
              <w:t>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Merge w:val="continue"/>
          </w:tcPr>
          <w:p>
            <w:pPr>
              <w:jc w:val="center"/>
              <w:rPr>
                <w:sz w:val="28"/>
                <w:szCs w:val="28"/>
              </w:rPr>
            </w:pPr>
          </w:p>
        </w:tc>
        <w:tc>
          <w:tcPr>
            <w:tcW w:w="1701" w:type="dxa"/>
            <w:vMerge w:val="continue"/>
          </w:tcPr>
          <w:p>
            <w:pPr>
              <w:widowControl/>
              <w:jc w:val="center"/>
              <w:rPr>
                <w:rFonts w:ascii="方正楷体简体" w:hAnsi="宋体" w:eastAsia="方正楷体简体" w:cs="宋体"/>
                <w:kern w:val="0"/>
                <w:sz w:val="30"/>
                <w:szCs w:val="30"/>
              </w:rPr>
            </w:pPr>
          </w:p>
        </w:tc>
        <w:tc>
          <w:tcPr>
            <w:tcW w:w="992" w:type="dxa"/>
            <w:vAlign w:val="center"/>
          </w:tcPr>
          <w:p>
            <w:pPr>
              <w:spacing w:line="360" w:lineRule="exact"/>
              <w:jc w:val="center"/>
              <w:rPr>
                <w:sz w:val="28"/>
                <w:szCs w:val="28"/>
              </w:rPr>
            </w:pPr>
            <w:r>
              <w:rPr>
                <w:rFonts w:hint="eastAsia"/>
                <w:sz w:val="28"/>
                <w:szCs w:val="28"/>
              </w:rPr>
              <w:t>3.3</w:t>
            </w:r>
          </w:p>
        </w:tc>
        <w:tc>
          <w:tcPr>
            <w:tcW w:w="4961" w:type="dxa"/>
            <w:vAlign w:val="center"/>
          </w:tcPr>
          <w:p>
            <w:pPr>
              <w:widowControl/>
              <w:spacing w:line="480" w:lineRule="exac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实习医生管理</w:t>
            </w:r>
          </w:p>
        </w:tc>
        <w:tc>
          <w:tcPr>
            <w:tcW w:w="851" w:type="dxa"/>
            <w:vAlign w:val="center"/>
          </w:tcPr>
          <w:p>
            <w:pPr>
              <w:spacing w:line="360" w:lineRule="exact"/>
              <w:jc w:val="center"/>
              <w:rPr>
                <w:sz w:val="28"/>
                <w:szCs w:val="28"/>
              </w:rPr>
            </w:pPr>
            <w:r>
              <w:rPr>
                <w:rFonts w:hint="eastAsia"/>
                <w:sz w:val="28"/>
                <w:szCs w:val="28"/>
              </w:rPr>
              <w:t>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Merge w:val="continue"/>
          </w:tcPr>
          <w:p>
            <w:pPr>
              <w:jc w:val="center"/>
              <w:rPr>
                <w:sz w:val="28"/>
                <w:szCs w:val="28"/>
              </w:rPr>
            </w:pPr>
          </w:p>
        </w:tc>
        <w:tc>
          <w:tcPr>
            <w:tcW w:w="1701" w:type="dxa"/>
            <w:vMerge w:val="continue"/>
          </w:tcPr>
          <w:p>
            <w:pPr>
              <w:widowControl/>
              <w:jc w:val="center"/>
              <w:rPr>
                <w:rFonts w:ascii="方正楷体简体" w:hAnsi="宋体" w:eastAsia="方正楷体简体" w:cs="宋体"/>
                <w:kern w:val="0"/>
                <w:sz w:val="30"/>
                <w:szCs w:val="30"/>
              </w:rPr>
            </w:pPr>
          </w:p>
        </w:tc>
        <w:tc>
          <w:tcPr>
            <w:tcW w:w="992" w:type="dxa"/>
            <w:vAlign w:val="center"/>
          </w:tcPr>
          <w:p>
            <w:pPr>
              <w:spacing w:line="360" w:lineRule="exact"/>
              <w:jc w:val="center"/>
              <w:rPr>
                <w:sz w:val="28"/>
                <w:szCs w:val="28"/>
              </w:rPr>
            </w:pPr>
            <w:r>
              <w:rPr>
                <w:rFonts w:hint="eastAsia"/>
                <w:sz w:val="28"/>
                <w:szCs w:val="28"/>
              </w:rPr>
              <w:t>3.4</w:t>
            </w:r>
          </w:p>
        </w:tc>
        <w:tc>
          <w:tcPr>
            <w:tcW w:w="4961" w:type="dxa"/>
            <w:vAlign w:val="center"/>
          </w:tcPr>
          <w:p>
            <w:pPr>
              <w:widowControl/>
              <w:spacing w:line="480" w:lineRule="exac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进修医师管理</w:t>
            </w:r>
          </w:p>
        </w:tc>
        <w:tc>
          <w:tcPr>
            <w:tcW w:w="851" w:type="dxa"/>
            <w:vAlign w:val="center"/>
          </w:tcPr>
          <w:p>
            <w:pPr>
              <w:spacing w:line="360" w:lineRule="exact"/>
              <w:jc w:val="center"/>
              <w:rPr>
                <w:sz w:val="28"/>
                <w:szCs w:val="28"/>
              </w:rPr>
            </w:pPr>
            <w:r>
              <w:rPr>
                <w:rFonts w:hint="eastAsia"/>
                <w:sz w:val="28"/>
                <w:szCs w:val="28"/>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Merge w:val="restart"/>
            <w:vAlign w:val="center"/>
          </w:tcPr>
          <w:p>
            <w:pPr>
              <w:jc w:val="center"/>
              <w:rPr>
                <w:sz w:val="28"/>
                <w:szCs w:val="28"/>
              </w:rPr>
            </w:pPr>
            <w:r>
              <w:rPr>
                <w:rFonts w:hint="eastAsia"/>
                <w:sz w:val="28"/>
                <w:szCs w:val="28"/>
              </w:rPr>
              <w:t>4</w:t>
            </w:r>
          </w:p>
        </w:tc>
        <w:tc>
          <w:tcPr>
            <w:tcW w:w="1701" w:type="dxa"/>
            <w:vMerge w:val="restart"/>
            <w:vAlign w:val="center"/>
          </w:tcPr>
          <w:p>
            <w:pPr>
              <w:widowControl/>
              <w:jc w:val="cente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开具证明</w:t>
            </w:r>
          </w:p>
        </w:tc>
        <w:tc>
          <w:tcPr>
            <w:tcW w:w="992" w:type="dxa"/>
            <w:vAlign w:val="center"/>
          </w:tcPr>
          <w:p>
            <w:pPr>
              <w:spacing w:line="360" w:lineRule="exact"/>
              <w:jc w:val="center"/>
              <w:rPr>
                <w:sz w:val="28"/>
                <w:szCs w:val="28"/>
              </w:rPr>
            </w:pPr>
            <w:r>
              <w:rPr>
                <w:rFonts w:hint="eastAsia"/>
                <w:sz w:val="28"/>
                <w:szCs w:val="28"/>
              </w:rPr>
              <w:t>4.1</w:t>
            </w:r>
          </w:p>
        </w:tc>
        <w:tc>
          <w:tcPr>
            <w:tcW w:w="4961" w:type="dxa"/>
            <w:vAlign w:val="center"/>
          </w:tcPr>
          <w:p>
            <w:pPr>
              <w:widowControl/>
              <w:spacing w:line="480" w:lineRule="exac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开具医学诊断证明</w:t>
            </w:r>
          </w:p>
        </w:tc>
        <w:tc>
          <w:tcPr>
            <w:tcW w:w="851" w:type="dxa"/>
            <w:vAlign w:val="center"/>
          </w:tcPr>
          <w:p>
            <w:pPr>
              <w:spacing w:line="360" w:lineRule="exact"/>
              <w:jc w:val="center"/>
              <w:rPr>
                <w:sz w:val="28"/>
                <w:szCs w:val="28"/>
              </w:rPr>
            </w:pPr>
            <w:r>
              <w:rPr>
                <w:rFonts w:hint="eastAsia"/>
                <w:sz w:val="28"/>
                <w:szCs w:val="28"/>
              </w:rPr>
              <w:t>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Merge w:val="continue"/>
          </w:tcPr>
          <w:p>
            <w:pPr>
              <w:jc w:val="center"/>
              <w:rPr>
                <w:sz w:val="28"/>
                <w:szCs w:val="28"/>
              </w:rPr>
            </w:pPr>
          </w:p>
        </w:tc>
        <w:tc>
          <w:tcPr>
            <w:tcW w:w="1701" w:type="dxa"/>
            <w:vMerge w:val="continue"/>
          </w:tcPr>
          <w:p>
            <w:pPr>
              <w:widowControl/>
              <w:jc w:val="center"/>
              <w:rPr>
                <w:rFonts w:ascii="方正楷体简体" w:hAnsi="宋体" w:eastAsia="方正楷体简体" w:cs="宋体"/>
                <w:kern w:val="0"/>
                <w:sz w:val="30"/>
                <w:szCs w:val="30"/>
              </w:rPr>
            </w:pPr>
          </w:p>
        </w:tc>
        <w:tc>
          <w:tcPr>
            <w:tcW w:w="992" w:type="dxa"/>
            <w:vAlign w:val="center"/>
          </w:tcPr>
          <w:p>
            <w:pPr>
              <w:spacing w:line="360" w:lineRule="exact"/>
              <w:jc w:val="center"/>
              <w:rPr>
                <w:sz w:val="28"/>
                <w:szCs w:val="28"/>
              </w:rPr>
            </w:pPr>
            <w:r>
              <w:rPr>
                <w:rFonts w:hint="eastAsia"/>
                <w:sz w:val="28"/>
                <w:szCs w:val="28"/>
              </w:rPr>
              <w:t>4.2</w:t>
            </w:r>
          </w:p>
        </w:tc>
        <w:tc>
          <w:tcPr>
            <w:tcW w:w="4961" w:type="dxa"/>
            <w:vAlign w:val="center"/>
          </w:tcPr>
          <w:p>
            <w:pPr>
              <w:widowControl/>
              <w:spacing w:line="480" w:lineRule="exac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开具医学出生证明</w:t>
            </w:r>
          </w:p>
        </w:tc>
        <w:tc>
          <w:tcPr>
            <w:tcW w:w="851" w:type="dxa"/>
            <w:vAlign w:val="center"/>
          </w:tcPr>
          <w:p>
            <w:pPr>
              <w:spacing w:line="360" w:lineRule="exact"/>
              <w:jc w:val="center"/>
              <w:rPr>
                <w:sz w:val="28"/>
                <w:szCs w:val="28"/>
              </w:rPr>
            </w:pPr>
            <w:r>
              <w:rPr>
                <w:rFonts w:hint="eastAsia"/>
                <w:sz w:val="28"/>
                <w:szCs w:val="28"/>
              </w:rPr>
              <w:t>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Merge w:val="continue"/>
          </w:tcPr>
          <w:p>
            <w:pPr>
              <w:jc w:val="center"/>
              <w:rPr>
                <w:sz w:val="28"/>
                <w:szCs w:val="28"/>
              </w:rPr>
            </w:pPr>
          </w:p>
        </w:tc>
        <w:tc>
          <w:tcPr>
            <w:tcW w:w="1701" w:type="dxa"/>
            <w:vMerge w:val="continue"/>
          </w:tcPr>
          <w:p>
            <w:pPr>
              <w:widowControl/>
              <w:jc w:val="center"/>
              <w:rPr>
                <w:rFonts w:ascii="方正楷体简体" w:hAnsi="宋体" w:eastAsia="方正楷体简体" w:cs="宋体"/>
                <w:kern w:val="0"/>
                <w:sz w:val="30"/>
                <w:szCs w:val="30"/>
              </w:rPr>
            </w:pPr>
          </w:p>
        </w:tc>
        <w:tc>
          <w:tcPr>
            <w:tcW w:w="992" w:type="dxa"/>
            <w:vAlign w:val="center"/>
          </w:tcPr>
          <w:p>
            <w:pPr>
              <w:spacing w:line="360" w:lineRule="exact"/>
              <w:jc w:val="center"/>
              <w:rPr>
                <w:sz w:val="28"/>
                <w:szCs w:val="28"/>
              </w:rPr>
            </w:pPr>
            <w:r>
              <w:rPr>
                <w:rFonts w:hint="eastAsia"/>
                <w:sz w:val="28"/>
                <w:szCs w:val="28"/>
              </w:rPr>
              <w:t>4.3</w:t>
            </w:r>
          </w:p>
        </w:tc>
        <w:tc>
          <w:tcPr>
            <w:tcW w:w="4961" w:type="dxa"/>
            <w:vAlign w:val="center"/>
          </w:tcPr>
          <w:p>
            <w:pPr>
              <w:widowControl/>
              <w:spacing w:line="480" w:lineRule="exac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开具居民死亡医学证明（推断）书</w:t>
            </w:r>
          </w:p>
        </w:tc>
        <w:tc>
          <w:tcPr>
            <w:tcW w:w="851" w:type="dxa"/>
            <w:vAlign w:val="center"/>
          </w:tcPr>
          <w:p>
            <w:pPr>
              <w:spacing w:line="360" w:lineRule="exact"/>
              <w:jc w:val="center"/>
              <w:rPr>
                <w:sz w:val="28"/>
                <w:szCs w:val="28"/>
              </w:rPr>
            </w:pPr>
            <w:r>
              <w:rPr>
                <w:rFonts w:hint="eastAsia"/>
                <w:sz w:val="28"/>
                <w:szCs w:val="28"/>
              </w:rPr>
              <w:t>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Merge w:val="restart"/>
            <w:vAlign w:val="center"/>
          </w:tcPr>
          <w:p>
            <w:pPr>
              <w:jc w:val="center"/>
              <w:rPr>
                <w:sz w:val="28"/>
                <w:szCs w:val="28"/>
              </w:rPr>
            </w:pPr>
            <w:r>
              <w:rPr>
                <w:rFonts w:hint="eastAsia"/>
                <w:sz w:val="28"/>
                <w:szCs w:val="28"/>
              </w:rPr>
              <w:t>5</w:t>
            </w:r>
          </w:p>
        </w:tc>
        <w:tc>
          <w:tcPr>
            <w:tcW w:w="1701" w:type="dxa"/>
            <w:vMerge w:val="restart"/>
            <w:vAlign w:val="center"/>
          </w:tcPr>
          <w:p>
            <w:pPr>
              <w:widowControl/>
              <w:jc w:val="cente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医疗保险</w:t>
            </w:r>
          </w:p>
        </w:tc>
        <w:tc>
          <w:tcPr>
            <w:tcW w:w="992" w:type="dxa"/>
            <w:vAlign w:val="center"/>
          </w:tcPr>
          <w:p>
            <w:pPr>
              <w:spacing w:line="360" w:lineRule="exact"/>
              <w:jc w:val="center"/>
              <w:rPr>
                <w:sz w:val="28"/>
                <w:szCs w:val="28"/>
              </w:rPr>
            </w:pPr>
            <w:r>
              <w:rPr>
                <w:rFonts w:hint="eastAsia"/>
                <w:sz w:val="28"/>
                <w:szCs w:val="28"/>
              </w:rPr>
              <w:t>5.1</w:t>
            </w:r>
          </w:p>
        </w:tc>
        <w:tc>
          <w:tcPr>
            <w:tcW w:w="4961" w:type="dxa"/>
            <w:vAlign w:val="center"/>
          </w:tcPr>
          <w:p>
            <w:pPr>
              <w:widowControl/>
              <w:spacing w:line="480" w:lineRule="exac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医保患者结算</w:t>
            </w:r>
          </w:p>
        </w:tc>
        <w:tc>
          <w:tcPr>
            <w:tcW w:w="851" w:type="dxa"/>
            <w:vAlign w:val="center"/>
          </w:tcPr>
          <w:p>
            <w:pPr>
              <w:spacing w:line="360" w:lineRule="exact"/>
              <w:jc w:val="center"/>
              <w:rPr>
                <w:sz w:val="28"/>
                <w:szCs w:val="28"/>
              </w:rPr>
            </w:pPr>
            <w:r>
              <w:rPr>
                <w:rFonts w:hint="eastAsia"/>
                <w:sz w:val="28"/>
                <w:szCs w:val="28"/>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Merge w:val="continue"/>
          </w:tcPr>
          <w:p>
            <w:pPr>
              <w:jc w:val="center"/>
              <w:rPr>
                <w:sz w:val="28"/>
                <w:szCs w:val="28"/>
              </w:rPr>
            </w:pPr>
          </w:p>
        </w:tc>
        <w:tc>
          <w:tcPr>
            <w:tcW w:w="1701" w:type="dxa"/>
            <w:vMerge w:val="continue"/>
          </w:tcPr>
          <w:p>
            <w:pPr>
              <w:spacing w:line="360" w:lineRule="exact"/>
              <w:jc w:val="center"/>
              <w:rPr>
                <w:sz w:val="28"/>
                <w:szCs w:val="28"/>
              </w:rPr>
            </w:pPr>
          </w:p>
        </w:tc>
        <w:tc>
          <w:tcPr>
            <w:tcW w:w="992" w:type="dxa"/>
            <w:vAlign w:val="center"/>
          </w:tcPr>
          <w:p>
            <w:pPr>
              <w:spacing w:line="360" w:lineRule="exact"/>
              <w:jc w:val="center"/>
              <w:rPr>
                <w:sz w:val="28"/>
                <w:szCs w:val="28"/>
              </w:rPr>
            </w:pPr>
            <w:r>
              <w:rPr>
                <w:rFonts w:hint="eastAsia"/>
                <w:sz w:val="28"/>
                <w:szCs w:val="28"/>
              </w:rPr>
              <w:t>5.2</w:t>
            </w:r>
          </w:p>
        </w:tc>
        <w:tc>
          <w:tcPr>
            <w:tcW w:w="4961" w:type="dxa"/>
            <w:vAlign w:val="center"/>
          </w:tcPr>
          <w:p>
            <w:pPr>
              <w:widowControl/>
              <w:spacing w:line="480" w:lineRule="exac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城乡门诊登记</w:t>
            </w:r>
          </w:p>
        </w:tc>
        <w:tc>
          <w:tcPr>
            <w:tcW w:w="851" w:type="dxa"/>
            <w:vAlign w:val="center"/>
          </w:tcPr>
          <w:p>
            <w:pPr>
              <w:spacing w:line="360" w:lineRule="exact"/>
              <w:jc w:val="center"/>
              <w:rPr>
                <w:sz w:val="28"/>
                <w:szCs w:val="28"/>
              </w:rPr>
            </w:pPr>
            <w:r>
              <w:rPr>
                <w:rFonts w:hint="eastAsia"/>
                <w:sz w:val="28"/>
                <w:szCs w:val="28"/>
              </w:rPr>
              <w:t>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Merge w:val="continue"/>
          </w:tcPr>
          <w:p>
            <w:pPr>
              <w:jc w:val="center"/>
              <w:rPr>
                <w:sz w:val="28"/>
                <w:szCs w:val="28"/>
              </w:rPr>
            </w:pPr>
          </w:p>
        </w:tc>
        <w:tc>
          <w:tcPr>
            <w:tcW w:w="1701" w:type="dxa"/>
            <w:vMerge w:val="continue"/>
          </w:tcPr>
          <w:p>
            <w:pPr>
              <w:spacing w:line="360" w:lineRule="exact"/>
              <w:jc w:val="center"/>
              <w:rPr>
                <w:sz w:val="28"/>
                <w:szCs w:val="28"/>
              </w:rPr>
            </w:pPr>
          </w:p>
        </w:tc>
        <w:tc>
          <w:tcPr>
            <w:tcW w:w="992" w:type="dxa"/>
            <w:vAlign w:val="center"/>
          </w:tcPr>
          <w:p>
            <w:pPr>
              <w:spacing w:line="360" w:lineRule="exact"/>
              <w:jc w:val="center"/>
              <w:rPr>
                <w:sz w:val="28"/>
                <w:szCs w:val="28"/>
              </w:rPr>
            </w:pPr>
            <w:r>
              <w:rPr>
                <w:rFonts w:hint="eastAsia"/>
                <w:sz w:val="28"/>
                <w:szCs w:val="28"/>
              </w:rPr>
              <w:t>5.3</w:t>
            </w:r>
          </w:p>
        </w:tc>
        <w:tc>
          <w:tcPr>
            <w:tcW w:w="4961" w:type="dxa"/>
            <w:vAlign w:val="center"/>
          </w:tcPr>
          <w:p>
            <w:pPr>
              <w:widowControl/>
              <w:spacing w:line="480" w:lineRule="exac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参保人员住院医保审核单和转诊转院</w:t>
            </w:r>
          </w:p>
        </w:tc>
        <w:tc>
          <w:tcPr>
            <w:tcW w:w="851" w:type="dxa"/>
            <w:vAlign w:val="center"/>
          </w:tcPr>
          <w:p>
            <w:pPr>
              <w:spacing w:line="360" w:lineRule="exact"/>
              <w:jc w:val="center"/>
              <w:rPr>
                <w:sz w:val="28"/>
                <w:szCs w:val="28"/>
              </w:rPr>
            </w:pPr>
            <w:r>
              <w:rPr>
                <w:rFonts w:hint="eastAsia"/>
                <w:sz w:val="28"/>
                <w:szCs w:val="28"/>
              </w:rPr>
              <w:t>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Merge w:val="continue"/>
          </w:tcPr>
          <w:p>
            <w:pPr>
              <w:jc w:val="center"/>
              <w:rPr>
                <w:sz w:val="28"/>
                <w:szCs w:val="28"/>
              </w:rPr>
            </w:pPr>
          </w:p>
        </w:tc>
        <w:tc>
          <w:tcPr>
            <w:tcW w:w="1701" w:type="dxa"/>
            <w:vMerge w:val="continue"/>
          </w:tcPr>
          <w:p>
            <w:pPr>
              <w:spacing w:line="360" w:lineRule="exact"/>
              <w:jc w:val="center"/>
              <w:rPr>
                <w:sz w:val="28"/>
                <w:szCs w:val="28"/>
              </w:rPr>
            </w:pPr>
          </w:p>
        </w:tc>
        <w:tc>
          <w:tcPr>
            <w:tcW w:w="992" w:type="dxa"/>
            <w:vAlign w:val="center"/>
          </w:tcPr>
          <w:p>
            <w:pPr>
              <w:spacing w:line="360" w:lineRule="exact"/>
              <w:jc w:val="center"/>
              <w:rPr>
                <w:sz w:val="28"/>
                <w:szCs w:val="28"/>
              </w:rPr>
            </w:pPr>
            <w:r>
              <w:rPr>
                <w:rFonts w:hint="eastAsia"/>
                <w:sz w:val="28"/>
                <w:szCs w:val="28"/>
              </w:rPr>
              <w:t>5.4</w:t>
            </w:r>
          </w:p>
        </w:tc>
        <w:tc>
          <w:tcPr>
            <w:tcW w:w="4961" w:type="dxa"/>
            <w:vAlign w:val="center"/>
          </w:tcPr>
          <w:p>
            <w:pPr>
              <w:widowControl/>
              <w:spacing w:line="480" w:lineRule="exac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异地医保联网结算</w:t>
            </w:r>
          </w:p>
        </w:tc>
        <w:tc>
          <w:tcPr>
            <w:tcW w:w="851" w:type="dxa"/>
            <w:vAlign w:val="center"/>
          </w:tcPr>
          <w:p>
            <w:pPr>
              <w:spacing w:line="360" w:lineRule="exact"/>
              <w:jc w:val="center"/>
              <w:rPr>
                <w:sz w:val="28"/>
                <w:szCs w:val="28"/>
              </w:rPr>
            </w:pPr>
            <w:r>
              <w:rPr>
                <w:rFonts w:hint="eastAsia"/>
                <w:sz w:val="28"/>
                <w:szCs w:val="28"/>
              </w:rPr>
              <w:t>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Merge w:val="continue"/>
          </w:tcPr>
          <w:p>
            <w:pPr>
              <w:jc w:val="center"/>
              <w:rPr>
                <w:sz w:val="28"/>
                <w:szCs w:val="28"/>
              </w:rPr>
            </w:pPr>
          </w:p>
        </w:tc>
        <w:tc>
          <w:tcPr>
            <w:tcW w:w="1701" w:type="dxa"/>
            <w:vMerge w:val="continue"/>
          </w:tcPr>
          <w:p>
            <w:pPr>
              <w:spacing w:line="360" w:lineRule="exact"/>
              <w:jc w:val="center"/>
              <w:rPr>
                <w:sz w:val="28"/>
                <w:szCs w:val="28"/>
              </w:rPr>
            </w:pPr>
          </w:p>
        </w:tc>
        <w:tc>
          <w:tcPr>
            <w:tcW w:w="992" w:type="dxa"/>
            <w:vAlign w:val="center"/>
          </w:tcPr>
          <w:p>
            <w:pPr>
              <w:spacing w:line="360" w:lineRule="exact"/>
              <w:jc w:val="center"/>
              <w:rPr>
                <w:sz w:val="28"/>
                <w:szCs w:val="28"/>
              </w:rPr>
            </w:pPr>
            <w:r>
              <w:rPr>
                <w:rFonts w:hint="eastAsia"/>
                <w:sz w:val="28"/>
                <w:szCs w:val="28"/>
              </w:rPr>
              <w:t>5.5</w:t>
            </w:r>
          </w:p>
        </w:tc>
        <w:tc>
          <w:tcPr>
            <w:tcW w:w="4961" w:type="dxa"/>
            <w:vAlign w:val="center"/>
          </w:tcPr>
          <w:p>
            <w:pPr>
              <w:widowControl/>
              <w:spacing w:line="480" w:lineRule="exact"/>
              <w:jc w:val="center"/>
              <w:rPr>
                <w:rFonts w:ascii="方正黑体简体" w:hAnsi="宋体" w:eastAsia="方正黑体简体" w:cs="宋体"/>
                <w:kern w:val="0"/>
                <w:sz w:val="28"/>
                <w:szCs w:val="28"/>
              </w:rPr>
            </w:pPr>
            <w:r>
              <w:rPr>
                <w:rFonts w:hint="eastAsia" w:ascii="方正黑体简体" w:hAnsi="宋体" w:eastAsia="方正黑体简体" w:cs="宋体"/>
                <w:kern w:val="0"/>
                <w:sz w:val="28"/>
                <w:szCs w:val="28"/>
              </w:rPr>
              <w:t>门特登记</w:t>
            </w:r>
          </w:p>
        </w:tc>
        <w:tc>
          <w:tcPr>
            <w:tcW w:w="851" w:type="dxa"/>
            <w:vAlign w:val="center"/>
          </w:tcPr>
          <w:p>
            <w:pPr>
              <w:spacing w:line="360" w:lineRule="exact"/>
              <w:jc w:val="center"/>
              <w:rPr>
                <w:sz w:val="28"/>
                <w:szCs w:val="28"/>
              </w:rPr>
            </w:pPr>
            <w:r>
              <w:rPr>
                <w:rFonts w:hint="eastAsia"/>
                <w:sz w:val="28"/>
                <w:szCs w:val="28"/>
              </w:rPr>
              <w:t>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Merge w:val="restart"/>
            <w:vAlign w:val="center"/>
          </w:tcPr>
          <w:p>
            <w:pPr>
              <w:jc w:val="center"/>
              <w:rPr>
                <w:sz w:val="28"/>
                <w:szCs w:val="28"/>
              </w:rPr>
            </w:pPr>
            <w:r>
              <w:rPr>
                <w:rFonts w:hint="eastAsia"/>
                <w:sz w:val="28"/>
                <w:szCs w:val="28"/>
              </w:rPr>
              <w:t>6</w:t>
            </w:r>
          </w:p>
        </w:tc>
        <w:tc>
          <w:tcPr>
            <w:tcW w:w="1701" w:type="dxa"/>
            <w:vMerge w:val="restart"/>
            <w:vAlign w:val="center"/>
          </w:tcPr>
          <w:p>
            <w:pPr>
              <w:widowControl/>
              <w:jc w:val="cente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物品采购及报废</w:t>
            </w:r>
          </w:p>
        </w:tc>
        <w:tc>
          <w:tcPr>
            <w:tcW w:w="992" w:type="dxa"/>
            <w:vAlign w:val="center"/>
          </w:tcPr>
          <w:p>
            <w:pPr>
              <w:spacing w:line="360" w:lineRule="exact"/>
              <w:jc w:val="center"/>
              <w:rPr>
                <w:sz w:val="28"/>
                <w:szCs w:val="28"/>
              </w:rPr>
            </w:pPr>
            <w:r>
              <w:rPr>
                <w:rFonts w:hint="eastAsia"/>
                <w:sz w:val="28"/>
                <w:szCs w:val="28"/>
              </w:rPr>
              <w:t>6.1</w:t>
            </w:r>
          </w:p>
        </w:tc>
        <w:tc>
          <w:tcPr>
            <w:tcW w:w="4961" w:type="dxa"/>
            <w:vAlign w:val="center"/>
          </w:tcPr>
          <w:p>
            <w:pPr>
              <w:widowControl/>
              <w:spacing w:line="480" w:lineRule="exact"/>
              <w:jc w:val="center"/>
              <w:rPr>
                <w:rFonts w:ascii="方正黑体简体" w:hAnsi="宋体" w:eastAsia="方正黑体简体" w:cs="宋体"/>
                <w:kern w:val="0"/>
                <w:sz w:val="28"/>
                <w:szCs w:val="28"/>
              </w:rPr>
            </w:pPr>
            <w:r>
              <w:rPr>
                <w:rFonts w:hint="eastAsia" w:ascii="方正黑体简体" w:hAnsi="宋体" w:eastAsia="方正黑体简体" w:cs="宋体"/>
                <w:kern w:val="0"/>
                <w:sz w:val="28"/>
                <w:szCs w:val="28"/>
              </w:rPr>
              <w:t>药品采购管理</w:t>
            </w:r>
          </w:p>
        </w:tc>
        <w:tc>
          <w:tcPr>
            <w:tcW w:w="851" w:type="dxa"/>
            <w:vAlign w:val="center"/>
          </w:tcPr>
          <w:p>
            <w:pPr>
              <w:spacing w:line="360" w:lineRule="exact"/>
              <w:jc w:val="center"/>
              <w:rPr>
                <w:sz w:val="28"/>
                <w:szCs w:val="28"/>
              </w:rPr>
            </w:pPr>
            <w:r>
              <w:rPr>
                <w:rFonts w:hint="eastAsia"/>
                <w:sz w:val="28"/>
                <w:szCs w:val="28"/>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Merge w:val="continue"/>
          </w:tcPr>
          <w:p>
            <w:pPr>
              <w:jc w:val="center"/>
              <w:rPr>
                <w:sz w:val="28"/>
                <w:szCs w:val="28"/>
              </w:rPr>
            </w:pPr>
          </w:p>
        </w:tc>
        <w:tc>
          <w:tcPr>
            <w:tcW w:w="1701" w:type="dxa"/>
            <w:vMerge w:val="continue"/>
          </w:tcPr>
          <w:p>
            <w:pPr>
              <w:widowControl/>
              <w:jc w:val="center"/>
              <w:rPr>
                <w:rFonts w:ascii="方正楷体简体" w:hAnsi="宋体" w:eastAsia="方正楷体简体" w:cs="宋体"/>
                <w:kern w:val="0"/>
                <w:sz w:val="30"/>
                <w:szCs w:val="30"/>
              </w:rPr>
            </w:pPr>
          </w:p>
        </w:tc>
        <w:tc>
          <w:tcPr>
            <w:tcW w:w="992" w:type="dxa"/>
            <w:vAlign w:val="center"/>
          </w:tcPr>
          <w:p>
            <w:pPr>
              <w:spacing w:line="360" w:lineRule="exact"/>
              <w:jc w:val="center"/>
              <w:rPr>
                <w:sz w:val="28"/>
                <w:szCs w:val="28"/>
              </w:rPr>
            </w:pPr>
            <w:r>
              <w:rPr>
                <w:rFonts w:hint="eastAsia"/>
                <w:sz w:val="28"/>
                <w:szCs w:val="28"/>
              </w:rPr>
              <w:t>6.2</w:t>
            </w:r>
          </w:p>
        </w:tc>
        <w:tc>
          <w:tcPr>
            <w:tcW w:w="4961" w:type="dxa"/>
            <w:vAlign w:val="center"/>
          </w:tcPr>
          <w:p>
            <w:pPr>
              <w:widowControl/>
              <w:spacing w:line="480" w:lineRule="exact"/>
              <w:jc w:val="center"/>
              <w:rPr>
                <w:rFonts w:ascii="方正黑体简体" w:hAnsi="宋体" w:eastAsia="方正黑体简体" w:cs="宋体"/>
                <w:kern w:val="0"/>
                <w:sz w:val="28"/>
                <w:szCs w:val="28"/>
              </w:rPr>
            </w:pPr>
            <w:r>
              <w:rPr>
                <w:rFonts w:hint="eastAsia" w:ascii="方正黑体简体" w:hAnsi="宋体" w:eastAsia="方正黑体简体" w:cs="宋体"/>
                <w:kern w:val="0"/>
                <w:sz w:val="28"/>
                <w:szCs w:val="28"/>
              </w:rPr>
              <w:t>医疗设备采购管理</w:t>
            </w:r>
          </w:p>
        </w:tc>
        <w:tc>
          <w:tcPr>
            <w:tcW w:w="851" w:type="dxa"/>
            <w:vAlign w:val="center"/>
          </w:tcPr>
          <w:p>
            <w:pPr>
              <w:spacing w:line="360" w:lineRule="exact"/>
              <w:jc w:val="center"/>
              <w:rPr>
                <w:sz w:val="28"/>
                <w:szCs w:val="28"/>
              </w:rPr>
            </w:pPr>
            <w:r>
              <w:rPr>
                <w:rFonts w:hint="eastAsia"/>
                <w:sz w:val="28"/>
                <w:szCs w:val="28"/>
              </w:rPr>
              <w:t>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Merge w:val="continue"/>
          </w:tcPr>
          <w:p>
            <w:pPr>
              <w:jc w:val="center"/>
              <w:rPr>
                <w:sz w:val="28"/>
                <w:szCs w:val="28"/>
              </w:rPr>
            </w:pPr>
          </w:p>
        </w:tc>
        <w:tc>
          <w:tcPr>
            <w:tcW w:w="1701" w:type="dxa"/>
            <w:vMerge w:val="continue"/>
          </w:tcPr>
          <w:p>
            <w:pPr>
              <w:widowControl/>
              <w:jc w:val="center"/>
              <w:rPr>
                <w:rFonts w:ascii="方正楷体简体" w:hAnsi="宋体" w:eastAsia="方正楷体简体" w:cs="宋体"/>
                <w:kern w:val="0"/>
                <w:sz w:val="30"/>
                <w:szCs w:val="30"/>
              </w:rPr>
            </w:pPr>
          </w:p>
        </w:tc>
        <w:tc>
          <w:tcPr>
            <w:tcW w:w="992" w:type="dxa"/>
            <w:vAlign w:val="center"/>
          </w:tcPr>
          <w:p>
            <w:pPr>
              <w:spacing w:line="360" w:lineRule="exact"/>
              <w:jc w:val="center"/>
              <w:rPr>
                <w:sz w:val="28"/>
                <w:szCs w:val="28"/>
              </w:rPr>
            </w:pPr>
            <w:r>
              <w:rPr>
                <w:rFonts w:hint="eastAsia"/>
                <w:sz w:val="28"/>
                <w:szCs w:val="28"/>
              </w:rPr>
              <w:t>6.3</w:t>
            </w:r>
          </w:p>
        </w:tc>
        <w:tc>
          <w:tcPr>
            <w:tcW w:w="4961" w:type="dxa"/>
            <w:vAlign w:val="center"/>
          </w:tcPr>
          <w:p>
            <w:pPr>
              <w:widowControl/>
              <w:spacing w:line="480" w:lineRule="exact"/>
              <w:jc w:val="center"/>
              <w:rPr>
                <w:rFonts w:ascii="方正黑体简体" w:hAnsi="宋体" w:eastAsia="方正黑体简体" w:cs="宋体"/>
                <w:kern w:val="0"/>
                <w:sz w:val="28"/>
                <w:szCs w:val="28"/>
              </w:rPr>
            </w:pPr>
            <w:r>
              <w:rPr>
                <w:rFonts w:hint="eastAsia" w:ascii="方正黑体简体" w:hAnsi="宋体" w:eastAsia="方正黑体简体" w:cs="宋体"/>
                <w:kern w:val="0"/>
                <w:sz w:val="28"/>
                <w:szCs w:val="28"/>
              </w:rPr>
              <w:t>非医疗设备采购管理</w:t>
            </w:r>
          </w:p>
        </w:tc>
        <w:tc>
          <w:tcPr>
            <w:tcW w:w="851" w:type="dxa"/>
            <w:vAlign w:val="center"/>
          </w:tcPr>
          <w:p>
            <w:pPr>
              <w:spacing w:line="360" w:lineRule="exact"/>
              <w:jc w:val="center"/>
              <w:rPr>
                <w:sz w:val="28"/>
                <w:szCs w:val="28"/>
              </w:rPr>
            </w:pPr>
            <w:r>
              <w:rPr>
                <w:rFonts w:hint="eastAsia"/>
                <w:sz w:val="28"/>
                <w:szCs w:val="28"/>
              </w:rPr>
              <w:t>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Merge w:val="continue"/>
          </w:tcPr>
          <w:p>
            <w:pPr>
              <w:jc w:val="center"/>
              <w:rPr>
                <w:sz w:val="28"/>
                <w:szCs w:val="28"/>
              </w:rPr>
            </w:pPr>
          </w:p>
        </w:tc>
        <w:tc>
          <w:tcPr>
            <w:tcW w:w="1701" w:type="dxa"/>
            <w:vMerge w:val="continue"/>
          </w:tcPr>
          <w:p>
            <w:pPr>
              <w:widowControl/>
              <w:jc w:val="center"/>
              <w:rPr>
                <w:rFonts w:ascii="方正楷体简体" w:hAnsi="宋体" w:eastAsia="方正楷体简体" w:cs="宋体"/>
                <w:kern w:val="0"/>
                <w:sz w:val="30"/>
                <w:szCs w:val="30"/>
              </w:rPr>
            </w:pPr>
          </w:p>
        </w:tc>
        <w:tc>
          <w:tcPr>
            <w:tcW w:w="992" w:type="dxa"/>
            <w:vAlign w:val="center"/>
          </w:tcPr>
          <w:p>
            <w:pPr>
              <w:spacing w:line="360" w:lineRule="exact"/>
              <w:jc w:val="center"/>
              <w:rPr>
                <w:sz w:val="28"/>
                <w:szCs w:val="28"/>
              </w:rPr>
            </w:pPr>
            <w:r>
              <w:rPr>
                <w:rFonts w:hint="eastAsia"/>
                <w:sz w:val="28"/>
                <w:szCs w:val="28"/>
              </w:rPr>
              <w:t>6.4</w:t>
            </w:r>
          </w:p>
        </w:tc>
        <w:tc>
          <w:tcPr>
            <w:tcW w:w="4961" w:type="dxa"/>
            <w:vAlign w:val="center"/>
          </w:tcPr>
          <w:p>
            <w:pPr>
              <w:widowControl/>
              <w:spacing w:line="480" w:lineRule="exact"/>
              <w:jc w:val="center"/>
              <w:rPr>
                <w:rFonts w:ascii="方正黑体简体" w:hAnsi="宋体" w:eastAsia="方正黑体简体" w:cs="宋体"/>
                <w:kern w:val="0"/>
                <w:sz w:val="28"/>
                <w:szCs w:val="28"/>
              </w:rPr>
            </w:pPr>
            <w:r>
              <w:rPr>
                <w:rFonts w:hint="eastAsia" w:ascii="方正黑体简体" w:hAnsi="宋体" w:eastAsia="方正黑体简体" w:cs="宋体"/>
                <w:kern w:val="0"/>
                <w:sz w:val="28"/>
                <w:szCs w:val="28"/>
              </w:rPr>
              <w:t>医疗设备报废管理</w:t>
            </w:r>
          </w:p>
        </w:tc>
        <w:tc>
          <w:tcPr>
            <w:tcW w:w="851" w:type="dxa"/>
            <w:vAlign w:val="center"/>
          </w:tcPr>
          <w:p>
            <w:pPr>
              <w:spacing w:line="360" w:lineRule="exact"/>
              <w:jc w:val="center"/>
              <w:rPr>
                <w:sz w:val="28"/>
                <w:szCs w:val="28"/>
              </w:rPr>
            </w:pPr>
            <w:r>
              <w:rPr>
                <w:rFonts w:hint="eastAsia"/>
                <w:sz w:val="28"/>
                <w:szCs w:val="28"/>
              </w:rPr>
              <w:t>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Merge w:val="continue"/>
          </w:tcPr>
          <w:p>
            <w:pPr>
              <w:jc w:val="center"/>
              <w:rPr>
                <w:sz w:val="28"/>
                <w:szCs w:val="28"/>
              </w:rPr>
            </w:pPr>
          </w:p>
        </w:tc>
        <w:tc>
          <w:tcPr>
            <w:tcW w:w="1701" w:type="dxa"/>
            <w:vMerge w:val="continue"/>
          </w:tcPr>
          <w:p>
            <w:pPr>
              <w:widowControl/>
              <w:jc w:val="center"/>
              <w:rPr>
                <w:rFonts w:ascii="方正楷体简体" w:hAnsi="宋体" w:eastAsia="方正楷体简体" w:cs="宋体"/>
                <w:kern w:val="0"/>
                <w:sz w:val="30"/>
                <w:szCs w:val="30"/>
              </w:rPr>
            </w:pPr>
          </w:p>
        </w:tc>
        <w:tc>
          <w:tcPr>
            <w:tcW w:w="992" w:type="dxa"/>
            <w:vAlign w:val="center"/>
          </w:tcPr>
          <w:p>
            <w:pPr>
              <w:spacing w:line="360" w:lineRule="exact"/>
              <w:jc w:val="center"/>
              <w:rPr>
                <w:sz w:val="28"/>
                <w:szCs w:val="28"/>
              </w:rPr>
            </w:pPr>
            <w:r>
              <w:rPr>
                <w:rFonts w:hint="eastAsia"/>
                <w:sz w:val="28"/>
                <w:szCs w:val="28"/>
              </w:rPr>
              <w:t>6.5</w:t>
            </w:r>
          </w:p>
        </w:tc>
        <w:tc>
          <w:tcPr>
            <w:tcW w:w="4961" w:type="dxa"/>
            <w:vAlign w:val="center"/>
          </w:tcPr>
          <w:p>
            <w:pPr>
              <w:widowControl/>
              <w:spacing w:line="480" w:lineRule="exact"/>
              <w:jc w:val="center"/>
              <w:rPr>
                <w:rFonts w:ascii="方正黑体简体" w:hAnsi="宋体" w:eastAsia="方正黑体简体" w:cs="宋体"/>
                <w:kern w:val="0"/>
                <w:sz w:val="28"/>
                <w:szCs w:val="28"/>
              </w:rPr>
            </w:pPr>
            <w:r>
              <w:rPr>
                <w:rFonts w:hint="eastAsia" w:ascii="方正黑体简体" w:hAnsi="宋体" w:eastAsia="方正黑体简体" w:cs="宋体"/>
                <w:kern w:val="0"/>
                <w:sz w:val="28"/>
                <w:szCs w:val="28"/>
              </w:rPr>
              <w:t>非医疗设备报废管理</w:t>
            </w:r>
          </w:p>
        </w:tc>
        <w:tc>
          <w:tcPr>
            <w:tcW w:w="851" w:type="dxa"/>
            <w:vAlign w:val="center"/>
          </w:tcPr>
          <w:p>
            <w:pPr>
              <w:spacing w:line="360" w:lineRule="exact"/>
              <w:jc w:val="center"/>
              <w:rPr>
                <w:sz w:val="28"/>
                <w:szCs w:val="28"/>
              </w:rPr>
            </w:pPr>
            <w:r>
              <w:rPr>
                <w:rFonts w:hint="eastAsia"/>
                <w:sz w:val="28"/>
                <w:szCs w:val="28"/>
              </w:rPr>
              <w:t>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Align w:val="center"/>
          </w:tcPr>
          <w:p>
            <w:pPr>
              <w:jc w:val="center"/>
              <w:rPr>
                <w:sz w:val="28"/>
                <w:szCs w:val="28"/>
              </w:rPr>
            </w:pPr>
            <w:r>
              <w:rPr>
                <w:rFonts w:hint="eastAsia"/>
                <w:sz w:val="28"/>
                <w:szCs w:val="28"/>
              </w:rPr>
              <w:t>7</w:t>
            </w:r>
          </w:p>
        </w:tc>
        <w:tc>
          <w:tcPr>
            <w:tcW w:w="1701" w:type="dxa"/>
            <w:vAlign w:val="center"/>
          </w:tcPr>
          <w:p>
            <w:pPr>
              <w:widowControl/>
              <w:jc w:val="cente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院务公开</w:t>
            </w:r>
          </w:p>
        </w:tc>
        <w:tc>
          <w:tcPr>
            <w:tcW w:w="992" w:type="dxa"/>
            <w:vAlign w:val="center"/>
          </w:tcPr>
          <w:p>
            <w:pPr>
              <w:spacing w:line="360" w:lineRule="exact"/>
              <w:jc w:val="center"/>
              <w:rPr>
                <w:sz w:val="28"/>
                <w:szCs w:val="28"/>
              </w:rPr>
            </w:pPr>
            <w:r>
              <w:rPr>
                <w:rFonts w:hint="eastAsia"/>
                <w:sz w:val="28"/>
                <w:szCs w:val="28"/>
              </w:rPr>
              <w:t>7.1</w:t>
            </w:r>
          </w:p>
        </w:tc>
        <w:tc>
          <w:tcPr>
            <w:tcW w:w="4961" w:type="dxa"/>
            <w:vAlign w:val="center"/>
          </w:tcPr>
          <w:p>
            <w:pPr>
              <w:widowControl/>
              <w:spacing w:line="480" w:lineRule="exact"/>
              <w:jc w:val="center"/>
              <w:rPr>
                <w:rFonts w:ascii="方正黑体简体" w:hAnsi="宋体" w:eastAsia="方正黑体简体" w:cs="宋体"/>
                <w:kern w:val="0"/>
                <w:sz w:val="28"/>
                <w:szCs w:val="28"/>
              </w:rPr>
            </w:pPr>
            <w:r>
              <w:rPr>
                <w:rFonts w:hint="eastAsia" w:ascii="方正黑体简体" w:hAnsi="宋体" w:eastAsia="方正黑体简体" w:cs="宋体"/>
                <w:kern w:val="0"/>
                <w:sz w:val="28"/>
                <w:szCs w:val="28"/>
              </w:rPr>
              <w:t>院务公开管理</w:t>
            </w:r>
          </w:p>
        </w:tc>
        <w:tc>
          <w:tcPr>
            <w:tcW w:w="851" w:type="dxa"/>
            <w:vAlign w:val="center"/>
          </w:tcPr>
          <w:p>
            <w:pPr>
              <w:spacing w:line="360" w:lineRule="exact"/>
              <w:jc w:val="center"/>
              <w:rPr>
                <w:sz w:val="28"/>
                <w:szCs w:val="28"/>
              </w:rPr>
            </w:pPr>
            <w:r>
              <w:rPr>
                <w:rFonts w:hint="eastAsia"/>
                <w:sz w:val="28"/>
                <w:szCs w:val="28"/>
              </w:rPr>
              <w:t>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Align w:val="center"/>
          </w:tcPr>
          <w:p>
            <w:pPr>
              <w:jc w:val="center"/>
              <w:rPr>
                <w:sz w:val="28"/>
                <w:szCs w:val="28"/>
              </w:rPr>
            </w:pPr>
            <w:r>
              <w:rPr>
                <w:rFonts w:hint="eastAsia"/>
                <w:sz w:val="28"/>
                <w:szCs w:val="28"/>
              </w:rPr>
              <w:t>8</w:t>
            </w:r>
          </w:p>
        </w:tc>
        <w:tc>
          <w:tcPr>
            <w:tcW w:w="1701" w:type="dxa"/>
            <w:vAlign w:val="center"/>
          </w:tcPr>
          <w:p>
            <w:pPr>
              <w:widowControl/>
              <w:spacing w:line="560" w:lineRule="exact"/>
              <w:jc w:val="cente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突发事件的应急管理</w:t>
            </w:r>
          </w:p>
        </w:tc>
        <w:tc>
          <w:tcPr>
            <w:tcW w:w="992" w:type="dxa"/>
            <w:vAlign w:val="center"/>
          </w:tcPr>
          <w:p>
            <w:pPr>
              <w:spacing w:line="360" w:lineRule="exact"/>
              <w:jc w:val="center"/>
              <w:rPr>
                <w:sz w:val="28"/>
                <w:szCs w:val="28"/>
              </w:rPr>
            </w:pPr>
            <w:r>
              <w:rPr>
                <w:rFonts w:hint="eastAsia"/>
                <w:sz w:val="28"/>
                <w:szCs w:val="28"/>
              </w:rPr>
              <w:t>8.1</w:t>
            </w:r>
          </w:p>
        </w:tc>
        <w:tc>
          <w:tcPr>
            <w:tcW w:w="4961" w:type="dxa"/>
            <w:vAlign w:val="center"/>
          </w:tcPr>
          <w:p>
            <w:pPr>
              <w:widowControl/>
              <w:spacing w:line="480" w:lineRule="exact"/>
              <w:jc w:val="center"/>
              <w:rPr>
                <w:rFonts w:ascii="方正黑体简体" w:hAnsi="宋体" w:eastAsia="方正黑体简体" w:cs="宋体"/>
                <w:kern w:val="0"/>
                <w:sz w:val="28"/>
                <w:szCs w:val="28"/>
              </w:rPr>
            </w:pPr>
            <w:r>
              <w:rPr>
                <w:rFonts w:hint="eastAsia" w:ascii="方正黑体简体" w:hAnsi="宋体" w:eastAsia="方正黑体简体" w:cs="宋体"/>
                <w:kern w:val="0"/>
                <w:sz w:val="28"/>
                <w:szCs w:val="28"/>
              </w:rPr>
              <w:t>突发事件的应急管理</w:t>
            </w:r>
          </w:p>
        </w:tc>
        <w:tc>
          <w:tcPr>
            <w:tcW w:w="851" w:type="dxa"/>
            <w:vAlign w:val="center"/>
          </w:tcPr>
          <w:p>
            <w:pPr>
              <w:spacing w:line="360" w:lineRule="exact"/>
              <w:jc w:val="center"/>
              <w:rPr>
                <w:sz w:val="28"/>
                <w:szCs w:val="28"/>
              </w:rPr>
            </w:pPr>
            <w:r>
              <w:rPr>
                <w:rFonts w:hint="eastAsia"/>
                <w:sz w:val="28"/>
                <w:szCs w:val="28"/>
              </w:rPr>
              <w:t>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Merge w:val="restart"/>
            <w:vAlign w:val="center"/>
          </w:tcPr>
          <w:p>
            <w:pPr>
              <w:jc w:val="center"/>
              <w:rPr>
                <w:sz w:val="28"/>
                <w:szCs w:val="28"/>
              </w:rPr>
            </w:pPr>
            <w:r>
              <w:rPr>
                <w:rFonts w:hint="eastAsia"/>
                <w:sz w:val="28"/>
                <w:szCs w:val="28"/>
              </w:rPr>
              <w:t>9</w:t>
            </w:r>
          </w:p>
        </w:tc>
        <w:tc>
          <w:tcPr>
            <w:tcW w:w="1701" w:type="dxa"/>
            <w:vMerge w:val="restart"/>
            <w:vAlign w:val="center"/>
          </w:tcPr>
          <w:p>
            <w:pPr>
              <w:widowControl/>
              <w:jc w:val="cente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公共卫生管理</w:t>
            </w:r>
          </w:p>
        </w:tc>
        <w:tc>
          <w:tcPr>
            <w:tcW w:w="992" w:type="dxa"/>
            <w:vAlign w:val="center"/>
          </w:tcPr>
          <w:p>
            <w:pPr>
              <w:spacing w:line="360" w:lineRule="exact"/>
              <w:jc w:val="center"/>
              <w:rPr>
                <w:sz w:val="28"/>
                <w:szCs w:val="28"/>
              </w:rPr>
            </w:pPr>
            <w:r>
              <w:rPr>
                <w:rFonts w:hint="eastAsia"/>
                <w:sz w:val="28"/>
                <w:szCs w:val="28"/>
              </w:rPr>
              <w:t>9.1</w:t>
            </w:r>
          </w:p>
        </w:tc>
        <w:tc>
          <w:tcPr>
            <w:tcW w:w="4961" w:type="dxa"/>
            <w:vAlign w:val="center"/>
          </w:tcPr>
          <w:p>
            <w:pPr>
              <w:widowControl/>
              <w:spacing w:line="480" w:lineRule="exact"/>
              <w:jc w:val="center"/>
              <w:rPr>
                <w:rFonts w:ascii="方正黑体简体" w:hAnsi="宋体" w:eastAsia="方正黑体简体" w:cs="宋体"/>
                <w:kern w:val="0"/>
                <w:sz w:val="28"/>
                <w:szCs w:val="28"/>
              </w:rPr>
            </w:pPr>
            <w:r>
              <w:rPr>
                <w:rFonts w:hint="eastAsia" w:ascii="方正黑体简体" w:hAnsi="宋体" w:eastAsia="方正黑体简体" w:cs="宋体"/>
                <w:kern w:val="0"/>
                <w:sz w:val="28"/>
                <w:szCs w:val="28"/>
              </w:rPr>
              <w:t>传染病疫情报告</w:t>
            </w:r>
          </w:p>
        </w:tc>
        <w:tc>
          <w:tcPr>
            <w:tcW w:w="851" w:type="dxa"/>
            <w:vAlign w:val="center"/>
          </w:tcPr>
          <w:p>
            <w:pPr>
              <w:spacing w:line="360" w:lineRule="exact"/>
              <w:jc w:val="center"/>
              <w:rPr>
                <w:sz w:val="28"/>
                <w:szCs w:val="28"/>
              </w:rPr>
            </w:pPr>
            <w:r>
              <w:rPr>
                <w:rFonts w:hint="eastAsia"/>
                <w:sz w:val="28"/>
                <w:szCs w:val="28"/>
              </w:rPr>
              <w:t>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Merge w:val="continue"/>
          </w:tcPr>
          <w:p>
            <w:pPr>
              <w:jc w:val="center"/>
              <w:rPr>
                <w:sz w:val="28"/>
                <w:szCs w:val="28"/>
              </w:rPr>
            </w:pPr>
          </w:p>
        </w:tc>
        <w:tc>
          <w:tcPr>
            <w:tcW w:w="1701" w:type="dxa"/>
            <w:vMerge w:val="continue"/>
          </w:tcPr>
          <w:p>
            <w:pPr>
              <w:widowControl/>
              <w:jc w:val="center"/>
              <w:rPr>
                <w:rFonts w:ascii="方正楷体简体" w:hAnsi="宋体" w:eastAsia="方正楷体简体" w:cs="宋体"/>
                <w:kern w:val="0"/>
                <w:sz w:val="30"/>
                <w:szCs w:val="30"/>
              </w:rPr>
            </w:pPr>
          </w:p>
        </w:tc>
        <w:tc>
          <w:tcPr>
            <w:tcW w:w="992" w:type="dxa"/>
            <w:vAlign w:val="center"/>
          </w:tcPr>
          <w:p>
            <w:pPr>
              <w:spacing w:line="360" w:lineRule="exact"/>
              <w:jc w:val="center"/>
              <w:rPr>
                <w:sz w:val="28"/>
                <w:szCs w:val="28"/>
              </w:rPr>
            </w:pPr>
            <w:r>
              <w:rPr>
                <w:rFonts w:hint="eastAsia"/>
                <w:sz w:val="28"/>
                <w:szCs w:val="28"/>
              </w:rPr>
              <w:t>9.2</w:t>
            </w:r>
          </w:p>
        </w:tc>
        <w:tc>
          <w:tcPr>
            <w:tcW w:w="4961" w:type="dxa"/>
            <w:vAlign w:val="center"/>
          </w:tcPr>
          <w:p>
            <w:pPr>
              <w:widowControl/>
              <w:spacing w:line="480" w:lineRule="exact"/>
              <w:jc w:val="center"/>
              <w:rPr>
                <w:rFonts w:ascii="方正黑体简体" w:hAnsi="宋体" w:eastAsia="方正黑体简体" w:cs="宋体"/>
                <w:kern w:val="0"/>
                <w:sz w:val="28"/>
                <w:szCs w:val="28"/>
              </w:rPr>
            </w:pPr>
            <w:r>
              <w:rPr>
                <w:rFonts w:hint="eastAsia" w:ascii="方正黑体简体" w:hAnsi="宋体" w:eastAsia="方正黑体简体" w:cs="宋体"/>
                <w:kern w:val="0"/>
                <w:sz w:val="28"/>
                <w:szCs w:val="28"/>
              </w:rPr>
              <w:t>宣传和教育</w:t>
            </w:r>
          </w:p>
        </w:tc>
        <w:tc>
          <w:tcPr>
            <w:tcW w:w="851" w:type="dxa"/>
            <w:vAlign w:val="center"/>
          </w:tcPr>
          <w:p>
            <w:pPr>
              <w:spacing w:line="360" w:lineRule="exact"/>
              <w:jc w:val="center"/>
              <w:rPr>
                <w:sz w:val="28"/>
                <w:szCs w:val="28"/>
              </w:rPr>
            </w:pPr>
            <w:r>
              <w:rPr>
                <w:rFonts w:hint="eastAsia"/>
                <w:sz w:val="28"/>
                <w:szCs w:val="28"/>
              </w:rPr>
              <w:t>39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Merge w:val="continue"/>
          </w:tcPr>
          <w:p>
            <w:pPr>
              <w:jc w:val="center"/>
              <w:rPr>
                <w:sz w:val="28"/>
                <w:szCs w:val="28"/>
              </w:rPr>
            </w:pPr>
          </w:p>
        </w:tc>
        <w:tc>
          <w:tcPr>
            <w:tcW w:w="1701" w:type="dxa"/>
            <w:vMerge w:val="continue"/>
          </w:tcPr>
          <w:p>
            <w:pPr>
              <w:widowControl/>
              <w:jc w:val="center"/>
              <w:rPr>
                <w:rFonts w:ascii="方正楷体简体" w:hAnsi="宋体" w:eastAsia="方正楷体简体" w:cs="宋体"/>
                <w:kern w:val="0"/>
                <w:sz w:val="30"/>
                <w:szCs w:val="30"/>
              </w:rPr>
            </w:pPr>
          </w:p>
        </w:tc>
        <w:tc>
          <w:tcPr>
            <w:tcW w:w="992" w:type="dxa"/>
            <w:vAlign w:val="center"/>
          </w:tcPr>
          <w:p>
            <w:pPr>
              <w:spacing w:line="360" w:lineRule="exact"/>
              <w:jc w:val="center"/>
              <w:rPr>
                <w:sz w:val="28"/>
                <w:szCs w:val="28"/>
              </w:rPr>
            </w:pPr>
            <w:r>
              <w:rPr>
                <w:rFonts w:hint="eastAsia"/>
                <w:sz w:val="28"/>
                <w:szCs w:val="28"/>
              </w:rPr>
              <w:t>9.3</w:t>
            </w:r>
          </w:p>
        </w:tc>
        <w:tc>
          <w:tcPr>
            <w:tcW w:w="4961" w:type="dxa"/>
            <w:vAlign w:val="center"/>
          </w:tcPr>
          <w:p>
            <w:pPr>
              <w:widowControl/>
              <w:spacing w:line="480" w:lineRule="exact"/>
              <w:jc w:val="center"/>
              <w:rPr>
                <w:rFonts w:ascii="方正黑体简体" w:hAnsi="宋体" w:eastAsia="方正黑体简体" w:cs="宋体"/>
                <w:kern w:val="0"/>
                <w:sz w:val="28"/>
                <w:szCs w:val="28"/>
              </w:rPr>
            </w:pPr>
            <w:r>
              <w:rPr>
                <w:rFonts w:hint="eastAsia" w:ascii="方正黑体简体" w:hAnsi="宋体" w:eastAsia="方正黑体简体" w:cs="宋体"/>
                <w:kern w:val="0"/>
                <w:sz w:val="28"/>
                <w:szCs w:val="28"/>
              </w:rPr>
              <w:t>控烟巡查劝阻和宣教</w:t>
            </w:r>
          </w:p>
        </w:tc>
        <w:tc>
          <w:tcPr>
            <w:tcW w:w="851" w:type="dxa"/>
            <w:vAlign w:val="center"/>
          </w:tcPr>
          <w:p>
            <w:pPr>
              <w:spacing w:line="360" w:lineRule="exact"/>
              <w:jc w:val="center"/>
              <w:rPr>
                <w:sz w:val="28"/>
                <w:szCs w:val="28"/>
              </w:rPr>
            </w:pPr>
            <w:r>
              <w:rPr>
                <w:rFonts w:hint="eastAsia"/>
                <w:sz w:val="28"/>
                <w:szCs w:val="28"/>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Align w:val="center"/>
          </w:tcPr>
          <w:p>
            <w:pPr>
              <w:jc w:val="center"/>
              <w:rPr>
                <w:sz w:val="28"/>
                <w:szCs w:val="28"/>
              </w:rPr>
            </w:pPr>
            <w:r>
              <w:rPr>
                <w:rFonts w:hint="eastAsia"/>
                <w:sz w:val="28"/>
                <w:szCs w:val="28"/>
              </w:rPr>
              <w:t>10</w:t>
            </w:r>
          </w:p>
        </w:tc>
        <w:tc>
          <w:tcPr>
            <w:tcW w:w="1701" w:type="dxa"/>
            <w:vAlign w:val="center"/>
          </w:tcPr>
          <w:p>
            <w:pPr>
              <w:widowControl/>
              <w:spacing w:line="560" w:lineRule="exact"/>
              <w:jc w:val="cente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医院感染管理</w:t>
            </w:r>
          </w:p>
        </w:tc>
        <w:tc>
          <w:tcPr>
            <w:tcW w:w="992" w:type="dxa"/>
            <w:vAlign w:val="center"/>
          </w:tcPr>
          <w:p>
            <w:pPr>
              <w:spacing w:line="360" w:lineRule="exact"/>
              <w:jc w:val="center"/>
              <w:rPr>
                <w:sz w:val="28"/>
                <w:szCs w:val="28"/>
              </w:rPr>
            </w:pPr>
            <w:r>
              <w:rPr>
                <w:rFonts w:hint="eastAsia"/>
                <w:sz w:val="28"/>
                <w:szCs w:val="28"/>
              </w:rPr>
              <w:t>10.1</w:t>
            </w:r>
          </w:p>
        </w:tc>
        <w:tc>
          <w:tcPr>
            <w:tcW w:w="4961" w:type="dxa"/>
            <w:vAlign w:val="center"/>
          </w:tcPr>
          <w:p>
            <w:pPr>
              <w:widowControl/>
              <w:spacing w:line="480" w:lineRule="exact"/>
              <w:jc w:val="center"/>
              <w:rPr>
                <w:rFonts w:ascii="方正黑体简体" w:hAnsi="宋体" w:eastAsia="方正黑体简体" w:cs="宋体"/>
                <w:kern w:val="0"/>
                <w:sz w:val="28"/>
                <w:szCs w:val="28"/>
              </w:rPr>
            </w:pPr>
            <w:r>
              <w:rPr>
                <w:rFonts w:hint="eastAsia" w:ascii="方正黑体简体" w:hAnsi="宋体" w:eastAsia="方正黑体简体" w:cs="宋体"/>
                <w:kern w:val="0"/>
                <w:sz w:val="28"/>
                <w:szCs w:val="28"/>
              </w:rPr>
              <w:t>医院感染管理</w:t>
            </w:r>
          </w:p>
        </w:tc>
        <w:tc>
          <w:tcPr>
            <w:tcW w:w="851" w:type="dxa"/>
            <w:vAlign w:val="center"/>
          </w:tcPr>
          <w:p>
            <w:pPr>
              <w:spacing w:line="360" w:lineRule="exact"/>
              <w:jc w:val="center"/>
              <w:rPr>
                <w:sz w:val="28"/>
                <w:szCs w:val="28"/>
              </w:rPr>
            </w:pPr>
            <w:r>
              <w:rPr>
                <w:rFonts w:hint="eastAsia"/>
                <w:sz w:val="28"/>
                <w:szCs w:val="28"/>
              </w:rPr>
              <w:t>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Merge w:val="restart"/>
            <w:vAlign w:val="center"/>
          </w:tcPr>
          <w:p>
            <w:pPr>
              <w:jc w:val="center"/>
              <w:rPr>
                <w:sz w:val="28"/>
                <w:szCs w:val="28"/>
              </w:rPr>
            </w:pPr>
            <w:r>
              <w:rPr>
                <w:rFonts w:hint="eastAsia"/>
                <w:sz w:val="28"/>
                <w:szCs w:val="28"/>
              </w:rPr>
              <w:t>11</w:t>
            </w:r>
          </w:p>
        </w:tc>
        <w:tc>
          <w:tcPr>
            <w:tcW w:w="1701" w:type="dxa"/>
            <w:vMerge w:val="restart"/>
            <w:vAlign w:val="center"/>
          </w:tcPr>
          <w:p>
            <w:pPr>
              <w:widowControl/>
              <w:jc w:val="cente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安全管理</w:t>
            </w:r>
          </w:p>
        </w:tc>
        <w:tc>
          <w:tcPr>
            <w:tcW w:w="992" w:type="dxa"/>
            <w:vAlign w:val="center"/>
          </w:tcPr>
          <w:p>
            <w:pPr>
              <w:spacing w:line="360" w:lineRule="exact"/>
              <w:jc w:val="center"/>
              <w:rPr>
                <w:sz w:val="28"/>
                <w:szCs w:val="28"/>
              </w:rPr>
            </w:pPr>
            <w:r>
              <w:rPr>
                <w:rFonts w:hint="eastAsia"/>
                <w:sz w:val="28"/>
                <w:szCs w:val="28"/>
              </w:rPr>
              <w:t>11.1</w:t>
            </w:r>
          </w:p>
        </w:tc>
        <w:tc>
          <w:tcPr>
            <w:tcW w:w="4961" w:type="dxa"/>
            <w:vAlign w:val="center"/>
          </w:tcPr>
          <w:p>
            <w:pPr>
              <w:widowControl/>
              <w:spacing w:line="480" w:lineRule="exact"/>
              <w:jc w:val="center"/>
              <w:rPr>
                <w:rFonts w:ascii="方正黑体简体" w:hAnsi="宋体" w:eastAsia="方正黑体简体" w:cs="宋体"/>
                <w:kern w:val="0"/>
                <w:sz w:val="28"/>
                <w:szCs w:val="28"/>
              </w:rPr>
            </w:pPr>
            <w:r>
              <w:rPr>
                <w:rFonts w:hint="eastAsia" w:ascii="方正黑体简体" w:hAnsi="宋体" w:eastAsia="方正黑体简体" w:cs="宋体"/>
                <w:kern w:val="0"/>
                <w:sz w:val="28"/>
                <w:szCs w:val="28"/>
              </w:rPr>
              <w:t>安全生产管理</w:t>
            </w:r>
          </w:p>
        </w:tc>
        <w:tc>
          <w:tcPr>
            <w:tcW w:w="851" w:type="dxa"/>
            <w:vAlign w:val="center"/>
          </w:tcPr>
          <w:p>
            <w:pPr>
              <w:spacing w:line="360" w:lineRule="exact"/>
              <w:jc w:val="center"/>
              <w:rPr>
                <w:sz w:val="28"/>
                <w:szCs w:val="28"/>
              </w:rPr>
            </w:pPr>
            <w:r>
              <w:rPr>
                <w:rFonts w:hint="eastAsia"/>
                <w:sz w:val="28"/>
                <w:szCs w:val="28"/>
              </w:rPr>
              <w:t>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Merge w:val="continue"/>
          </w:tcPr>
          <w:p>
            <w:pPr>
              <w:jc w:val="center"/>
              <w:rPr>
                <w:sz w:val="28"/>
                <w:szCs w:val="28"/>
              </w:rPr>
            </w:pPr>
          </w:p>
        </w:tc>
        <w:tc>
          <w:tcPr>
            <w:tcW w:w="1701" w:type="dxa"/>
            <w:vMerge w:val="continue"/>
          </w:tcPr>
          <w:p>
            <w:pPr>
              <w:widowControl/>
              <w:jc w:val="center"/>
              <w:rPr>
                <w:rFonts w:ascii="方正楷体简体" w:hAnsi="宋体" w:eastAsia="方正楷体简体" w:cs="宋体"/>
                <w:kern w:val="0"/>
                <w:sz w:val="30"/>
                <w:szCs w:val="30"/>
              </w:rPr>
            </w:pPr>
          </w:p>
        </w:tc>
        <w:tc>
          <w:tcPr>
            <w:tcW w:w="992" w:type="dxa"/>
            <w:vAlign w:val="center"/>
          </w:tcPr>
          <w:p>
            <w:pPr>
              <w:spacing w:line="360" w:lineRule="exact"/>
              <w:jc w:val="center"/>
              <w:rPr>
                <w:sz w:val="28"/>
                <w:szCs w:val="28"/>
              </w:rPr>
            </w:pPr>
            <w:r>
              <w:rPr>
                <w:rFonts w:hint="eastAsia"/>
                <w:sz w:val="28"/>
                <w:szCs w:val="28"/>
              </w:rPr>
              <w:t>11.2</w:t>
            </w:r>
          </w:p>
        </w:tc>
        <w:tc>
          <w:tcPr>
            <w:tcW w:w="4961" w:type="dxa"/>
            <w:vAlign w:val="center"/>
          </w:tcPr>
          <w:p>
            <w:pPr>
              <w:widowControl/>
              <w:spacing w:line="480" w:lineRule="exact"/>
              <w:jc w:val="center"/>
              <w:rPr>
                <w:rFonts w:ascii="方正黑体简体" w:hAnsi="宋体" w:eastAsia="方正黑体简体" w:cs="宋体"/>
                <w:kern w:val="0"/>
                <w:sz w:val="28"/>
                <w:szCs w:val="28"/>
              </w:rPr>
            </w:pPr>
            <w:r>
              <w:rPr>
                <w:rFonts w:hint="eastAsia" w:ascii="方正黑体简体" w:hAnsi="宋体" w:eastAsia="方正黑体简体" w:cs="宋体"/>
                <w:kern w:val="0"/>
                <w:sz w:val="28"/>
                <w:szCs w:val="28"/>
              </w:rPr>
              <w:t>消防安全管理</w:t>
            </w:r>
          </w:p>
        </w:tc>
        <w:tc>
          <w:tcPr>
            <w:tcW w:w="851" w:type="dxa"/>
            <w:vAlign w:val="center"/>
          </w:tcPr>
          <w:p>
            <w:pPr>
              <w:spacing w:line="360" w:lineRule="exact"/>
              <w:jc w:val="center"/>
              <w:rPr>
                <w:sz w:val="28"/>
                <w:szCs w:val="28"/>
              </w:rPr>
            </w:pPr>
            <w:r>
              <w:rPr>
                <w:rFonts w:hint="eastAsia"/>
                <w:sz w:val="28"/>
                <w:szCs w:val="28"/>
              </w:rPr>
              <w:t>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Merge w:val="continue"/>
          </w:tcPr>
          <w:p>
            <w:pPr>
              <w:jc w:val="center"/>
              <w:rPr>
                <w:sz w:val="28"/>
                <w:szCs w:val="28"/>
              </w:rPr>
            </w:pPr>
          </w:p>
        </w:tc>
        <w:tc>
          <w:tcPr>
            <w:tcW w:w="1701" w:type="dxa"/>
            <w:vMerge w:val="continue"/>
          </w:tcPr>
          <w:p>
            <w:pPr>
              <w:widowControl/>
              <w:jc w:val="center"/>
              <w:rPr>
                <w:rFonts w:ascii="方正楷体简体" w:hAnsi="宋体" w:eastAsia="方正楷体简体" w:cs="宋体"/>
                <w:kern w:val="0"/>
                <w:sz w:val="30"/>
                <w:szCs w:val="30"/>
              </w:rPr>
            </w:pPr>
          </w:p>
        </w:tc>
        <w:tc>
          <w:tcPr>
            <w:tcW w:w="992" w:type="dxa"/>
            <w:vAlign w:val="center"/>
          </w:tcPr>
          <w:p>
            <w:pPr>
              <w:spacing w:line="360" w:lineRule="exact"/>
              <w:jc w:val="center"/>
              <w:rPr>
                <w:sz w:val="28"/>
                <w:szCs w:val="28"/>
              </w:rPr>
            </w:pPr>
            <w:r>
              <w:rPr>
                <w:rFonts w:hint="eastAsia"/>
                <w:sz w:val="28"/>
                <w:szCs w:val="28"/>
              </w:rPr>
              <w:t>11.3</w:t>
            </w:r>
          </w:p>
        </w:tc>
        <w:tc>
          <w:tcPr>
            <w:tcW w:w="4961" w:type="dxa"/>
            <w:vAlign w:val="center"/>
          </w:tcPr>
          <w:p>
            <w:pPr>
              <w:widowControl/>
              <w:spacing w:line="480" w:lineRule="exact"/>
              <w:jc w:val="center"/>
              <w:rPr>
                <w:rFonts w:ascii="方正黑体简体" w:hAnsi="宋体" w:eastAsia="方正黑体简体" w:cs="宋体"/>
                <w:kern w:val="0"/>
                <w:sz w:val="28"/>
                <w:szCs w:val="28"/>
              </w:rPr>
            </w:pPr>
            <w:r>
              <w:rPr>
                <w:rFonts w:hint="eastAsia" w:ascii="方正黑体简体" w:hAnsi="宋体" w:eastAsia="方正黑体简体" w:cs="宋体"/>
                <w:kern w:val="0"/>
                <w:sz w:val="28"/>
                <w:szCs w:val="28"/>
              </w:rPr>
              <w:t>治安保卫管理</w:t>
            </w:r>
          </w:p>
        </w:tc>
        <w:tc>
          <w:tcPr>
            <w:tcW w:w="851" w:type="dxa"/>
            <w:vAlign w:val="center"/>
          </w:tcPr>
          <w:p>
            <w:pPr>
              <w:spacing w:line="360" w:lineRule="exact"/>
              <w:jc w:val="center"/>
              <w:rPr>
                <w:sz w:val="28"/>
                <w:szCs w:val="28"/>
              </w:rPr>
            </w:pPr>
            <w:r>
              <w:rPr>
                <w:rFonts w:hint="eastAsia"/>
                <w:sz w:val="28"/>
                <w:szCs w:val="28"/>
              </w:rPr>
              <w:t>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Merge w:val="continue"/>
          </w:tcPr>
          <w:p>
            <w:pPr>
              <w:jc w:val="center"/>
              <w:rPr>
                <w:sz w:val="28"/>
                <w:szCs w:val="28"/>
              </w:rPr>
            </w:pPr>
          </w:p>
        </w:tc>
        <w:tc>
          <w:tcPr>
            <w:tcW w:w="1701" w:type="dxa"/>
            <w:vMerge w:val="continue"/>
          </w:tcPr>
          <w:p>
            <w:pPr>
              <w:widowControl/>
              <w:jc w:val="center"/>
              <w:rPr>
                <w:rFonts w:ascii="方正楷体简体" w:hAnsi="宋体" w:eastAsia="方正楷体简体" w:cs="宋体"/>
                <w:kern w:val="0"/>
                <w:sz w:val="30"/>
                <w:szCs w:val="30"/>
              </w:rPr>
            </w:pPr>
          </w:p>
        </w:tc>
        <w:tc>
          <w:tcPr>
            <w:tcW w:w="992" w:type="dxa"/>
            <w:vAlign w:val="center"/>
          </w:tcPr>
          <w:p>
            <w:pPr>
              <w:spacing w:line="360" w:lineRule="exact"/>
              <w:jc w:val="center"/>
              <w:rPr>
                <w:sz w:val="28"/>
                <w:szCs w:val="28"/>
              </w:rPr>
            </w:pPr>
            <w:r>
              <w:rPr>
                <w:rFonts w:hint="eastAsia"/>
                <w:sz w:val="28"/>
                <w:szCs w:val="28"/>
              </w:rPr>
              <w:t>11.4</w:t>
            </w:r>
          </w:p>
        </w:tc>
        <w:tc>
          <w:tcPr>
            <w:tcW w:w="4961" w:type="dxa"/>
            <w:vAlign w:val="center"/>
          </w:tcPr>
          <w:p>
            <w:pPr>
              <w:widowControl/>
              <w:spacing w:line="480" w:lineRule="exact"/>
              <w:jc w:val="center"/>
              <w:rPr>
                <w:rFonts w:ascii="方正黑体简体" w:hAnsi="宋体" w:eastAsia="方正黑体简体" w:cs="宋体"/>
                <w:kern w:val="0"/>
                <w:sz w:val="28"/>
                <w:szCs w:val="28"/>
              </w:rPr>
            </w:pPr>
            <w:r>
              <w:rPr>
                <w:rFonts w:hint="eastAsia" w:ascii="方正黑体简体" w:hAnsi="宋体" w:eastAsia="方正黑体简体" w:cs="宋体"/>
                <w:kern w:val="0"/>
                <w:sz w:val="28"/>
                <w:szCs w:val="28"/>
              </w:rPr>
              <w:t>门诊安全秩序管理</w:t>
            </w:r>
          </w:p>
        </w:tc>
        <w:tc>
          <w:tcPr>
            <w:tcW w:w="851" w:type="dxa"/>
            <w:vAlign w:val="center"/>
          </w:tcPr>
          <w:p>
            <w:pPr>
              <w:spacing w:line="360" w:lineRule="exact"/>
              <w:jc w:val="center"/>
              <w:rPr>
                <w:sz w:val="28"/>
                <w:szCs w:val="28"/>
              </w:rPr>
            </w:pPr>
            <w:r>
              <w:rPr>
                <w:rFonts w:hint="eastAsia"/>
                <w:sz w:val="28"/>
                <w:szCs w:val="28"/>
              </w:rPr>
              <w:t>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Merge w:val="restart"/>
            <w:vAlign w:val="center"/>
          </w:tcPr>
          <w:p>
            <w:pPr>
              <w:jc w:val="center"/>
              <w:rPr>
                <w:sz w:val="28"/>
                <w:szCs w:val="28"/>
              </w:rPr>
            </w:pPr>
            <w:r>
              <w:rPr>
                <w:rFonts w:hint="eastAsia"/>
                <w:sz w:val="28"/>
                <w:szCs w:val="28"/>
              </w:rPr>
              <w:t>12</w:t>
            </w:r>
          </w:p>
        </w:tc>
        <w:tc>
          <w:tcPr>
            <w:tcW w:w="1701" w:type="dxa"/>
            <w:vMerge w:val="restart"/>
            <w:vAlign w:val="center"/>
          </w:tcPr>
          <w:p>
            <w:pPr>
              <w:widowControl/>
              <w:jc w:val="cente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投诉与行风建设</w:t>
            </w:r>
          </w:p>
        </w:tc>
        <w:tc>
          <w:tcPr>
            <w:tcW w:w="992" w:type="dxa"/>
            <w:vAlign w:val="center"/>
          </w:tcPr>
          <w:p>
            <w:pPr>
              <w:spacing w:line="360" w:lineRule="exact"/>
              <w:jc w:val="center"/>
              <w:rPr>
                <w:sz w:val="28"/>
                <w:szCs w:val="28"/>
              </w:rPr>
            </w:pPr>
            <w:r>
              <w:rPr>
                <w:rFonts w:hint="eastAsia"/>
                <w:sz w:val="28"/>
                <w:szCs w:val="28"/>
              </w:rPr>
              <w:t>12.1</w:t>
            </w:r>
          </w:p>
        </w:tc>
        <w:tc>
          <w:tcPr>
            <w:tcW w:w="4961" w:type="dxa"/>
            <w:vAlign w:val="center"/>
          </w:tcPr>
          <w:p>
            <w:pPr>
              <w:widowControl/>
              <w:spacing w:line="480" w:lineRule="exact"/>
              <w:jc w:val="center"/>
              <w:rPr>
                <w:rFonts w:ascii="方正黑体简体" w:hAnsi="宋体" w:eastAsia="方正黑体简体" w:cs="宋体"/>
                <w:kern w:val="0"/>
                <w:sz w:val="28"/>
                <w:szCs w:val="28"/>
              </w:rPr>
            </w:pPr>
            <w:r>
              <w:rPr>
                <w:rFonts w:hint="eastAsia" w:ascii="方正黑体简体" w:hAnsi="宋体" w:eastAsia="方正黑体简体" w:cs="宋体"/>
                <w:kern w:val="0"/>
                <w:sz w:val="28"/>
                <w:szCs w:val="28"/>
              </w:rPr>
              <w:t>医疗投诉受理</w:t>
            </w:r>
          </w:p>
        </w:tc>
        <w:tc>
          <w:tcPr>
            <w:tcW w:w="851" w:type="dxa"/>
            <w:vAlign w:val="center"/>
          </w:tcPr>
          <w:p>
            <w:pPr>
              <w:spacing w:line="360" w:lineRule="exact"/>
              <w:jc w:val="center"/>
              <w:rPr>
                <w:sz w:val="28"/>
                <w:szCs w:val="28"/>
              </w:rPr>
            </w:pPr>
            <w:r>
              <w:rPr>
                <w:rFonts w:hint="eastAsia"/>
                <w:sz w:val="28"/>
                <w:szCs w:val="28"/>
              </w:rPr>
              <w:t>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Merge w:val="continue"/>
          </w:tcPr>
          <w:p>
            <w:pPr>
              <w:jc w:val="center"/>
              <w:rPr>
                <w:sz w:val="28"/>
                <w:szCs w:val="28"/>
              </w:rPr>
            </w:pPr>
          </w:p>
        </w:tc>
        <w:tc>
          <w:tcPr>
            <w:tcW w:w="1701" w:type="dxa"/>
            <w:vMerge w:val="continue"/>
          </w:tcPr>
          <w:p>
            <w:pPr>
              <w:spacing w:line="360" w:lineRule="exact"/>
              <w:jc w:val="center"/>
              <w:rPr>
                <w:sz w:val="28"/>
                <w:szCs w:val="28"/>
              </w:rPr>
            </w:pPr>
          </w:p>
        </w:tc>
        <w:tc>
          <w:tcPr>
            <w:tcW w:w="992" w:type="dxa"/>
            <w:vAlign w:val="center"/>
          </w:tcPr>
          <w:p>
            <w:pPr>
              <w:spacing w:line="360" w:lineRule="exact"/>
              <w:jc w:val="center"/>
              <w:rPr>
                <w:sz w:val="28"/>
                <w:szCs w:val="28"/>
              </w:rPr>
            </w:pPr>
            <w:r>
              <w:rPr>
                <w:rFonts w:hint="eastAsia"/>
                <w:sz w:val="28"/>
                <w:szCs w:val="28"/>
              </w:rPr>
              <w:t>12.2</w:t>
            </w:r>
          </w:p>
        </w:tc>
        <w:tc>
          <w:tcPr>
            <w:tcW w:w="4961" w:type="dxa"/>
            <w:vAlign w:val="center"/>
          </w:tcPr>
          <w:p>
            <w:pPr>
              <w:widowControl/>
              <w:spacing w:line="480" w:lineRule="exact"/>
              <w:jc w:val="center"/>
              <w:rPr>
                <w:rFonts w:ascii="方正黑体简体" w:hAnsi="宋体" w:eastAsia="方正黑体简体" w:cs="宋体"/>
                <w:kern w:val="0"/>
                <w:sz w:val="28"/>
                <w:szCs w:val="28"/>
              </w:rPr>
            </w:pPr>
            <w:r>
              <w:rPr>
                <w:rFonts w:hint="eastAsia" w:ascii="方正黑体简体" w:hAnsi="宋体" w:eastAsia="方正黑体简体" w:cs="宋体"/>
                <w:kern w:val="0"/>
                <w:sz w:val="28"/>
                <w:szCs w:val="28"/>
              </w:rPr>
              <w:t>医疗投诉处理</w:t>
            </w:r>
          </w:p>
        </w:tc>
        <w:tc>
          <w:tcPr>
            <w:tcW w:w="851" w:type="dxa"/>
            <w:vAlign w:val="center"/>
          </w:tcPr>
          <w:p>
            <w:pPr>
              <w:spacing w:line="360" w:lineRule="exact"/>
              <w:jc w:val="center"/>
              <w:rPr>
                <w:sz w:val="28"/>
                <w:szCs w:val="28"/>
              </w:rPr>
            </w:pPr>
            <w:r>
              <w:rPr>
                <w:rFonts w:hint="eastAsia"/>
                <w:sz w:val="28"/>
                <w:szCs w:val="28"/>
              </w:rPr>
              <w:t>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34" w:type="dxa"/>
            <w:vMerge w:val="continue"/>
          </w:tcPr>
          <w:p>
            <w:pPr>
              <w:jc w:val="center"/>
              <w:rPr>
                <w:sz w:val="28"/>
                <w:szCs w:val="28"/>
              </w:rPr>
            </w:pPr>
          </w:p>
        </w:tc>
        <w:tc>
          <w:tcPr>
            <w:tcW w:w="1701" w:type="dxa"/>
            <w:vMerge w:val="continue"/>
          </w:tcPr>
          <w:p>
            <w:pPr>
              <w:spacing w:line="360" w:lineRule="exact"/>
              <w:jc w:val="center"/>
              <w:rPr>
                <w:sz w:val="28"/>
                <w:szCs w:val="28"/>
              </w:rPr>
            </w:pPr>
          </w:p>
        </w:tc>
        <w:tc>
          <w:tcPr>
            <w:tcW w:w="992" w:type="dxa"/>
            <w:vAlign w:val="center"/>
          </w:tcPr>
          <w:p>
            <w:pPr>
              <w:spacing w:line="360" w:lineRule="exact"/>
              <w:jc w:val="center"/>
              <w:rPr>
                <w:sz w:val="28"/>
                <w:szCs w:val="28"/>
              </w:rPr>
            </w:pPr>
            <w:r>
              <w:rPr>
                <w:rFonts w:hint="eastAsia"/>
                <w:sz w:val="28"/>
                <w:szCs w:val="28"/>
              </w:rPr>
              <w:t>12.3</w:t>
            </w:r>
          </w:p>
        </w:tc>
        <w:tc>
          <w:tcPr>
            <w:tcW w:w="4961" w:type="dxa"/>
            <w:vAlign w:val="center"/>
          </w:tcPr>
          <w:p>
            <w:pPr>
              <w:widowControl/>
              <w:spacing w:line="480" w:lineRule="exact"/>
              <w:jc w:val="center"/>
              <w:rPr>
                <w:rFonts w:ascii="方正黑体简体" w:hAnsi="宋体" w:eastAsia="方正黑体简体" w:cs="宋体"/>
                <w:kern w:val="0"/>
                <w:sz w:val="28"/>
                <w:szCs w:val="28"/>
              </w:rPr>
            </w:pPr>
            <w:r>
              <w:rPr>
                <w:rFonts w:hint="eastAsia" w:ascii="方正黑体简体" w:hAnsi="宋体" w:eastAsia="方正黑体简体" w:cs="宋体"/>
                <w:kern w:val="0"/>
                <w:sz w:val="28"/>
                <w:szCs w:val="28"/>
              </w:rPr>
              <w:t>行风投诉处理</w:t>
            </w:r>
          </w:p>
        </w:tc>
        <w:tc>
          <w:tcPr>
            <w:tcW w:w="851" w:type="dxa"/>
            <w:vAlign w:val="center"/>
          </w:tcPr>
          <w:p>
            <w:pPr>
              <w:spacing w:line="360" w:lineRule="exact"/>
              <w:jc w:val="center"/>
              <w:rPr>
                <w:sz w:val="28"/>
                <w:szCs w:val="28"/>
              </w:rPr>
            </w:pPr>
            <w:r>
              <w:rPr>
                <w:rFonts w:hint="eastAsia"/>
                <w:sz w:val="28"/>
                <w:szCs w:val="28"/>
              </w:rPr>
              <w:t>48</w:t>
            </w:r>
          </w:p>
        </w:tc>
      </w:tr>
    </w:tbl>
    <w:p>
      <w:pPr>
        <w:widowControl/>
        <w:jc w:val="left"/>
        <w:rPr>
          <w:b/>
          <w:sz w:val="36"/>
          <w:szCs w:val="36"/>
          <w:u w:val="single"/>
        </w:rPr>
      </w:pPr>
      <w:r>
        <w:rPr>
          <w:b/>
          <w:sz w:val="36"/>
          <w:szCs w:val="36"/>
          <w:u w:val="single"/>
        </w:rPr>
        <w:br w:type="page"/>
      </w:r>
    </w:p>
    <w:p>
      <w:pPr>
        <w:spacing w:beforeLines="50" w:afterLines="50"/>
        <w:jc w:val="center"/>
        <w:rPr>
          <w:b/>
          <w:sz w:val="36"/>
          <w:szCs w:val="36"/>
        </w:rPr>
      </w:pPr>
      <w:r>
        <w:rPr>
          <w:rFonts w:hint="eastAsia"/>
          <w:b/>
          <w:sz w:val="36"/>
          <w:szCs w:val="36"/>
          <w:u w:val="single"/>
        </w:rPr>
        <w:t>（门诊诊疗服务）</w:t>
      </w:r>
      <w:r>
        <w:rPr>
          <w:rFonts w:hint="eastAsia"/>
          <w:b/>
          <w:sz w:val="36"/>
          <w:szCs w:val="36"/>
        </w:rPr>
        <w:t>信息表</w:t>
      </w:r>
    </w:p>
    <w:tbl>
      <w:tblPr>
        <w:tblStyle w:val="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spacing w:line="400" w:lineRule="exact"/>
              <w:jc w:val="left"/>
              <w:rPr>
                <w:sz w:val="28"/>
                <w:szCs w:val="28"/>
              </w:rPr>
            </w:pPr>
            <w:r>
              <w:rPr>
                <w:rFonts w:hint="eastAsia"/>
                <w:sz w:val="28"/>
                <w:szCs w:val="28"/>
              </w:rPr>
              <w:t>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spacing w:line="400" w:lineRule="exact"/>
              <w:jc w:val="left"/>
              <w:rPr>
                <w:rFonts w:asciiTheme="minorEastAsia" w:hAnsiTheme="minorEastAsia"/>
                <w:sz w:val="28"/>
                <w:szCs w:val="28"/>
              </w:rPr>
            </w:pPr>
            <w:r>
              <w:rPr>
                <w:rFonts w:hint="eastAsia" w:asciiTheme="minorEastAsia" w:hAnsiTheme="minorEastAsia"/>
                <w:sz w:val="28"/>
                <w:szCs w:val="28"/>
              </w:rPr>
              <w:t>门诊诊疗服务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spacing w:line="400" w:lineRule="exact"/>
              <w:jc w:val="left"/>
              <w:rPr>
                <w:rFonts w:asciiTheme="minorEastAsia" w:hAnsiTheme="minorEastAsia"/>
                <w:sz w:val="28"/>
                <w:szCs w:val="28"/>
              </w:rPr>
            </w:pPr>
            <w:r>
              <w:rPr>
                <w:rFonts w:hint="eastAsia" w:asciiTheme="minorEastAsia" w:hAnsiTheme="minorEastAsia"/>
                <w:sz w:val="28"/>
                <w:szCs w:val="28"/>
              </w:rPr>
              <w:t>《医疗机构管理条例》第三条医疗机构以救死扶伤，防病治病，为公民的健康服务为宗旨。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spacing w:line="400" w:lineRule="exact"/>
              <w:jc w:val="left"/>
              <w:rPr>
                <w:rFonts w:asciiTheme="minorEastAsia" w:hAnsiTheme="minorEastAsia"/>
                <w:sz w:val="28"/>
                <w:szCs w:val="28"/>
              </w:rPr>
            </w:pPr>
            <w:r>
              <w:rPr>
                <w:rFonts w:hint="eastAsia" w:asciiTheme="minorEastAsia" w:hAnsiTheme="minorEastAsia"/>
                <w:sz w:val="28"/>
                <w:szCs w:val="28"/>
              </w:rPr>
              <w:t>天津市滨海新区海滨人民医院门诊管理部、各临床及医技科室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spacing w:line="400" w:lineRule="exact"/>
              <w:jc w:val="left"/>
              <w:rPr>
                <w:rFonts w:asciiTheme="minorEastAsia" w:hAnsiTheme="minorEastAsia"/>
                <w:sz w:val="28"/>
                <w:szCs w:val="28"/>
              </w:rPr>
            </w:pPr>
            <w:r>
              <w:rPr>
                <w:rFonts w:hint="eastAsia" w:asciiTheme="minorEastAsia" w:hAnsiTheme="minorEastAsia"/>
                <w:sz w:val="28"/>
                <w:szCs w:val="28"/>
              </w:rPr>
              <w:t>天津市滨海新区海滨人民医院门诊管理部、各临床及医技科室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spacing w:line="400" w:lineRule="exact"/>
              <w:jc w:val="left"/>
              <w:rPr>
                <w:rFonts w:asciiTheme="minorEastAsia" w:hAnsiTheme="minorEastAsia"/>
                <w:sz w:val="28"/>
                <w:szCs w:val="28"/>
              </w:rPr>
            </w:pPr>
            <w:r>
              <w:rPr>
                <w:rFonts w:hint="eastAsia" w:asciiTheme="minorEastAsia" w:hAnsiTheme="minorEastAsia"/>
                <w:sz w:val="28"/>
                <w:szCs w:val="28"/>
              </w:rPr>
              <w:t>0.预约挂号。1.挂号或签到。2.就诊。3.检查检验。4.处方。5.取药。6.离院。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spacing w:line="400" w:lineRule="exact"/>
              <w:jc w:val="left"/>
              <w:rPr>
                <w:rFonts w:asciiTheme="minorEastAsia" w:hAnsiTheme="minorEastAsia"/>
                <w:sz w:val="28"/>
                <w:szCs w:val="28"/>
              </w:rPr>
            </w:pPr>
            <w:r>
              <w:rPr>
                <w:rFonts w:hint="eastAsia" w:asciiTheme="minorEastAsia" w:hAnsiTheme="minorEastAsia"/>
                <w:sz w:val="28"/>
                <w:szCs w:val="28"/>
              </w:rPr>
              <w:t>患者本人身份证、医保卡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tabs>
                <w:tab w:val="center" w:pos="938"/>
              </w:tabs>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spacing w:line="400" w:lineRule="exact"/>
              <w:jc w:val="left"/>
              <w:rPr>
                <w:rFonts w:asciiTheme="minorEastAsia" w:hAnsiTheme="minorEastAsia"/>
                <w:sz w:val="28"/>
                <w:szCs w:val="28"/>
              </w:rPr>
            </w:pPr>
            <w:r>
              <w:rPr>
                <w:rFonts w:hint="eastAsia" w:asciiTheme="minorEastAsia" w:hAnsiTheme="minorEastAsia"/>
                <w:sz w:val="28"/>
                <w:szCs w:val="28"/>
              </w:rPr>
              <w:t>依据《医疗机构管理条例》执行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spacing w:line="400" w:lineRule="exact"/>
              <w:rPr>
                <w:rFonts w:asciiTheme="minorEastAsia" w:hAnsiTheme="minorEastAsia"/>
                <w:sz w:val="28"/>
                <w:szCs w:val="28"/>
              </w:rPr>
            </w:pPr>
            <w:r>
              <w:rPr>
                <w:rFonts w:hint="eastAsia" w:asciiTheme="minorEastAsia" w:hAnsiTheme="minorEastAsia"/>
                <w:sz w:val="28"/>
                <w:szCs w:val="28"/>
              </w:rPr>
              <w:t>电话号码：</w:t>
            </w:r>
            <w:r>
              <w:rPr>
                <w:rFonts w:asciiTheme="minorEastAsia" w:hAnsiTheme="minorEastAsia"/>
                <w:sz w:val="28"/>
                <w:szCs w:val="28"/>
              </w:rPr>
              <w:t>022-25924213</w:t>
            </w:r>
          </w:p>
          <w:p>
            <w:pPr>
              <w:spacing w:line="400" w:lineRule="exact"/>
              <w:rPr>
                <w:rFonts w:hint="eastAsia" w:asciiTheme="minorEastAsia" w:hAnsiTheme="minorEastAsia" w:eastAsiaTheme="minorEastAsia"/>
                <w:sz w:val="28"/>
                <w:szCs w:val="28"/>
                <w:lang w:eastAsia="zh-CN"/>
              </w:rPr>
            </w:pPr>
          </w:p>
          <w:p>
            <w:pPr>
              <w:spacing w:line="400" w:lineRule="exact"/>
              <w:rPr>
                <w:rFonts w:asciiTheme="minorEastAsia" w:hAnsiTheme="minorEastAsia"/>
                <w:sz w:val="28"/>
                <w:szCs w:val="28"/>
              </w:rPr>
            </w:pPr>
            <w:r>
              <w:rPr>
                <w:rFonts w:hint="eastAsia" w:asciiTheme="minorEastAsia" w:hAnsiTheme="minorEastAsia"/>
                <w:sz w:val="28"/>
                <w:szCs w:val="28"/>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（护理服务）</w:t>
      </w:r>
      <w:r>
        <w:rPr>
          <w:rFonts w:hint="eastAsia"/>
          <w:b/>
          <w:sz w:val="36"/>
          <w:szCs w:val="36"/>
        </w:rPr>
        <w:t>信息表</w:t>
      </w:r>
    </w:p>
    <w:tbl>
      <w:tblPr>
        <w:tblStyle w:val="4"/>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64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ascii="仿宋_GB2312" w:hAnsi="仿宋" w:eastAsia="仿宋_GB2312" w:cs="宋体"/>
                <w:kern w:val="0"/>
                <w:sz w:val="32"/>
                <w:szCs w:val="30"/>
              </w:rPr>
              <w:t>1.</w:t>
            </w:r>
            <w:r>
              <w:rPr>
                <w:rFonts w:hint="eastAsia" w:ascii="仿宋_GB2312" w:hAnsi="仿宋" w:eastAsia="仿宋_GB2312" w:cs="宋体"/>
                <w:kern w:val="0"/>
                <w:sz w:val="32"/>
                <w:szCs w:val="3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护理服务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《医疗机构管理条例》第三条医疗机构以救死扶伤，防病治病，为公民的健康服务为宗旨。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天津市滨海新区海滨人民医院所属各护理单元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天津市滨海新区海滨人民医院护理部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执行医嘱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取得执业资格，合法开展诊疗护理服务。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snapToGrid w:val="0"/>
              <w:spacing w:line="520" w:lineRule="exact"/>
              <w:jc w:val="left"/>
              <w:rPr>
                <w:rFonts w:hint="eastAsia" w:ascii="仿宋_GB2312" w:hAnsi="仿宋" w:eastAsia="仿宋_GB2312" w:cs="宋体"/>
                <w:kern w:val="0"/>
                <w:sz w:val="32"/>
                <w:szCs w:val="30"/>
                <w:lang w:eastAsia="zh-CN"/>
              </w:rPr>
            </w:pP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spacing w:beforeLines="50" w:afterLines="50"/>
        <w:jc w:val="center"/>
        <w:rPr>
          <w:b/>
          <w:sz w:val="36"/>
          <w:szCs w:val="36"/>
          <w:u w:val="single"/>
        </w:rPr>
      </w:pPr>
      <w:r>
        <w:rPr>
          <w:rFonts w:hint="eastAsia"/>
          <w:b/>
          <w:sz w:val="36"/>
          <w:szCs w:val="36"/>
          <w:u w:val="single"/>
        </w:rPr>
        <w:br w:type="page"/>
      </w:r>
    </w:p>
    <w:p>
      <w:pPr>
        <w:spacing w:beforeLines="50" w:afterLines="50"/>
        <w:jc w:val="center"/>
        <w:rPr>
          <w:b/>
          <w:sz w:val="36"/>
          <w:szCs w:val="36"/>
        </w:rPr>
      </w:pPr>
      <w:r>
        <w:rPr>
          <w:rFonts w:hint="eastAsia"/>
          <w:b/>
          <w:sz w:val="36"/>
          <w:szCs w:val="36"/>
          <w:u w:val="single"/>
        </w:rPr>
        <w:t>复印、复制</w:t>
      </w:r>
      <w:r>
        <w:rPr>
          <w:b/>
          <w:sz w:val="36"/>
          <w:szCs w:val="36"/>
          <w:u w:val="single"/>
        </w:rPr>
        <w:t>客观病</w:t>
      </w:r>
      <w:r>
        <w:rPr>
          <w:rFonts w:hint="eastAsia"/>
          <w:b/>
          <w:sz w:val="36"/>
          <w:szCs w:val="36"/>
          <w:u w:val="single"/>
          <w:lang w:eastAsia="zh-CN"/>
        </w:rPr>
        <w:t>历</w:t>
      </w:r>
      <w:r>
        <w:rPr>
          <w:rFonts w:hint="eastAsia"/>
          <w:b/>
          <w:sz w:val="36"/>
          <w:szCs w:val="36"/>
          <w:u w:val="none"/>
          <w:lang w:eastAsia="zh-CN"/>
        </w:rPr>
        <w:t>信</w:t>
      </w:r>
      <w:r>
        <w:rPr>
          <w:rFonts w:hint="eastAsia"/>
          <w:b/>
          <w:sz w:val="36"/>
          <w:szCs w:val="36"/>
        </w:rPr>
        <w:t>息表</w:t>
      </w:r>
    </w:p>
    <w:tbl>
      <w:tblPr>
        <w:tblStyle w:val="5"/>
        <w:tblW w:w="854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50"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50"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复印、复制客观病历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50"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国家卫生计生委、国家中医药管理局《关于印发《医疗机构病历管理规定(2013年版）》的通知》（国卫医发〔2013〕31号）第十九条 医疗机构应当受理下列人员和机构复制或者查阅病历资料的申请，并依规定提供病历复制或者查阅服务：（一）患者本人或者其委托代理人；（二）死亡患者法定继承人或者其代理人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50"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天津市滨海新区海滨人民医院医务科教部、放射影像科（提供数字影像材料）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50"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医务科教部、放射影像科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50"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1.提交申请材料。2.形式审核申请材料。3.复印或复制。4.复印件盖章。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50"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申请人为患者本人的，应当提供其有效身份证明；2.申请人为患者代理人的，应当提供患者及其代理人的有效身份证明，以及代理人与患者代理关系的法定证明材料和授权委托书；3.申请人为死亡患者法定继承人的，应当提供患者死亡证明、死亡患者法定继承人的有效身份证明，死亡患者与法定继承人关系的法定证明材料；4.申请人为死亡患者法定继承人代理人的，应当提供患者死亡证明、死亡患者法定继承人及其代理人的有效身份证明，死亡患者与法定继承人关系的法定证明材料，代理人与法定继承人代理关系的法定证明材料及授权委托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50"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依据国家卫生计生委、国家中医药管理局《关于印发《医疗机构病历管理规定(2013年版）》的通知》（国卫医发〔2013〕31号）执行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50"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snapToGrid w:val="0"/>
              <w:spacing w:line="520" w:lineRule="exact"/>
              <w:jc w:val="left"/>
              <w:rPr>
                <w:rFonts w:hint="eastAsia" w:ascii="仿宋_GB2312" w:hAnsi="仿宋" w:eastAsia="仿宋_GB2312" w:cs="宋体"/>
                <w:kern w:val="0"/>
                <w:sz w:val="32"/>
                <w:szCs w:val="30"/>
                <w:lang w:eastAsia="zh-CN"/>
              </w:rPr>
            </w:pP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spacing w:beforeLines="50" w:afterLines="50"/>
        <w:jc w:val="center"/>
        <w:rPr>
          <w:b/>
          <w:sz w:val="36"/>
          <w:szCs w:val="36"/>
          <w:u w:val="single"/>
        </w:rPr>
      </w:pPr>
      <w:r>
        <w:rPr>
          <w:rFonts w:hint="eastAsia"/>
          <w:b/>
          <w:sz w:val="36"/>
          <w:szCs w:val="36"/>
          <w:u w:val="single"/>
        </w:rPr>
        <w:br w:type="page"/>
      </w:r>
    </w:p>
    <w:p>
      <w:pPr>
        <w:spacing w:beforeLines="50" w:afterLines="50"/>
        <w:jc w:val="center"/>
        <w:rPr>
          <w:b/>
          <w:sz w:val="36"/>
          <w:szCs w:val="36"/>
        </w:rPr>
      </w:pPr>
      <w:r>
        <w:rPr>
          <w:rFonts w:hint="eastAsia"/>
          <w:b/>
          <w:sz w:val="36"/>
          <w:szCs w:val="36"/>
          <w:u w:val="single"/>
        </w:rPr>
        <w:t>（疾病应急救助基金申请）</w:t>
      </w:r>
      <w:r>
        <w:rPr>
          <w:rFonts w:hint="eastAsia"/>
          <w:b/>
          <w:sz w:val="36"/>
          <w:szCs w:val="36"/>
        </w:rPr>
        <w:t>信息表</w:t>
      </w:r>
    </w:p>
    <w:tbl>
      <w:tblPr>
        <w:tblStyle w:val="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0"/>
        <w:gridCol w:w="64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0"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32"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0"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32"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疾病应急救助基金申请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19" w:hRule="atLeast"/>
          <w:jc w:val="center"/>
        </w:trPr>
        <w:tc>
          <w:tcPr>
            <w:tcW w:w="2090"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32"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《天津市人民政府办公厅关于转发市卫生局等八部门拟定的天津市疾病应急救助制度实施意见的通知》（津政办发 〔2014〕48号）市卫生局牵头，会同市民政局、市公安局、市人力社保局、市残联制定疾病应急救助对象身份审核认定的具体办法。市卫生局牵头，会同市财政局、市民政局、市人力社保局制定疾病应急救助基金的具体支付范围。市卫生局制定疾病应急救助患者取人审批表和疾病应急救助患者医疗费用审核支付表。市卫生局负责制定疾病应急救助制度实施细则及工作流程，严格监督医疗机构畅通绿色通道对患者进行紧急救治、规范救治，查处医疗机构及其工作人员虚报信息套取基金、过度医疗等违法行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0"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32"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天津市滨海新区海滨人民医院医务科教部、相关临床科室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0"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32"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医务科教部负责接收、初审、上报信息。相关临床科室提供规范基础信息。财务科提供原始票据及费用清单。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0"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32"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提出申请，医疗机构审核，向有关部门提交材料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0"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32"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医疗机构收费票据原件或复印件、医疗机构盖章的费用清单、医疗机构盖章的长期、临时医嘱，入院记录、出院小结及住院病案首页复印件或急诊病历复印件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0"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32"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0"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32"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snapToGrid w:val="0"/>
              <w:spacing w:line="520" w:lineRule="exact"/>
              <w:jc w:val="left"/>
              <w:rPr>
                <w:rFonts w:hint="eastAsia" w:ascii="仿宋_GB2312" w:hAnsi="仿宋" w:eastAsia="仿宋_GB2312" w:cs="宋体"/>
                <w:kern w:val="0"/>
                <w:sz w:val="32"/>
                <w:szCs w:val="30"/>
                <w:lang w:eastAsia="zh-CN"/>
              </w:rPr>
            </w:pP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center"/>
        <w:rPr>
          <w:b/>
          <w:sz w:val="36"/>
          <w:szCs w:val="36"/>
          <w:u w:val="single"/>
        </w:rPr>
      </w:pPr>
    </w:p>
    <w:p>
      <w:pPr>
        <w:widowControl/>
        <w:jc w:val="left"/>
        <w:rPr>
          <w:b/>
          <w:sz w:val="36"/>
          <w:szCs w:val="36"/>
          <w:u w:val="single"/>
        </w:rPr>
      </w:pPr>
      <w:r>
        <w:rPr>
          <w:b/>
          <w:sz w:val="36"/>
          <w:szCs w:val="36"/>
          <w:u w:val="single"/>
        </w:rPr>
        <w:br w:type="page"/>
      </w:r>
    </w:p>
    <w:p>
      <w:pPr>
        <w:widowControl/>
        <w:jc w:val="center"/>
        <w:rPr>
          <w:b/>
          <w:sz w:val="28"/>
          <w:szCs w:val="28"/>
          <w:u w:val="single"/>
        </w:rPr>
      </w:pPr>
      <w:r>
        <w:rPr>
          <w:rFonts w:hint="eastAsia"/>
          <w:b/>
          <w:sz w:val="36"/>
          <w:szCs w:val="36"/>
          <w:u w:val="single"/>
        </w:rPr>
        <w:t>（公安、司法、人力资源社会保障、保险以及负责医疗事故技术鉴定的部门审核、查阅或者复制病历资料）</w:t>
      </w:r>
      <w:r>
        <w:rPr>
          <w:rFonts w:hint="eastAsia"/>
          <w:b/>
          <w:sz w:val="36"/>
          <w:szCs w:val="36"/>
        </w:rPr>
        <w:t>信息表</w:t>
      </w:r>
    </w:p>
    <w:tbl>
      <w:tblPr>
        <w:tblStyle w:val="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公安、司法、人力资源社会保障、保险以及负责医疗事故技术鉴定的部门审核、查阅或者复制病历资料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snapToGrid w:val="0"/>
              <w:spacing w:line="48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国家卫生计生委、国家中医药管理局《关于印发《医疗机构病历管理规定(2013年版）》的通知》（国卫医发〔2013〕31号）第二十条公安、司法、人力资源社会保障、保险以及负责医疗事故技术鉴定的部门，因办理案件、依法实施专业技术鉴定、医疗保险审核或仲裁、商业保险审核等需要，提出审核、查阅或者复制病历资料要求的,经办人员提供以下证明材料后，医疗机构可以根据需要提供患者部分或全部病历：（一）该行政机关、司法机关、保险或者负责医疗事故技术鉴定部门出具的调取病历的法定证明；（二）经办人本人有效身份证明；（三）经办人本人有效工作证明（需与该行政机关、司法机关、保险或者负责医疗事故技术鉴定部门一致）。</w:t>
            </w:r>
          </w:p>
          <w:p>
            <w:pPr>
              <w:snapToGrid w:val="0"/>
              <w:spacing w:line="48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保险机构因商业保险审核等需要，提出审核、查阅或者复制病历资料要求的,还应当提供保险合同复印件、患者本人或者其代理人同意的法定证明材料;患者死亡的，应当提供保险合同复印件、死亡患者法定继承人或者其代理人同意的法定证明材料。合同或者法律另有规定的除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天津市滨海新区海滨人民医院医务科教部、放射影像科（提供数字影像材料）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医务科教部、放射影像科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提交申请材料。2.形式审核申请材料。</w:t>
            </w: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3.复印或复制。4.复印件盖章。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snapToGrid w:val="0"/>
              <w:spacing w:line="48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该行政机关、司法机关、保险或者负责医疗事故技术鉴定部门出具的调取病历的法定证明；2.经办人本人有效身份证明；3.经办人本人有效工作证明（需与该行政机关、司法机关、保险或者负责医疗事故技术鉴定部门一致）。</w:t>
            </w:r>
          </w:p>
          <w:p>
            <w:pPr>
              <w:snapToGrid w:val="0"/>
              <w:spacing w:line="48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保险机构因商业保险审核等需要，提出审核、查阅或者复制病历资料要求的,还应当提供保险合同复印件、患者本人或者其代理人同意的法定证明材料;患者死亡的，应当提供保险合同复印件、死亡患者法定继承人或者其代理人同意的法定证明材料。合同或者法律另有规定的除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依据国家卫生计生委、国家中医药管理局《关于印发《医疗机构病历管理规定(2013年版）》的通知》（国卫医发〔2013〕31号）执行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snapToGrid w:val="0"/>
              <w:spacing w:line="520" w:lineRule="exact"/>
              <w:jc w:val="left"/>
              <w:rPr>
                <w:rFonts w:hint="eastAsia" w:ascii="仿宋_GB2312" w:hAnsi="仿宋" w:eastAsia="仿宋_GB2312" w:cs="宋体"/>
                <w:kern w:val="0"/>
                <w:sz w:val="32"/>
                <w:szCs w:val="30"/>
                <w:lang w:eastAsia="zh-CN"/>
              </w:rPr>
            </w:pP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36"/>
          <w:szCs w:val="36"/>
          <w:u w:val="single"/>
        </w:rPr>
      </w:pPr>
      <w:r>
        <w:rPr>
          <w:b/>
          <w:sz w:val="36"/>
          <w:szCs w:val="36"/>
          <w:u w:val="single"/>
        </w:rPr>
        <w:br w:type="page"/>
      </w:r>
    </w:p>
    <w:p>
      <w:pPr>
        <w:widowControl/>
        <w:jc w:val="center"/>
        <w:rPr>
          <w:b/>
          <w:sz w:val="36"/>
          <w:szCs w:val="36"/>
        </w:rPr>
      </w:pPr>
      <w:r>
        <w:rPr>
          <w:rFonts w:hint="eastAsia"/>
          <w:b/>
          <w:sz w:val="36"/>
          <w:szCs w:val="36"/>
          <w:u w:val="single"/>
        </w:rPr>
        <w:t>（住院病历的封存和启封）</w:t>
      </w:r>
      <w:r>
        <w:rPr>
          <w:rFonts w:hint="eastAsia"/>
          <w:b/>
          <w:sz w:val="36"/>
          <w:szCs w:val="36"/>
        </w:rPr>
        <w:t>信息表</w:t>
      </w:r>
    </w:p>
    <w:tbl>
      <w:tblPr>
        <w:tblStyle w:val="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住院病历的封存和启封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35"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国家卫生计生委、国家中医药管理局《关于印发《医疗机构病历管理规定(2013年版）》的通知》（国卫医发〔2013〕31号）第二十四条  依法需要封存病历时，应当在医疗机构或者其委托代理人、患者或者其代理人在场的情况下，对病历共同进行确认，签封病历复制件。</w:t>
            </w: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医疗机构申请封存病历时，医疗机构应当告知患者或者其代理人共同实施病历封存；但患者或者其代理人拒绝或者放弃实施病历封存的，医疗机构可以在公证机构公证的情况下，对病历进行确认，由公证机构签封病历复制件。</w:t>
            </w: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第二十七条  开启封存病历应当在签封各方在场的情况下实施。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w:t>
            </w:r>
            <w:r>
              <w:rPr>
                <w:rFonts w:ascii="仿宋_GB2312" w:hAnsi="仿宋" w:eastAsia="仿宋_GB2312" w:cs="宋体"/>
                <w:kern w:val="0"/>
                <w:sz w:val="32"/>
                <w:szCs w:val="30"/>
              </w:rPr>
              <w:t>人民医院医务科教部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封存：1.医疗机构或者其委托代理人、患者或者其代理人在场。2.对病历共同进行确认。3.签封病历复制件。4.医疗机构保存签封病历。启封：1.签封各方在场。2.启封。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1.医疗机构或者其委托代理人、患者或者其代理人在场。</w:t>
            </w: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2.医疗机构申请封存病历时，医疗机构应当告知患者或者其代理人共同实施病历封存；但患者或者其代理人拒绝或者放弃实施病历封存的，医疗机构可以在公证机构公证的情况下，对病历进行确认，由公证机构签封病历复制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依据国家卫生计生委、国家中医药管理局《关于印发《医疗机构病历管理规定(2013年版）》的通知》（国卫医发〔2013〕31号）执行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snapToGrid w:val="0"/>
              <w:spacing w:line="520" w:lineRule="exact"/>
              <w:jc w:val="left"/>
              <w:rPr>
                <w:rFonts w:hint="eastAsia" w:ascii="仿宋_GB2312" w:hAnsi="仿宋" w:eastAsia="仿宋_GB2312" w:cs="宋体"/>
                <w:kern w:val="0"/>
                <w:sz w:val="32"/>
                <w:szCs w:val="30"/>
                <w:lang w:eastAsia="zh-CN"/>
              </w:rPr>
            </w:pP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spacing w:beforeLines="50" w:afterLines="50"/>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（义诊）</w:t>
      </w:r>
      <w:r>
        <w:rPr>
          <w:rFonts w:hint="eastAsia"/>
          <w:b/>
          <w:sz w:val="36"/>
          <w:szCs w:val="36"/>
        </w:rPr>
        <w:t>信息表</w:t>
      </w:r>
    </w:p>
    <w:tbl>
      <w:tblPr>
        <w:tblStyle w:val="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义诊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原卫生部《关于组织义诊活动实行备案管理的通知》（卫医发〔2001〕365号）、《市卫生计生委关于进一步加强我市义诊活动管理的通知》（津卫医政〔2016〕308号）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天津市滨海新区海滨人民医院党委办公室（审计办公室）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天津市滨海新区海滨人民医院党委办公室（审计办公室）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1.制定义诊计划。</w:t>
            </w:r>
            <w:r>
              <w:rPr>
                <w:rFonts w:ascii="仿宋_GB2312" w:hAnsi="仿宋" w:eastAsia="仿宋_GB2312" w:cs="宋体"/>
                <w:kern w:val="0"/>
                <w:sz w:val="32"/>
                <w:szCs w:val="30"/>
              </w:rPr>
              <w:t>2.</w:t>
            </w:r>
            <w:r>
              <w:rPr>
                <w:rFonts w:hint="eastAsia" w:ascii="仿宋_GB2312" w:hAnsi="仿宋" w:eastAsia="仿宋_GB2312" w:cs="宋体"/>
                <w:kern w:val="0"/>
                <w:sz w:val="32"/>
                <w:szCs w:val="30"/>
              </w:rPr>
              <w:t>组织医疗机构和医务人员。</w:t>
            </w: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3.开展义诊。4.进行宣传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snapToGrid w:val="0"/>
              <w:spacing w:line="520" w:lineRule="exact"/>
              <w:jc w:val="left"/>
              <w:rPr>
                <w:rFonts w:hint="eastAsia" w:ascii="仿宋_GB2312" w:hAnsi="仿宋" w:eastAsia="仿宋_GB2312" w:cs="宋体"/>
                <w:kern w:val="0"/>
                <w:sz w:val="32"/>
                <w:szCs w:val="30"/>
                <w:lang w:eastAsia="zh-CN"/>
              </w:rPr>
            </w:pP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（卫统表上报）</w:t>
      </w:r>
      <w:r>
        <w:rPr>
          <w:rFonts w:hint="eastAsia"/>
          <w:b/>
          <w:sz w:val="36"/>
          <w:szCs w:val="36"/>
        </w:rPr>
        <w:t>信息表</w:t>
      </w:r>
    </w:p>
    <w:tbl>
      <w:tblPr>
        <w:tblStyle w:val="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卫统表上报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《中华人民共和国统计法》第七条、第十五条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天津市滨海新区海滨人民医院医务科教部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统计室负责从各科收集数据、填写报表，审核后上报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卫统表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snapToGrid w:val="0"/>
              <w:spacing w:line="520" w:lineRule="exact"/>
              <w:jc w:val="left"/>
              <w:rPr>
                <w:rFonts w:hint="eastAsia" w:ascii="仿宋_GB2312" w:hAnsi="仿宋" w:eastAsia="仿宋_GB2312" w:cs="宋体"/>
                <w:kern w:val="0"/>
                <w:sz w:val="32"/>
                <w:szCs w:val="30"/>
                <w:lang w:eastAsia="zh-CN"/>
              </w:rPr>
            </w:pP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spacing w:beforeLines="50" w:afterLines="50"/>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（各项监测</w:t>
      </w:r>
      <w:r>
        <w:rPr>
          <w:b/>
          <w:sz w:val="36"/>
          <w:szCs w:val="36"/>
          <w:u w:val="single"/>
        </w:rPr>
        <w:t>报表上报</w:t>
      </w:r>
      <w:r>
        <w:rPr>
          <w:rFonts w:hint="eastAsia"/>
          <w:b/>
          <w:sz w:val="36"/>
          <w:szCs w:val="36"/>
          <w:u w:val="single"/>
        </w:rPr>
        <w:t>）</w:t>
      </w:r>
      <w:r>
        <w:rPr>
          <w:rFonts w:hint="eastAsia"/>
          <w:b/>
          <w:sz w:val="36"/>
          <w:szCs w:val="36"/>
        </w:rPr>
        <w:t>信息表</w:t>
      </w:r>
    </w:p>
    <w:tbl>
      <w:tblPr>
        <w:tblStyle w:val="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各项监测报表上报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《医疗质量管理办法》（国家卫生和计划生育委员会令第十号）第二十六条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天津市滨海新区海滨人民医院医务科教部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医务科教部负责收取监测表、质量控制、护理、医院感染管理、医学工程、信息、后勤等相关职能部门负责人以及相关临床、药学、医技等科室提供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snapToGrid w:val="0"/>
              <w:spacing w:line="520" w:lineRule="exact"/>
              <w:jc w:val="left"/>
              <w:rPr>
                <w:rFonts w:hint="eastAsia" w:ascii="仿宋_GB2312" w:hAnsi="仿宋" w:eastAsia="仿宋_GB2312" w:cs="宋体"/>
                <w:kern w:val="0"/>
                <w:sz w:val="32"/>
                <w:szCs w:val="30"/>
                <w:lang w:eastAsia="zh-CN"/>
              </w:rPr>
            </w:pP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（人员培训进修）</w:t>
      </w:r>
      <w:r>
        <w:rPr>
          <w:rFonts w:hint="eastAsia"/>
          <w:b/>
          <w:sz w:val="36"/>
          <w:szCs w:val="36"/>
        </w:rPr>
        <w:t>信息表</w:t>
      </w:r>
    </w:p>
    <w:tbl>
      <w:tblPr>
        <w:tblStyle w:val="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人员培训进修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《天津市滨海新区海滨人民医院员工培训管理办法》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天津市滨海新区海滨人民医院组织人事部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天津市滨海新区海滨人民医院组织人事部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科室或个人制定计划—科教科审阅确定—相关环节领导签字—事项落实—与项目责任人沟通确认—岗前培训—持续跟踪事项进展及完成情况—确保在时间节点内完成相关事项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1.严格把关相关申请是否符合医院规定；</w:t>
            </w: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2.及时与项目负责人沟通，及时评估项目完成情况及项目负责人收益；</w:t>
            </w: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3.持续监督，把控时间节点。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电话号码：022-25924213</w:t>
            </w:r>
          </w:p>
          <w:p>
            <w:pPr>
              <w:snapToGrid w:val="0"/>
              <w:spacing w:line="520" w:lineRule="exact"/>
              <w:jc w:val="left"/>
              <w:rPr>
                <w:rFonts w:hint="eastAsia" w:ascii="仿宋_GB2312" w:hAnsi="仿宋" w:eastAsia="仿宋_GB2312" w:cs="宋体"/>
                <w:kern w:val="0"/>
                <w:sz w:val="32"/>
                <w:szCs w:val="30"/>
                <w:lang w:eastAsia="zh-CN"/>
              </w:rPr>
            </w:pP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（卫生技术人员继续教育）</w:t>
      </w:r>
      <w:r>
        <w:rPr>
          <w:rFonts w:hint="eastAsia"/>
          <w:b/>
          <w:sz w:val="36"/>
          <w:szCs w:val="36"/>
        </w:rPr>
        <w:t>信息表</w:t>
      </w:r>
    </w:p>
    <w:tbl>
      <w:tblPr>
        <w:tblStyle w:val="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卫生技术人员继续教育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69"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中华人民共和国教育法》、《中华人民共和国科学技术进步法》、《专业技术人员继续教育规定》(人力资源社会保障部令第25号）、《天津市专业技术人员和管理人员继续教育条例》、《市人力社保局关于进一步规范专业技术人员继续教育工作的通知》（津人社局发〔2014〕51号）、《天津市专业技术人员和管理人员继续教育证书登记及考核管理办法》（津人社局发〔2014〕46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天津市滨海新区海滨人民医院组织人事部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确定继教项目——培训——考核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1.负责制定全年继续教育培训计划；2.组织开展继续教育培训，确保完成培训任务；3.对参训人员进行考核，发放继续教育合格证。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snapToGrid w:val="0"/>
              <w:spacing w:line="520" w:lineRule="exact"/>
              <w:jc w:val="left"/>
              <w:rPr>
                <w:rFonts w:hint="eastAsia" w:ascii="仿宋_GB2312" w:hAnsi="仿宋" w:eastAsia="仿宋_GB2312" w:cs="宋体"/>
                <w:kern w:val="0"/>
                <w:sz w:val="32"/>
                <w:szCs w:val="30"/>
                <w:lang w:eastAsia="zh-CN"/>
              </w:rPr>
            </w:pP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（实习医生管理）</w:t>
      </w:r>
      <w:r>
        <w:rPr>
          <w:rFonts w:hint="eastAsia"/>
          <w:b/>
          <w:sz w:val="36"/>
          <w:szCs w:val="36"/>
        </w:rPr>
        <w:t>信息表</w:t>
      </w:r>
    </w:p>
    <w:tbl>
      <w:tblPr>
        <w:tblStyle w:val="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实习医生管理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《关于印发〈普通高等医学院校临床教学基地管理暂行规定〉的通知》（教高〔1992〕8号）</w:t>
            </w: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《医学教育临床实践管理暂行规定》（卫科教发〔2008〕45号）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天津市滨海新区海滨人民医院医务科教部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相应轮转临床科室配合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培训细则。2.入科教育。</w:t>
            </w: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3.出科考核。4.结业考核。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依据《关于印发〈普通高等医学院校临床教学基地管理暂行规定〉的通知》（教高〔1992〕8号）;《医学教育临床实践管理暂行规定》（卫科教发〔2008〕45号）执行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snapToGrid w:val="0"/>
              <w:spacing w:line="520" w:lineRule="exact"/>
              <w:jc w:val="left"/>
              <w:rPr>
                <w:rFonts w:hint="eastAsia" w:ascii="仿宋_GB2312" w:hAnsi="仿宋" w:eastAsia="仿宋_GB2312" w:cs="宋体"/>
                <w:kern w:val="0"/>
                <w:sz w:val="32"/>
                <w:szCs w:val="30"/>
                <w:lang w:eastAsia="zh-CN"/>
              </w:rPr>
            </w:pP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（进修医师管理）</w:t>
      </w:r>
      <w:r>
        <w:rPr>
          <w:rFonts w:hint="eastAsia"/>
          <w:b/>
          <w:sz w:val="36"/>
          <w:szCs w:val="36"/>
        </w:rPr>
        <w:t>信息表</w:t>
      </w:r>
    </w:p>
    <w:tbl>
      <w:tblPr>
        <w:tblStyle w:val="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进修医师管理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国家卫生计生委《医师执业注册管理办法》（国家卫生计划生育委员会令第13号）第二十条第二款医师因参加培训需要注册或者变更注册的，应当按照本办法规定办理相关手续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天津市滨海新区海滨人民医院医务科教部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相关专业临床科室配合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培训细则。2.入科教育。</w:t>
            </w: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3.出科考核。4.结业考核。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依据国家卫生计生委《医师执业注册管理办法》（国家卫生计划生育委员会令第13号）执行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snapToGrid w:val="0"/>
              <w:spacing w:line="520" w:lineRule="exact"/>
              <w:jc w:val="left"/>
              <w:rPr>
                <w:rFonts w:hint="eastAsia" w:ascii="仿宋_GB2312" w:hAnsi="仿宋" w:eastAsia="仿宋_GB2312" w:cs="宋体"/>
                <w:kern w:val="0"/>
                <w:sz w:val="32"/>
                <w:szCs w:val="30"/>
                <w:lang w:eastAsia="zh-CN"/>
              </w:rPr>
            </w:pP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（开具医学诊断证明书）</w:t>
      </w:r>
      <w:r>
        <w:rPr>
          <w:rFonts w:hint="eastAsia"/>
          <w:b/>
          <w:sz w:val="36"/>
          <w:szCs w:val="36"/>
        </w:rPr>
        <w:t>信息表</w:t>
      </w:r>
    </w:p>
    <w:tbl>
      <w:tblPr>
        <w:tblStyle w:val="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开具医学诊断证明书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9"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snapToGrid w:val="0"/>
              <w:spacing w:line="480" w:lineRule="exact"/>
              <w:jc w:val="left"/>
              <w:rPr>
                <w:rFonts w:ascii="仿宋_GB2312" w:hAnsi="仿宋" w:eastAsia="仿宋_GB2312" w:cs="宋体"/>
                <w:kern w:val="0"/>
                <w:sz w:val="32"/>
                <w:szCs w:val="32"/>
              </w:rPr>
            </w:pPr>
            <w:r>
              <w:rPr>
                <w:rFonts w:hint="eastAsia" w:ascii="仿宋_GB2312" w:hAnsi="仿宋" w:eastAsia="仿宋_GB2312" w:cs="宋体"/>
                <w:kern w:val="0"/>
                <w:sz w:val="32"/>
                <w:szCs w:val="32"/>
              </w:rPr>
              <w:t>津卫医〔2008〕387号</w:t>
            </w:r>
          </w:p>
          <w:p>
            <w:pPr>
              <w:snapToGrid w:val="0"/>
              <w:spacing w:line="480" w:lineRule="exact"/>
              <w:jc w:val="left"/>
              <w:rPr>
                <w:rFonts w:ascii="仿宋_GB2312" w:hAnsi="仿宋" w:eastAsia="仿宋_GB2312" w:cs="宋体"/>
                <w:kern w:val="0"/>
                <w:sz w:val="32"/>
                <w:szCs w:val="32"/>
              </w:rPr>
            </w:pPr>
            <w:r>
              <w:rPr>
                <w:rFonts w:hint="eastAsia" w:ascii="仿宋_GB2312" w:hAnsi="仿宋" w:eastAsia="仿宋_GB2312" w:cs="宋体"/>
                <w:kern w:val="0"/>
                <w:sz w:val="32"/>
                <w:szCs w:val="32"/>
              </w:rPr>
              <w:t>第四条医师开具的诊断证明书、休假证明，日期应填写就诊当日，当日盖章有效。原则上，急诊开具病休假时间一般不超过3天，门诊不超1周，慢性病不超过2周，特殊情况不超过1个月。</w:t>
            </w:r>
          </w:p>
          <w:p>
            <w:pPr>
              <w:snapToGrid w:val="0"/>
              <w:spacing w:line="480" w:lineRule="exact"/>
              <w:jc w:val="left"/>
              <w:rPr>
                <w:rFonts w:ascii="仿宋_GB2312" w:hAnsi="仿宋" w:eastAsia="仿宋_GB2312" w:cs="宋体"/>
                <w:kern w:val="0"/>
                <w:sz w:val="32"/>
                <w:szCs w:val="32"/>
              </w:rPr>
            </w:pPr>
            <w:r>
              <w:rPr>
                <w:rFonts w:hint="eastAsia" w:ascii="仿宋_GB2312" w:hAnsi="仿宋" w:eastAsia="仿宋_GB2312" w:cs="宋体"/>
                <w:kern w:val="0"/>
                <w:sz w:val="32"/>
                <w:szCs w:val="32"/>
              </w:rPr>
              <w:t>第五条 诊断证明、休假证明只证明病人疾病诊断和是否需要病休以及时间或医疗建议，不得出现疗养、免夜班等非临床医学治疗内容，不应提及与医疗不相关的其他处理意见。</w:t>
            </w:r>
          </w:p>
          <w:p>
            <w:pPr>
              <w:snapToGrid w:val="0"/>
              <w:spacing w:line="480" w:lineRule="exact"/>
              <w:jc w:val="left"/>
              <w:rPr>
                <w:rFonts w:ascii="仿宋_GB2312" w:hAnsi="仿宋" w:eastAsia="仿宋_GB2312" w:cs="宋体"/>
                <w:kern w:val="0"/>
                <w:sz w:val="32"/>
                <w:szCs w:val="32"/>
              </w:rPr>
            </w:pPr>
            <w:r>
              <w:rPr>
                <w:rFonts w:hint="eastAsia" w:ascii="仿宋_GB2312" w:hAnsi="仿宋" w:eastAsia="仿宋_GB2312" w:cs="宋体"/>
                <w:kern w:val="0"/>
                <w:sz w:val="32"/>
                <w:szCs w:val="32"/>
              </w:rPr>
              <w:t>第六条 凡涉及司法办案需要的证明，以及用于因病退休、伤害、残疾、工伤、劳动鉴定、保险索赔、办理低保、生育第二胎等特殊诊断证明，由当事人或家属持公检法、交通管理、劳动保障等相关部门的介绍信，经医院管理部门审核后，由相应科室医师按照相关规定开具诊断证明。</w:t>
            </w:r>
          </w:p>
          <w:p>
            <w:pPr>
              <w:snapToGrid w:val="0"/>
              <w:spacing w:line="48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2"/>
              </w:rPr>
              <w:t>《执业医师法》第21条规定，医师享有在注册执业范围内，进行医学检查，疾病调查，医学处理，出具相应的医学诊断证明文件，选择合理的医疗、预防保健的权力。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天津市滨海新区海滨人民医院门诊管理部、临床科室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天津市滨海新区海滨人民临床科室医生开证明、门诊管理部审核盖章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医生根据病情，根据文件规定开具，由门诊管理部审核盖章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需要患者本人及相关检查资料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依据津卫医〔2008〕387号、《执业医师法》规定执行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snapToGrid w:val="0"/>
              <w:spacing w:line="520" w:lineRule="exact"/>
              <w:jc w:val="left"/>
              <w:rPr>
                <w:rFonts w:hint="eastAsia" w:ascii="仿宋_GB2312" w:hAnsi="仿宋" w:eastAsia="仿宋_GB2312" w:cs="宋体"/>
                <w:kern w:val="0"/>
                <w:sz w:val="32"/>
                <w:szCs w:val="30"/>
                <w:lang w:eastAsia="zh-CN"/>
              </w:rPr>
            </w:pP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（开具医学出生证明）</w:t>
      </w:r>
      <w:r>
        <w:rPr>
          <w:rFonts w:hint="eastAsia"/>
          <w:b/>
          <w:sz w:val="36"/>
          <w:szCs w:val="36"/>
        </w:rPr>
        <w:t>信息表</w:t>
      </w:r>
    </w:p>
    <w:tbl>
      <w:tblPr>
        <w:tblStyle w:val="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开具医学出生证明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5"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1.中华人民共和国母婴保健法（中华人民共和国主席令第33号）第二十三条</w:t>
            </w: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2.《卫生部关于进一步加强出生证明管理的通知》（妇卫社发〔2009〕96号）。</w:t>
            </w: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3.《关于启用和规范管理新版出生医学证明的通知》（国卫幼发〔2013〕52号）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天津市滨海新区海滨人民医院妇产科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妇产科为主，医院感染管理部（公共卫生管理部）督导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1.妇产科采集产妇信息填写出生医学调查表，开具医学出生证明。2.妇产科主管人员进行复核、盖章。3.网络直报。4.医院感染管理部（公共卫生管理部）督导落实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1.产妇在本单位妇产科生产 </w:t>
            </w: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2.凭新生儿父母双方身份证原件及复印件。</w:t>
            </w: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3.确定婴儿性别及姓名。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按照《卫生部关于进一步加强出生证明管理的通知》执行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电话号码：022-25924213</w:t>
            </w:r>
          </w:p>
          <w:p>
            <w:pPr>
              <w:snapToGrid w:val="0"/>
              <w:spacing w:line="520" w:lineRule="exact"/>
              <w:jc w:val="left"/>
              <w:rPr>
                <w:rFonts w:hint="eastAsia" w:ascii="仿宋_GB2312" w:hAnsi="仿宋" w:eastAsia="仿宋_GB2312" w:cs="宋体"/>
                <w:kern w:val="0"/>
                <w:sz w:val="32"/>
                <w:szCs w:val="30"/>
                <w:lang w:eastAsia="zh-CN"/>
              </w:rPr>
            </w:pP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（开具居民死亡医学证明（推断）书）</w:t>
      </w:r>
      <w:r>
        <w:rPr>
          <w:rFonts w:hint="eastAsia"/>
          <w:b/>
          <w:sz w:val="36"/>
          <w:szCs w:val="36"/>
        </w:rPr>
        <w:t>信息表</w:t>
      </w:r>
    </w:p>
    <w:tbl>
      <w:tblPr>
        <w:tblStyle w:val="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2"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开具居民死亡医学证明（推断）书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snapToGrid w:val="0"/>
              <w:spacing w:line="48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1.国卫办规划发〔2014〕68号 国家卫计委办公厅关于印发认可死亡信息登记管理规范（试行）的通知</w:t>
            </w:r>
          </w:p>
          <w:p>
            <w:pPr>
              <w:snapToGrid w:val="0"/>
              <w:spacing w:line="48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2.津卫办〔2014〕7号 市卫生局关于印发天津市认可死亡信息登记管理规范的通知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snapToGrid w:val="0"/>
              <w:spacing w:line="48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天津市滨海新区海滨人民医院医院感染管理部（公共卫生管理部）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snapToGrid w:val="0"/>
              <w:spacing w:line="48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医院感染管理部（公共卫生管理部）为主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snapToGrid w:val="0"/>
              <w:spacing w:line="48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1.院内死亡者，签发《居民死亡医学证明（推断）》时，由死者第一顺序继承人前来办理。2.由负责医师填写。3.家属确认填写无误后签字。4.急诊医学</w:t>
            </w:r>
            <w:r>
              <w:rPr>
                <w:rFonts w:hint="eastAsia" w:ascii="仿宋_GB2312" w:hAnsi="仿宋" w:eastAsia="仿宋_GB2312" w:cs="宋体"/>
                <w:kern w:val="0"/>
                <w:sz w:val="32"/>
                <w:szCs w:val="30"/>
                <w:lang w:eastAsia="zh-CN"/>
              </w:rPr>
              <w:t>科</w:t>
            </w:r>
            <w:r>
              <w:rPr>
                <w:rFonts w:hint="eastAsia" w:ascii="仿宋_GB2312" w:hAnsi="仿宋" w:eastAsia="仿宋_GB2312" w:cs="宋体"/>
                <w:kern w:val="0"/>
                <w:sz w:val="32"/>
                <w:szCs w:val="30"/>
              </w:rPr>
              <w:t>盖章，医院感染管理部（公共卫生管理部）网上直报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snapToGrid w:val="0"/>
              <w:spacing w:line="48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签发《居民死亡医学证明（推断）》由死者第一顺位继承人或者委托人（委托人需提供委托证明）携带死者的户口本、身份证及本人身份证前来办理。由负责医师或者接诊执业医师签发。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snapToGrid w:val="0"/>
              <w:spacing w:line="48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按照《天津市认可死亡信息登记管理规范》执行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snapToGrid w:val="0"/>
              <w:spacing w:line="48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snapToGrid w:val="0"/>
              <w:spacing w:line="480" w:lineRule="exact"/>
              <w:jc w:val="left"/>
              <w:rPr>
                <w:rFonts w:hint="eastAsia" w:ascii="仿宋_GB2312" w:hAnsi="仿宋" w:eastAsia="仿宋_GB2312" w:cs="宋体"/>
                <w:kern w:val="0"/>
                <w:sz w:val="32"/>
                <w:szCs w:val="30"/>
                <w:lang w:eastAsia="zh-CN"/>
              </w:rPr>
            </w:pPr>
          </w:p>
          <w:p>
            <w:pPr>
              <w:snapToGrid w:val="0"/>
              <w:spacing w:line="48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spacing w:beforeLines="50" w:afterLines="50"/>
        <w:jc w:val="center"/>
        <w:rPr>
          <w:b/>
          <w:sz w:val="36"/>
          <w:szCs w:val="36"/>
        </w:rPr>
      </w:pPr>
      <w:r>
        <w:rPr>
          <w:rFonts w:hint="eastAsia"/>
          <w:b/>
          <w:sz w:val="36"/>
          <w:szCs w:val="36"/>
          <w:u w:val="single"/>
        </w:rPr>
        <w:t>（医保患者结算）</w:t>
      </w:r>
      <w:r>
        <w:rPr>
          <w:rFonts w:hint="eastAsia"/>
          <w:b/>
          <w:sz w:val="36"/>
          <w:szCs w:val="36"/>
        </w:rPr>
        <w:t>信息表</w:t>
      </w:r>
    </w:p>
    <w:tbl>
      <w:tblPr>
        <w:tblStyle w:val="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医保患者结算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《天津市城镇职工基本医疗保险规定》、《天津市城镇居民基本医疗保险规定》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天津市滨海新区海滨人民医院医疗保险部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天津市滨海新区海滨人民医院医疗保险部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医疗保险部审核-结算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snapToGrid w:val="0"/>
              <w:spacing w:line="520" w:lineRule="exact"/>
              <w:jc w:val="left"/>
              <w:rPr>
                <w:rFonts w:hint="eastAsia" w:ascii="仿宋_GB2312" w:hAnsi="仿宋" w:eastAsia="仿宋_GB2312" w:cs="宋体"/>
                <w:kern w:val="0"/>
                <w:sz w:val="32"/>
                <w:szCs w:val="30"/>
                <w:lang w:eastAsia="zh-CN"/>
              </w:rPr>
            </w:pP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spacing w:beforeLines="50" w:afterLines="50"/>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（城乡门诊登记）</w:t>
      </w:r>
      <w:r>
        <w:rPr>
          <w:rFonts w:hint="eastAsia"/>
          <w:b/>
          <w:sz w:val="36"/>
          <w:szCs w:val="36"/>
        </w:rPr>
        <w:t>信息表</w:t>
      </w:r>
    </w:p>
    <w:tbl>
      <w:tblPr>
        <w:tblStyle w:val="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城乡门诊登记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市社保中心关于转发《市人力社保局关于配合全市公立医院改革医疗服务价格调整做好医保支付工作的通知》的通知津社保〔2016〕39号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天津市滨海新区海滨人民医院医疗保险部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天津市滨海新区海滨人民医院医疗保险部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新增/变更-申请-备案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snapToGrid w:val="0"/>
              <w:spacing w:line="520" w:lineRule="exact"/>
              <w:jc w:val="left"/>
              <w:rPr>
                <w:rFonts w:hint="eastAsia" w:ascii="仿宋_GB2312" w:hAnsi="仿宋" w:eastAsia="仿宋_GB2312" w:cs="宋体"/>
                <w:kern w:val="0"/>
                <w:sz w:val="32"/>
                <w:szCs w:val="30"/>
                <w:lang w:eastAsia="zh-CN"/>
              </w:rPr>
            </w:pP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spacing w:beforeLines="50" w:afterLines="50"/>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（参保人员住院医保审核单和转诊转院）</w:t>
      </w:r>
      <w:r>
        <w:rPr>
          <w:rFonts w:hint="eastAsia"/>
          <w:b/>
          <w:sz w:val="36"/>
          <w:szCs w:val="36"/>
        </w:rPr>
        <w:t>信息表</w:t>
      </w:r>
    </w:p>
    <w:tbl>
      <w:tblPr>
        <w:tblStyle w:val="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参保人员住院医保审核单和转诊转院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《天津市城镇职工基本医疗保险规定》、《天津市城镇居民基本医疗保险规定》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天津市滨海新区海滨人民医院医疗保险部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天津市滨海新区海滨人民医院医疗保险部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持相关材料到医保窗口登记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患者本人身份证、医保卡、出院结算票据、医师开具的转诊转院表单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snapToGrid w:val="0"/>
              <w:spacing w:line="520" w:lineRule="exact"/>
              <w:jc w:val="left"/>
              <w:rPr>
                <w:rFonts w:hint="eastAsia" w:ascii="仿宋_GB2312" w:hAnsi="仿宋" w:eastAsia="仿宋_GB2312" w:cs="宋体"/>
                <w:kern w:val="0"/>
                <w:sz w:val="32"/>
                <w:szCs w:val="30"/>
                <w:lang w:eastAsia="zh-CN"/>
              </w:rPr>
            </w:pP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spacing w:beforeLines="50" w:afterLines="50"/>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（异地医保联网结算）</w:t>
      </w:r>
      <w:r>
        <w:rPr>
          <w:rFonts w:hint="eastAsia"/>
          <w:b/>
          <w:sz w:val="36"/>
          <w:szCs w:val="36"/>
        </w:rPr>
        <w:t>信息表</w:t>
      </w:r>
    </w:p>
    <w:tbl>
      <w:tblPr>
        <w:tblStyle w:val="5"/>
        <w:tblW w:w="869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6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603"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603"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异地医保联网结算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603"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《关于进一步做好基本医疗保险异地就医医疗费用结算工作的指导意见》（人社部发〔2014〕93号），《天津市人民政府关于进一步完善医疗保险制度的意见》（津政发〔2016〕17号）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603"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天津市滨海新区海滨人民医院医疗保险部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603"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天津市滨海新区海滨人民医院医疗保险部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603"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1.患者在参保地医疗保险经办机构办理全国联网登记</w:t>
            </w: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2.联网登记成功后患者到就医地医疗机构办理住院联网登记</w:t>
            </w: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3.就医结束后联网刷卡，即时结算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603"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患者在参保地医疗保险经办机构办理全国联网登记，持社会保障卡办理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603"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603"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snapToGrid w:val="0"/>
              <w:spacing w:line="520" w:lineRule="exact"/>
              <w:jc w:val="left"/>
              <w:rPr>
                <w:rFonts w:hint="eastAsia" w:ascii="仿宋_GB2312" w:hAnsi="仿宋" w:eastAsia="仿宋_GB2312" w:cs="宋体"/>
                <w:kern w:val="0"/>
                <w:sz w:val="32"/>
                <w:szCs w:val="30"/>
                <w:lang w:eastAsia="zh-CN"/>
              </w:rPr>
            </w:pP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（门特登记）</w:t>
      </w:r>
      <w:r>
        <w:rPr>
          <w:rFonts w:hint="eastAsia"/>
          <w:b/>
          <w:sz w:val="36"/>
          <w:szCs w:val="36"/>
        </w:rPr>
        <w:t>信息表</w:t>
      </w:r>
    </w:p>
    <w:tbl>
      <w:tblPr>
        <w:tblStyle w:val="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门特登记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《关于印发〈天津市城镇职工基本医疗保险门诊特殊病种管理办法〉的通知》（津劳局〔2001〕320号）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天津市滨海新区海滨人民医院医疗保险部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只限办理偏瘫、癌症放化疗、肺心病、糖尿病、肾透析、再生障碍性贫血、慢性血小板减少性紫癜、癫痫门特登记及变更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填写《天津市基本医疗保险门诊特殊病种登记审批表》。由相应的门特诊断医师出具病情鉴定意见。医疗保险部审核。医疗保险部进行门特联网审批登记。审批表由经办人员签字后加盖医院医疗保险专用章。存档备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1.本院住院就医病史资料。</w:t>
            </w: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2.本院有关检查和化验报告单。</w:t>
            </w: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3.有效身份证明、医保卡、身份证。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snapToGrid w:val="0"/>
              <w:spacing w:line="520" w:lineRule="exact"/>
              <w:jc w:val="left"/>
              <w:rPr>
                <w:rFonts w:hint="eastAsia" w:ascii="仿宋_GB2312" w:hAnsi="仿宋" w:eastAsia="仿宋_GB2312" w:cs="宋体"/>
                <w:kern w:val="0"/>
                <w:sz w:val="32"/>
                <w:szCs w:val="30"/>
                <w:lang w:eastAsia="zh-CN"/>
              </w:rPr>
            </w:pP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spacing w:beforeLines="50" w:afterLines="50"/>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（药品采购管理）</w:t>
      </w:r>
      <w:r>
        <w:rPr>
          <w:rFonts w:hint="eastAsia"/>
          <w:b/>
          <w:sz w:val="36"/>
          <w:szCs w:val="36"/>
        </w:rPr>
        <w:t>信息表</w:t>
      </w:r>
    </w:p>
    <w:tbl>
      <w:tblPr>
        <w:tblStyle w:val="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药品采购管理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《中华人民共和国药品管理法》（2001，第四章）</w:t>
            </w: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《医疗机构药事管理规定》（2011，第五章）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天津市滨海新区海滨人民医院物资装备部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1.医疗机构制定采购计划。2.在招标采购平台采购药品。3.企业送货。4.验货。5.分类入库。6.按计划发给药房。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snapToGrid w:val="0"/>
              <w:spacing w:line="520" w:lineRule="exact"/>
              <w:jc w:val="left"/>
              <w:rPr>
                <w:rFonts w:hint="eastAsia" w:ascii="仿宋_GB2312" w:hAnsi="仿宋" w:eastAsia="仿宋_GB2312" w:cs="宋体"/>
                <w:kern w:val="0"/>
                <w:sz w:val="32"/>
                <w:szCs w:val="30"/>
                <w:lang w:eastAsia="zh-CN"/>
              </w:rPr>
            </w:pP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spacing w:beforeLines="50" w:afterLines="50"/>
        <w:jc w:val="center"/>
        <w:rPr>
          <w:b/>
          <w:sz w:val="36"/>
          <w:szCs w:val="36"/>
          <w:u w:val="single"/>
        </w:rPr>
      </w:pPr>
      <w:r>
        <w:rPr>
          <w:rFonts w:hint="eastAsia"/>
          <w:b/>
          <w:sz w:val="36"/>
          <w:szCs w:val="36"/>
          <w:u w:val="single"/>
        </w:rPr>
        <w:br w:type="page"/>
      </w:r>
    </w:p>
    <w:p>
      <w:pPr>
        <w:spacing w:beforeLines="50" w:afterLines="50"/>
        <w:jc w:val="center"/>
        <w:rPr>
          <w:b/>
          <w:sz w:val="36"/>
          <w:szCs w:val="36"/>
        </w:rPr>
      </w:pPr>
      <w:r>
        <w:rPr>
          <w:rFonts w:hint="eastAsia"/>
          <w:b/>
          <w:sz w:val="36"/>
          <w:szCs w:val="36"/>
          <w:u w:val="single"/>
        </w:rPr>
        <w:t>（医疗设备采购管理）</w:t>
      </w:r>
      <w:r>
        <w:rPr>
          <w:rFonts w:hint="eastAsia"/>
          <w:b/>
          <w:sz w:val="36"/>
          <w:szCs w:val="36"/>
        </w:rPr>
        <w:t>信息表</w:t>
      </w:r>
    </w:p>
    <w:tbl>
      <w:tblPr>
        <w:tblStyle w:val="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医疗设备采购管理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《中华人民共和国政府采购法》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天津市滨海新区海滨人民医院物资装备部（综合保障部）、财务资产部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牵头部门：物资装备部（综合保障部）；</w:t>
            </w: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配合部门：财务资产部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采购计划。2.预算编报。</w:t>
            </w: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3.公开招标。4.签订合同。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参与竞标公司需要符合《中华人民共和国政府采购法》要求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snapToGrid w:val="0"/>
              <w:spacing w:line="520" w:lineRule="exact"/>
              <w:jc w:val="left"/>
              <w:rPr>
                <w:rFonts w:hint="eastAsia" w:ascii="仿宋_GB2312" w:hAnsi="仿宋" w:eastAsia="仿宋_GB2312" w:cs="宋体"/>
                <w:kern w:val="0"/>
                <w:sz w:val="32"/>
                <w:szCs w:val="30"/>
                <w:lang w:eastAsia="zh-CN"/>
              </w:rPr>
            </w:pP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sz w:val="28"/>
          <w:szCs w:val="28"/>
        </w:rPr>
      </w:pPr>
      <w:r>
        <w:rPr>
          <w:sz w:val="28"/>
          <w:szCs w:val="28"/>
        </w:rPr>
        <w:br w:type="page"/>
      </w:r>
    </w:p>
    <w:p>
      <w:pPr>
        <w:spacing w:beforeLines="50" w:afterLines="50"/>
        <w:jc w:val="center"/>
        <w:rPr>
          <w:b/>
          <w:sz w:val="36"/>
          <w:szCs w:val="36"/>
        </w:rPr>
      </w:pPr>
      <w:r>
        <w:rPr>
          <w:rFonts w:hint="eastAsia"/>
          <w:b/>
          <w:sz w:val="36"/>
          <w:szCs w:val="36"/>
          <w:u w:val="single"/>
        </w:rPr>
        <w:t>（非医疗设备采购）</w:t>
      </w:r>
      <w:r>
        <w:rPr>
          <w:rFonts w:hint="eastAsia"/>
          <w:b/>
          <w:sz w:val="36"/>
          <w:szCs w:val="36"/>
        </w:rPr>
        <w:t>信息表</w:t>
      </w:r>
    </w:p>
    <w:tbl>
      <w:tblPr>
        <w:tblStyle w:val="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非医疗设备采购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《中华人民共和国政府采购法》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天津市滨海新区海滨人民医院物资装备部（综合保障部）、财务资产部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牵头部门：物资装备部（综合保障部）；</w:t>
            </w: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配合部门：财务资产部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1.采购计划。2.预算编报。</w:t>
            </w: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3.公开招标。4.签订合同。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参与竞标公司需要符合《中华人民共和国政府采购法》要求。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非医疗设备采购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snapToGrid w:val="0"/>
              <w:spacing w:line="520" w:lineRule="exact"/>
              <w:jc w:val="left"/>
              <w:rPr>
                <w:rFonts w:hint="eastAsia" w:ascii="仿宋_GB2312" w:hAnsi="仿宋" w:eastAsia="仿宋_GB2312" w:cs="宋体"/>
                <w:kern w:val="0"/>
                <w:sz w:val="32"/>
                <w:szCs w:val="30"/>
                <w:lang w:eastAsia="zh-CN"/>
              </w:rPr>
            </w:pP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jc w:val="center"/>
        <w:rPr>
          <w:sz w:val="28"/>
          <w:szCs w:val="28"/>
        </w:rPr>
      </w:pPr>
      <w:r>
        <w:rPr>
          <w:rFonts w:hint="eastAsia"/>
          <w:sz w:val="28"/>
          <w:szCs w:val="28"/>
        </w:rPr>
        <w:br w:type="page"/>
      </w:r>
    </w:p>
    <w:p>
      <w:pPr>
        <w:spacing w:beforeLines="50" w:afterLines="50"/>
        <w:jc w:val="center"/>
        <w:rPr>
          <w:b/>
          <w:sz w:val="36"/>
          <w:szCs w:val="36"/>
        </w:rPr>
      </w:pPr>
      <w:r>
        <w:rPr>
          <w:rFonts w:hint="eastAsia"/>
          <w:b/>
          <w:sz w:val="36"/>
          <w:szCs w:val="36"/>
          <w:u w:val="single"/>
        </w:rPr>
        <w:t>（医疗设备报废）</w:t>
      </w:r>
      <w:r>
        <w:rPr>
          <w:rFonts w:hint="eastAsia"/>
          <w:b/>
          <w:sz w:val="36"/>
          <w:szCs w:val="36"/>
        </w:rPr>
        <w:t>信息表</w:t>
      </w:r>
    </w:p>
    <w:tbl>
      <w:tblPr>
        <w:tblStyle w:val="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医疗设备报废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《市卫生计生委关于进一步明确直属单位医用设备处置有关问题的通知》、《行政事业单位国有资产处置管理实施办法》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天津市滨海新区海滨人民医院物资装备部（综合保障部）、财务资产部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牵头部门：物资装备部（综合保障部）；</w:t>
            </w: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配合部门：财务资产部、医院办公室、网络信息部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1.填写报废明细。2.医学装备管理委员会讨论。3.院班子会报备。4.上级单位审批。5.区财政局审批。6.变卖残值。7.款项上交财务资产部。8.销账处理。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1.参与处理残值的公司应为市财政局指定回收公司。2.处理残值时物资装备部（综合保障部）、财务资产部、医院办公室、审计等部门应到场，保障国有资产不流失。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snapToGrid w:val="0"/>
              <w:spacing w:line="520" w:lineRule="exact"/>
              <w:jc w:val="left"/>
              <w:rPr>
                <w:rFonts w:hint="eastAsia" w:ascii="仿宋_GB2312" w:hAnsi="仿宋" w:eastAsia="仿宋_GB2312" w:cs="宋体"/>
                <w:kern w:val="0"/>
                <w:sz w:val="32"/>
                <w:szCs w:val="30"/>
                <w:lang w:eastAsia="zh-CN"/>
              </w:rPr>
            </w:pP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spacing w:beforeLines="50" w:afterLines="50"/>
        <w:rPr>
          <w:b/>
          <w:sz w:val="36"/>
          <w:szCs w:val="36"/>
          <w:u w:val="single"/>
        </w:rPr>
      </w:pPr>
      <w:r>
        <w:rPr>
          <w:rFonts w:hint="eastAsia"/>
          <w:b/>
          <w:sz w:val="36"/>
          <w:szCs w:val="36"/>
          <w:u w:val="single"/>
        </w:rPr>
        <w:br w:type="page"/>
      </w:r>
    </w:p>
    <w:p>
      <w:pPr>
        <w:spacing w:beforeLines="50" w:afterLines="50"/>
        <w:jc w:val="center"/>
        <w:rPr>
          <w:b/>
          <w:sz w:val="36"/>
          <w:szCs w:val="36"/>
        </w:rPr>
      </w:pPr>
      <w:r>
        <w:rPr>
          <w:rFonts w:hint="eastAsia"/>
          <w:b/>
          <w:sz w:val="36"/>
          <w:szCs w:val="36"/>
          <w:u w:val="single"/>
        </w:rPr>
        <w:t>（非医疗设备报废）</w:t>
      </w:r>
      <w:r>
        <w:rPr>
          <w:rFonts w:hint="eastAsia"/>
          <w:b/>
          <w:sz w:val="36"/>
          <w:szCs w:val="36"/>
        </w:rPr>
        <w:t>信息表</w:t>
      </w:r>
    </w:p>
    <w:tbl>
      <w:tblPr>
        <w:tblStyle w:val="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非医疗设备报废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《行政事业单位国有资产处置管理实施办法》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天津市滨海新区海滨人民医院物资装备部（综合保障部）、财务资产部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牵头部门：物资装备部（综合保障部）</w:t>
            </w: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配合部门：财务资产部、医院办公室、网络信息部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1.填写报废明细。2.院班子会报备。3.上级单位审批。4.区财政局审批。5.变卖残值。6.款项上交财务科。7.销账处理。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1.参与处理残值的公司应为市财政局指定回收公司。</w:t>
            </w: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2.处理残值时物资装备部（综合保障部）、财务资产部、医院办公室、审计等部门应到场，保障国有资产不流失。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snapToGrid w:val="0"/>
              <w:spacing w:line="520" w:lineRule="exact"/>
              <w:jc w:val="left"/>
              <w:rPr>
                <w:rFonts w:hint="eastAsia" w:ascii="仿宋_GB2312" w:hAnsi="仿宋" w:eastAsia="仿宋_GB2312" w:cs="宋体"/>
                <w:kern w:val="0"/>
                <w:sz w:val="32"/>
                <w:szCs w:val="30"/>
                <w:lang w:eastAsia="zh-CN"/>
              </w:rPr>
            </w:pP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jc w:val="left"/>
        <w:rPr>
          <w:sz w:val="28"/>
          <w:szCs w:val="28"/>
        </w:rPr>
      </w:pPr>
      <w:r>
        <w:rPr>
          <w:sz w:val="28"/>
          <w:szCs w:val="28"/>
        </w:rPr>
        <w:br w:type="page"/>
      </w:r>
    </w:p>
    <w:p>
      <w:pPr>
        <w:spacing w:beforeLines="50" w:afterLines="50"/>
        <w:jc w:val="center"/>
        <w:rPr>
          <w:b/>
          <w:sz w:val="36"/>
          <w:szCs w:val="36"/>
        </w:rPr>
      </w:pPr>
      <w:r>
        <w:rPr>
          <w:rFonts w:hint="eastAsia"/>
          <w:b/>
          <w:sz w:val="36"/>
          <w:szCs w:val="36"/>
          <w:u w:val="single"/>
        </w:rPr>
        <w:t>（院务公开管理）</w:t>
      </w:r>
      <w:r>
        <w:rPr>
          <w:rFonts w:hint="eastAsia"/>
          <w:b/>
          <w:sz w:val="36"/>
          <w:szCs w:val="36"/>
        </w:rPr>
        <w:t>信息表</w:t>
      </w:r>
    </w:p>
    <w:tbl>
      <w:tblPr>
        <w:tblStyle w:val="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7.1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院务公开管理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《卫生部关于全面推行医院院务公开的指导意见》卫医发[2006]428号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w:t>
            </w:r>
            <w:r>
              <w:rPr>
                <w:rFonts w:hint="eastAsia" w:ascii="仿宋_GB2312" w:hAnsi="仿宋" w:eastAsia="仿宋_GB2312" w:cs="宋体"/>
                <w:kern w:val="0"/>
                <w:sz w:val="32"/>
                <w:szCs w:val="30"/>
                <w:lang w:eastAsia="zh-CN"/>
              </w:rPr>
              <w:t>医院办公室</w:t>
            </w:r>
            <w:r>
              <w:rPr>
                <w:rFonts w:hint="eastAsia" w:ascii="仿宋_GB2312" w:hAnsi="仿宋" w:eastAsia="仿宋_GB2312" w:cs="宋体"/>
                <w:kern w:val="0"/>
                <w:sz w:val="32"/>
                <w:szCs w:val="30"/>
              </w:rPr>
              <w:t>（安全环保部）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医院办公室（安全环保部）负责院务公开的管理和监督，其他职能部室负责具体实施。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医院办公室（安全环保部）牵头制定院务公开目录及工作监督，其他职能部室利用医院网站、微信公众号、电子大屏幕、公示栏和自动办公系统等多种形式对社会、患者和内部员工进行院务公开。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院务公开的内容、项目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按照《卫生部关于全面推行医院院务公开的指导意见》执行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snapToGrid w:val="0"/>
              <w:spacing w:line="520" w:lineRule="exact"/>
              <w:jc w:val="left"/>
              <w:rPr>
                <w:rFonts w:hint="eastAsia" w:ascii="仿宋_GB2312" w:hAnsi="仿宋" w:eastAsia="仿宋_GB2312" w:cs="宋体"/>
                <w:kern w:val="0"/>
                <w:sz w:val="32"/>
                <w:szCs w:val="30"/>
                <w:lang w:eastAsia="zh-CN"/>
              </w:rPr>
            </w:pP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jc w:val="left"/>
        <w:rPr>
          <w:sz w:val="28"/>
          <w:szCs w:val="28"/>
        </w:rPr>
      </w:pPr>
      <w:r>
        <w:rPr>
          <w:sz w:val="28"/>
          <w:szCs w:val="28"/>
        </w:rPr>
        <w:br w:type="page"/>
      </w:r>
    </w:p>
    <w:p>
      <w:pPr>
        <w:spacing w:beforeLines="50" w:afterLines="50"/>
        <w:jc w:val="center"/>
        <w:rPr>
          <w:b/>
          <w:sz w:val="36"/>
          <w:szCs w:val="36"/>
        </w:rPr>
      </w:pPr>
      <w:r>
        <w:rPr>
          <w:rFonts w:hint="eastAsia"/>
          <w:b/>
          <w:sz w:val="36"/>
          <w:szCs w:val="36"/>
          <w:u w:val="single"/>
        </w:rPr>
        <w:t>（突发事件的应急管理）</w:t>
      </w:r>
      <w:r>
        <w:rPr>
          <w:rFonts w:hint="eastAsia"/>
          <w:b/>
          <w:sz w:val="36"/>
          <w:szCs w:val="36"/>
        </w:rPr>
        <w:t>信息表</w:t>
      </w:r>
    </w:p>
    <w:tbl>
      <w:tblPr>
        <w:tblStyle w:val="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突发事件的应急管理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2"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1、《中华人民共和国突发事件应对法》（中华人民共和国主席令第69号）第二十二条、第二十四条、第五十六条</w:t>
            </w: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2、《突发公共卫生事件应急条例》（2003年5月9日中华人民共和国国务院令第376号公布 根据2011年1月8日《国务院</w:t>
            </w:r>
            <w:r>
              <w:fldChar w:fldCharType="begin"/>
            </w:r>
            <w:r>
              <w:instrText xml:space="preserve"> HYPERLINK "http://law1.law-star.com/law?fn=7B633A4701541DBFB7E00C26E1C59771&amp;dbt=chl" \t "_blank" </w:instrText>
            </w:r>
            <w:r>
              <w:fldChar w:fldCharType="separate"/>
            </w:r>
            <w:r>
              <w:rPr>
                <w:rFonts w:hint="eastAsia" w:ascii="仿宋_GB2312" w:hAnsi="仿宋" w:eastAsia="仿宋_GB2312" w:cs="宋体"/>
                <w:kern w:val="0"/>
                <w:sz w:val="32"/>
                <w:szCs w:val="30"/>
              </w:rPr>
              <w:t>关于废止和修改部分行政法规的决定</w:t>
            </w:r>
            <w:r>
              <w:rPr>
                <w:rFonts w:hint="eastAsia" w:ascii="仿宋_GB2312" w:hAnsi="仿宋" w:eastAsia="仿宋_GB2312" w:cs="宋体"/>
                <w:kern w:val="0"/>
                <w:sz w:val="32"/>
                <w:szCs w:val="30"/>
              </w:rPr>
              <w:fldChar w:fldCharType="end"/>
            </w:r>
            <w:r>
              <w:rPr>
                <w:rFonts w:hint="eastAsia" w:ascii="仿宋_GB2312" w:hAnsi="仿宋" w:eastAsia="仿宋_GB2312" w:cs="宋体"/>
                <w:kern w:val="0"/>
                <w:sz w:val="32"/>
                <w:szCs w:val="30"/>
              </w:rPr>
              <w:t>》修订）（第十九条、第二十条、第三十九条、第四十二条、第四十四条）</w:t>
            </w: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3、中华人民共和国传染病防治法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w:t>
            </w:r>
            <w:r>
              <w:rPr>
                <w:rFonts w:hint="eastAsia" w:ascii="仿宋_GB2312" w:hAnsi="仿宋" w:eastAsia="仿宋_GB2312" w:cs="宋体"/>
                <w:kern w:val="0"/>
                <w:sz w:val="32"/>
                <w:szCs w:val="30"/>
                <w:lang w:eastAsia="zh-CN"/>
              </w:rPr>
              <w:t>医院办公室</w:t>
            </w:r>
            <w:r>
              <w:rPr>
                <w:rFonts w:hint="eastAsia" w:ascii="仿宋_GB2312" w:hAnsi="仿宋" w:eastAsia="仿宋_GB2312" w:cs="宋体"/>
                <w:kern w:val="0"/>
                <w:sz w:val="32"/>
                <w:szCs w:val="30"/>
              </w:rPr>
              <w:t>（安全环保部）、医务科教部（医学伦理办公室）、医院感染管理部（公共卫生管理部）、物资装备部（综合保障部）。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医院办公室（安全环保部）负责突发事件的</w:t>
            </w:r>
            <w:r>
              <w:rPr>
                <w:rFonts w:ascii="仿宋_GB2312" w:hAnsi="仿宋" w:eastAsia="仿宋_GB2312" w:cs="宋体"/>
                <w:kern w:val="0"/>
                <w:sz w:val="32"/>
                <w:szCs w:val="30"/>
              </w:rPr>
              <w:t>应急管理及应急行动工作的统一组织与协调</w:t>
            </w:r>
            <w:r>
              <w:rPr>
                <w:rFonts w:hint="eastAsia" w:ascii="仿宋_GB2312" w:hAnsi="仿宋" w:eastAsia="仿宋_GB2312" w:cs="宋体"/>
                <w:kern w:val="0"/>
                <w:sz w:val="32"/>
                <w:szCs w:val="30"/>
              </w:rPr>
              <w:t>；医务科教部（医学伦理办公室）医院感染管理部（公共卫生管理部）、物资装备部（综合保障部）承担医疗救援、院感防控、公共卫生、物资保障、应急抢险等管理职责；其他各科室负责具体实施工作。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单位发生突发事件上报，启动相关应急预案，应急解除后进行总结分析及事故调查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医院相关体系文件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制定突发事件的应急预案、培训、演练、分析与评价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snapToGrid w:val="0"/>
              <w:spacing w:line="520" w:lineRule="exact"/>
              <w:jc w:val="left"/>
              <w:rPr>
                <w:rFonts w:hint="eastAsia" w:ascii="仿宋_GB2312" w:hAnsi="仿宋" w:eastAsia="仿宋_GB2312" w:cs="宋体"/>
                <w:kern w:val="0"/>
                <w:sz w:val="32"/>
                <w:szCs w:val="30"/>
                <w:lang w:eastAsia="zh-CN"/>
              </w:rPr>
            </w:pPr>
          </w:p>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jc w:val="left"/>
        <w:rPr>
          <w:sz w:val="28"/>
          <w:szCs w:val="28"/>
        </w:rPr>
      </w:pPr>
      <w:r>
        <w:rPr>
          <w:sz w:val="28"/>
          <w:szCs w:val="28"/>
        </w:rPr>
        <w:br w:type="page"/>
      </w:r>
    </w:p>
    <w:p>
      <w:pPr>
        <w:tabs>
          <w:tab w:val="left" w:pos="895"/>
        </w:tabs>
        <w:jc w:val="center"/>
        <w:rPr>
          <w:rFonts w:cs="Times New Roman"/>
        </w:rPr>
      </w:pPr>
      <w:r>
        <w:rPr>
          <w:rFonts w:hint="eastAsia" w:ascii="仿宋" w:hAnsi="仿宋" w:eastAsia="仿宋" w:cs="仿宋"/>
          <w:b/>
          <w:bCs/>
          <w:color w:val="000000"/>
          <w:kern w:val="0"/>
          <w:sz w:val="36"/>
          <w:szCs w:val="36"/>
          <w:u w:val="single"/>
        </w:rPr>
        <w:t>（传染病疫情报告）</w:t>
      </w:r>
      <w:r>
        <w:rPr>
          <w:rFonts w:hint="eastAsia" w:ascii="仿宋" w:hAnsi="仿宋" w:eastAsia="仿宋" w:cs="仿宋"/>
          <w:b/>
          <w:bCs/>
          <w:color w:val="000000"/>
          <w:kern w:val="0"/>
          <w:sz w:val="36"/>
          <w:szCs w:val="36"/>
        </w:rPr>
        <w:t>信息表</w:t>
      </w:r>
    </w:p>
    <w:tbl>
      <w:tblPr>
        <w:tblStyle w:val="4"/>
        <w:tblW w:w="8675"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2155"/>
        <w:gridCol w:w="65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58" w:hRule="atLeast"/>
        </w:trPr>
        <w:tc>
          <w:tcPr>
            <w:tcW w:w="2155"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520" w:type="dxa"/>
            <w:vAlign w:val="center"/>
          </w:tcPr>
          <w:p>
            <w:pPr>
              <w:snapToGrid w:val="0"/>
              <w:spacing w:line="52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9.1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49" w:hRule="atLeast"/>
        </w:trPr>
        <w:tc>
          <w:tcPr>
            <w:tcW w:w="2155"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520" w:type="dxa"/>
            <w:vAlign w:val="center"/>
          </w:tcPr>
          <w:p>
            <w:pPr>
              <w:snapToGrid w:val="0"/>
              <w:spacing w:line="44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传染病疫情报告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015" w:hRule="atLeast"/>
        </w:trPr>
        <w:tc>
          <w:tcPr>
            <w:tcW w:w="2155"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520" w:type="dxa"/>
            <w:vAlign w:val="center"/>
          </w:tcPr>
          <w:p>
            <w:pPr>
              <w:snapToGrid w:val="0"/>
              <w:spacing w:line="44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《中华人民共和国传染病防治法》（全国人大常委会1989年2月21日通过2004年8月28日修订）第二十一条</w:t>
            </w:r>
          </w:p>
          <w:p>
            <w:pPr>
              <w:snapToGrid w:val="0"/>
              <w:spacing w:line="44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《中华人民共和国传染病防治法》第十二条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567" w:hRule="atLeast"/>
        </w:trPr>
        <w:tc>
          <w:tcPr>
            <w:tcW w:w="2155"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520" w:type="dxa"/>
            <w:vAlign w:val="center"/>
          </w:tcPr>
          <w:p>
            <w:pPr>
              <w:snapToGrid w:val="0"/>
              <w:spacing w:line="44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天津市滨海新区海滨人民医院医院感染管理部（公共卫生管理部）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567" w:hRule="atLeast"/>
        </w:trPr>
        <w:tc>
          <w:tcPr>
            <w:tcW w:w="2155"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520" w:type="dxa"/>
            <w:vAlign w:val="center"/>
          </w:tcPr>
          <w:p>
            <w:pPr>
              <w:snapToGrid w:val="0"/>
              <w:spacing w:line="44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天津市滨海新区海滨人民医院医院感染管理部（公共卫生管理部）为主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695" w:hRule="atLeast"/>
        </w:trPr>
        <w:tc>
          <w:tcPr>
            <w:tcW w:w="2155"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520" w:type="dxa"/>
            <w:vAlign w:val="center"/>
          </w:tcPr>
          <w:p>
            <w:pPr>
              <w:snapToGrid w:val="0"/>
              <w:spacing w:line="44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来本院就诊患者由门诊护士进行初步鉴诊，在门诊导诊台进行一般情况登记，由护士引导相应诊室就诊，就诊医师进行临床诊断，确诊为需要报疫的传染病，立即填写疫情报告卡。医院感染管理部（公共卫生管理部）每日对上报疫情进行审核、网络直报，诊断未明者定期进行订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55" w:hRule="atLeast"/>
        </w:trPr>
        <w:tc>
          <w:tcPr>
            <w:tcW w:w="2155"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520" w:type="dxa"/>
            <w:vAlign w:val="center"/>
          </w:tcPr>
          <w:p>
            <w:pPr>
              <w:snapToGrid w:val="0"/>
              <w:spacing w:line="44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门诊日志、出入院患者日志、放射检验结果查询、化验结果为阳性的信息查询、传染病报告卡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52" w:hRule="atLeast"/>
        </w:trPr>
        <w:tc>
          <w:tcPr>
            <w:tcW w:w="2155"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520" w:type="dxa"/>
            <w:vAlign w:val="center"/>
          </w:tcPr>
          <w:p>
            <w:pPr>
              <w:snapToGrid w:val="0"/>
              <w:spacing w:line="44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1.传染病报告实行首诊负责制2.发现传染病患者，在有效时限内进行院内网络报告3.执行传染病预检分诊制度，严格个人防护及消毒工作4.维护患者知情权及个人隐私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80" w:hRule="atLeast"/>
        </w:trPr>
        <w:tc>
          <w:tcPr>
            <w:tcW w:w="2155"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520" w:type="dxa"/>
            <w:vAlign w:val="center"/>
          </w:tcPr>
          <w:p>
            <w:pPr>
              <w:snapToGrid w:val="0"/>
              <w:spacing w:line="44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snapToGrid w:val="0"/>
              <w:spacing w:line="440" w:lineRule="exact"/>
              <w:jc w:val="left"/>
              <w:rPr>
                <w:rFonts w:hint="eastAsia" w:ascii="仿宋_GB2312" w:hAnsi="仿宋" w:eastAsia="仿宋_GB2312" w:cs="宋体"/>
                <w:kern w:val="0"/>
                <w:sz w:val="32"/>
                <w:szCs w:val="30"/>
                <w:lang w:eastAsia="zh-CN"/>
              </w:rPr>
            </w:pPr>
          </w:p>
          <w:p>
            <w:pPr>
              <w:widowControl/>
              <w:snapToGrid w:val="0"/>
              <w:spacing w:line="44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sz w:val="28"/>
          <w:szCs w:val="28"/>
        </w:rPr>
      </w:pPr>
      <w:r>
        <w:rPr>
          <w:sz w:val="28"/>
          <w:szCs w:val="28"/>
        </w:rPr>
        <w:br w:type="page"/>
      </w:r>
    </w:p>
    <w:p>
      <w:pPr>
        <w:spacing w:beforeLines="50" w:afterLines="50"/>
        <w:jc w:val="center"/>
        <w:rPr>
          <w:b/>
          <w:sz w:val="36"/>
          <w:szCs w:val="36"/>
        </w:rPr>
      </w:pPr>
      <w:r>
        <w:rPr>
          <w:rFonts w:hint="eastAsia" w:ascii="仿宋" w:hAnsi="仿宋" w:eastAsia="仿宋" w:cs="仿宋"/>
          <w:b/>
          <w:bCs/>
          <w:color w:val="000000"/>
          <w:kern w:val="0"/>
          <w:sz w:val="36"/>
          <w:szCs w:val="36"/>
          <w:u w:val="single"/>
        </w:rPr>
        <w:t>（宣传和教育）信息表</w:t>
      </w:r>
    </w:p>
    <w:tbl>
      <w:tblPr>
        <w:tblStyle w:val="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shd w:val="clear" w:color="auto" w:fill="auto"/>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9.2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shd w:val="clear" w:color="auto" w:fill="auto"/>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宣传和教育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shd w:val="clear" w:color="auto" w:fill="auto"/>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原卫生部《关于印发医疗机构从业人员行为规范的通知》第十一条乐于奉献，热心公益。积极参加上级安排的指令性医疗任务和社会公益性的扶贫、义诊、助残、支农、援外等活动，主动开展公众健康教育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shd w:val="clear" w:color="auto" w:fill="auto"/>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天津市滨海新区海滨人民医院医院感染管理部（公共卫生管理部）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shd w:val="clear" w:color="auto" w:fill="auto"/>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医院感染管理部（公共卫生管理部），各临床及职能科室配合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shd w:val="clear" w:color="auto" w:fill="auto"/>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健康宣教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shd w:val="clear" w:color="auto" w:fill="auto"/>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LED大屏幕、宣传栏、展板、微信公众号、健康教育宣传取阅栏、宣传册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shd w:val="clear" w:color="auto" w:fill="auto"/>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napToGrid w:val="0"/>
              <w:spacing w:line="520" w:lineRule="exact"/>
              <w:jc w:val="left"/>
              <w:textAlignment w:val="center"/>
              <w:rPr>
                <w:rFonts w:hint="eastAsia" w:ascii="仿宋_GB2312" w:hAnsi="仿宋" w:eastAsia="仿宋_GB2312" w:cs="宋体"/>
                <w:kern w:val="0"/>
                <w:sz w:val="32"/>
                <w:szCs w:val="30"/>
                <w:lang w:eastAsia="zh-CN"/>
              </w:rPr>
            </w:pPr>
          </w:p>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spacing w:beforeLines="50" w:afterLines="50"/>
        <w:jc w:val="left"/>
        <w:rPr>
          <w:b/>
          <w:sz w:val="28"/>
          <w:szCs w:val="28"/>
          <w:u w:val="single"/>
        </w:rPr>
      </w:pPr>
      <w:r>
        <w:rPr>
          <w:b/>
          <w:sz w:val="28"/>
          <w:szCs w:val="28"/>
          <w:u w:val="single"/>
        </w:rPr>
        <w:br w:type="page"/>
      </w:r>
    </w:p>
    <w:p>
      <w:pPr>
        <w:jc w:val="center"/>
        <w:rPr>
          <w:rFonts w:cs="Times New Roman"/>
        </w:rPr>
      </w:pPr>
      <w:r>
        <w:rPr>
          <w:rFonts w:hint="eastAsia" w:ascii="仿宋" w:hAnsi="仿宋" w:eastAsia="仿宋" w:cs="仿宋"/>
          <w:b/>
          <w:bCs/>
          <w:color w:val="000000"/>
          <w:kern w:val="0"/>
          <w:sz w:val="36"/>
          <w:szCs w:val="36"/>
          <w:u w:val="single"/>
        </w:rPr>
        <w:t>（控烟巡查劝阻和宣教）</w:t>
      </w:r>
      <w:r>
        <w:rPr>
          <w:rFonts w:hint="eastAsia" w:ascii="仿宋" w:hAnsi="仿宋" w:eastAsia="仿宋" w:cs="仿宋"/>
          <w:b/>
          <w:bCs/>
          <w:color w:val="000000"/>
          <w:kern w:val="0"/>
          <w:sz w:val="36"/>
          <w:szCs w:val="36"/>
        </w:rPr>
        <w:t>信息表</w:t>
      </w:r>
    </w:p>
    <w:tbl>
      <w:tblPr>
        <w:tblStyle w:val="4"/>
        <w:tblW w:w="8400"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716"/>
        <w:gridCol w:w="66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84" w:hRule="atLeast"/>
        </w:trPr>
        <w:tc>
          <w:tcPr>
            <w:tcW w:w="1716"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684"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84" w:hRule="atLeast"/>
        </w:trPr>
        <w:tc>
          <w:tcPr>
            <w:tcW w:w="1716"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684"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控烟巡查劝阻和宣教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701" w:hRule="atLeast"/>
        </w:trPr>
        <w:tc>
          <w:tcPr>
            <w:tcW w:w="1716"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684"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《天津市控制吸烟条例》第六、十、十四、十八条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701" w:hRule="atLeast"/>
        </w:trPr>
        <w:tc>
          <w:tcPr>
            <w:tcW w:w="1716"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684"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天津市滨海新区海滨人民医院医院感染管理部（公共卫生管理部）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701" w:hRule="atLeast"/>
        </w:trPr>
        <w:tc>
          <w:tcPr>
            <w:tcW w:w="1716"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684"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天津市滨海新区海滨人民医院医院感染管理部（公共卫生管理部）为主，医院办公室（安全环保部）协助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701" w:hRule="atLeast"/>
        </w:trPr>
        <w:tc>
          <w:tcPr>
            <w:tcW w:w="1716"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684"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医院室内区域禁止吸烟。医院内设置的商店不得销售烟草制品。医院应当开展控制吸烟的宣传教育活动，设立戒烟门诊服务。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134" w:hRule="atLeast"/>
        </w:trPr>
        <w:tc>
          <w:tcPr>
            <w:tcW w:w="1716"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684"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戒烟门诊、禁止吸烟标识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134" w:hRule="atLeast"/>
        </w:trPr>
        <w:tc>
          <w:tcPr>
            <w:tcW w:w="1716"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684"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701" w:hRule="atLeast"/>
        </w:trPr>
        <w:tc>
          <w:tcPr>
            <w:tcW w:w="1716"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684"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电话号码：022-25924213</w:t>
            </w:r>
          </w:p>
          <w:p>
            <w:pPr>
              <w:widowControl/>
              <w:snapToGrid w:val="0"/>
              <w:spacing w:line="520" w:lineRule="exact"/>
              <w:jc w:val="left"/>
              <w:textAlignment w:val="center"/>
              <w:rPr>
                <w:rFonts w:hint="eastAsia" w:ascii="仿宋_GB2312" w:hAnsi="仿宋" w:eastAsia="仿宋_GB2312" w:cs="宋体"/>
                <w:kern w:val="0"/>
                <w:sz w:val="32"/>
                <w:szCs w:val="30"/>
                <w:lang w:eastAsia="zh-CN"/>
              </w:rPr>
            </w:pPr>
          </w:p>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spacing w:beforeLines="50" w:afterLines="50"/>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（医院感染管理）</w:t>
      </w:r>
      <w:r>
        <w:rPr>
          <w:rFonts w:hint="eastAsia"/>
          <w:b/>
          <w:sz w:val="36"/>
          <w:szCs w:val="36"/>
        </w:rPr>
        <w:t>信息表</w:t>
      </w:r>
    </w:p>
    <w:tbl>
      <w:tblPr>
        <w:tblStyle w:val="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10.1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医院感染管理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《医院感染管理办法》《医疗机构消毒技术规范》《医院消毒卫生标准》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天津市滨海新区海滨人民医院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医院感染管理部（公共卫生管理部）为主，医务科教部、护理部、临床科室协助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1、临床科室上报；2.医院感染管理部审核；3.确诊医院感染病例上报感染质控；4.消毒隔离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感染病例的上报和监测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napToGrid w:val="0"/>
              <w:spacing w:line="520" w:lineRule="exact"/>
              <w:jc w:val="left"/>
              <w:textAlignment w:val="center"/>
              <w:rPr>
                <w:rFonts w:hint="eastAsia" w:ascii="仿宋_GB2312" w:hAnsi="仿宋" w:eastAsia="仿宋_GB2312" w:cs="宋体"/>
                <w:kern w:val="0"/>
                <w:sz w:val="32"/>
                <w:szCs w:val="30"/>
                <w:lang w:eastAsia="zh-CN"/>
              </w:rPr>
            </w:pPr>
          </w:p>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spacing w:beforeLines="50" w:afterLines="50"/>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（安全生产管理）</w:t>
      </w:r>
      <w:r>
        <w:rPr>
          <w:rFonts w:hint="eastAsia"/>
          <w:b/>
          <w:sz w:val="36"/>
          <w:szCs w:val="36"/>
        </w:rPr>
        <w:t>信息表</w:t>
      </w:r>
    </w:p>
    <w:tbl>
      <w:tblPr>
        <w:tblStyle w:val="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napToGrid w:val="0"/>
              <w:spacing w:line="44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11.1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napToGrid w:val="0"/>
              <w:spacing w:line="44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安全生产管理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napToGrid w:val="0"/>
              <w:spacing w:line="44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1、中华人民共和国安全生产法</w:t>
            </w:r>
          </w:p>
          <w:p>
            <w:pPr>
              <w:widowControl/>
              <w:snapToGrid w:val="0"/>
              <w:spacing w:line="44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2、中华人民共和国特种设备安全法（中华人民共和国主席令第4号）第八条、第十一条、第十三条、第十四条、第十五条、第三十二条、第三十三条、第三十四条、第三十九条、第七十条</w:t>
            </w:r>
          </w:p>
          <w:p>
            <w:pPr>
              <w:widowControl/>
              <w:snapToGrid w:val="0"/>
              <w:spacing w:line="44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3、危险化学品安全管理条例（国务院令第591号）第四条、第二十条、第二十一条、第二十四条、第二十五条、第二十六条、第二十八条、第七十条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napToGrid w:val="0"/>
              <w:spacing w:line="44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w:t>
            </w:r>
            <w:r>
              <w:rPr>
                <w:rFonts w:hint="eastAsia" w:ascii="仿宋_GB2312" w:hAnsi="仿宋" w:eastAsia="仿宋_GB2312" w:cs="宋体"/>
                <w:kern w:val="0"/>
                <w:sz w:val="32"/>
                <w:szCs w:val="30"/>
                <w:lang w:eastAsia="zh-CN"/>
              </w:rPr>
              <w:t>医院办公室</w:t>
            </w:r>
            <w:r>
              <w:rPr>
                <w:rFonts w:hint="eastAsia" w:ascii="仿宋_GB2312" w:hAnsi="仿宋" w:eastAsia="仿宋_GB2312" w:cs="宋体"/>
                <w:kern w:val="0"/>
                <w:sz w:val="32"/>
                <w:szCs w:val="30"/>
              </w:rPr>
              <w:t>（安全环保部）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napToGrid w:val="0"/>
              <w:spacing w:line="44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医院办公室（安全环保部）负责对医院安全生产工作的管理和监督，其他各科室配合开展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napToGrid w:val="0"/>
              <w:spacing w:line="44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医院办公室（安全环保部）组织，落实，监督，管理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napToGrid w:val="0"/>
              <w:spacing w:line="44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医院相关体系文件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napToGrid w:val="0"/>
              <w:spacing w:line="44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制定安全生产管理制度，特种作业项目、特种设备、危险化学品及风险识别等安全生产工作的监督检查和隐患管理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napToGrid w:val="0"/>
              <w:spacing w:line="44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napToGrid w:val="0"/>
              <w:spacing w:line="440" w:lineRule="exact"/>
              <w:jc w:val="left"/>
              <w:textAlignment w:val="center"/>
              <w:rPr>
                <w:rFonts w:hint="eastAsia" w:ascii="仿宋_GB2312" w:hAnsi="仿宋" w:eastAsia="仿宋_GB2312" w:cs="宋体"/>
                <w:kern w:val="0"/>
                <w:sz w:val="32"/>
                <w:szCs w:val="30"/>
                <w:lang w:eastAsia="zh-CN"/>
              </w:rPr>
            </w:pPr>
          </w:p>
          <w:p>
            <w:pPr>
              <w:widowControl/>
              <w:snapToGrid w:val="0"/>
              <w:spacing w:line="44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spacing w:beforeLines="50" w:afterLines="50"/>
        <w:jc w:val="center"/>
        <w:rPr>
          <w:b/>
          <w:sz w:val="36"/>
          <w:szCs w:val="36"/>
          <w:u w:val="single"/>
        </w:rPr>
      </w:pPr>
      <w:r>
        <w:rPr>
          <w:b/>
          <w:sz w:val="36"/>
          <w:szCs w:val="36"/>
          <w:u w:val="single"/>
        </w:rPr>
        <w:br w:type="page"/>
      </w:r>
    </w:p>
    <w:p>
      <w:pPr>
        <w:spacing w:beforeLines="50" w:afterLines="50"/>
        <w:jc w:val="center"/>
        <w:rPr>
          <w:b/>
          <w:sz w:val="36"/>
          <w:szCs w:val="36"/>
        </w:rPr>
      </w:pPr>
      <w:r>
        <w:rPr>
          <w:rFonts w:hint="eastAsia"/>
          <w:b/>
          <w:sz w:val="36"/>
          <w:szCs w:val="36"/>
          <w:u w:val="single"/>
        </w:rPr>
        <w:t>（消防安全管理）</w:t>
      </w:r>
      <w:r>
        <w:rPr>
          <w:rFonts w:hint="eastAsia"/>
          <w:b/>
          <w:sz w:val="36"/>
          <w:szCs w:val="36"/>
        </w:rPr>
        <w:t>信息表</w:t>
      </w:r>
    </w:p>
    <w:tbl>
      <w:tblPr>
        <w:tblStyle w:val="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消防安全管理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1.《中华人民共和国消防法》（第五条、第十六条、第十七条）</w:t>
            </w:r>
          </w:p>
          <w:p>
            <w:pPr>
              <w:widowControl/>
              <w:snapToGrid w:val="0"/>
              <w:spacing w:line="520" w:lineRule="exac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2.《医疗机构消防安全管理九项规定》（国卫办发[2020]1号）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w:t>
            </w:r>
            <w:r>
              <w:rPr>
                <w:rFonts w:hint="eastAsia" w:ascii="仿宋_GB2312" w:hAnsi="仿宋" w:eastAsia="仿宋_GB2312" w:cs="宋体"/>
                <w:kern w:val="0"/>
                <w:sz w:val="32"/>
                <w:szCs w:val="30"/>
                <w:lang w:eastAsia="zh-CN"/>
              </w:rPr>
              <w:t>医院办公室</w:t>
            </w:r>
            <w:r>
              <w:rPr>
                <w:rFonts w:hint="eastAsia" w:ascii="仿宋_GB2312" w:hAnsi="仿宋" w:eastAsia="仿宋_GB2312" w:cs="宋体"/>
                <w:kern w:val="0"/>
                <w:sz w:val="32"/>
                <w:szCs w:val="30"/>
              </w:rPr>
              <w:t>（安全环保部）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医院办公室（安全环保部）负责对医院消防安全的管理和监督，其他各科室配合开展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医院办公室（安全环保部）组织，落实，管理，监督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医院相关体系文件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严格落实消防安全政策法规，制定并完善医院消防设施及规章制度；对全院进行消防安全知识培训；制定消防应急预案，组织日常演练；负责医院的消防安全监督管理。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napToGrid w:val="0"/>
              <w:spacing w:line="520" w:lineRule="exact"/>
              <w:jc w:val="left"/>
              <w:textAlignment w:val="center"/>
              <w:rPr>
                <w:rFonts w:hint="eastAsia" w:ascii="仿宋_GB2312" w:hAnsi="仿宋" w:eastAsia="仿宋_GB2312" w:cs="宋体"/>
                <w:kern w:val="0"/>
                <w:sz w:val="32"/>
                <w:szCs w:val="30"/>
                <w:lang w:eastAsia="zh-CN"/>
              </w:rPr>
            </w:pPr>
          </w:p>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spacing w:beforeLines="50" w:afterLines="50"/>
        <w:jc w:val="center"/>
        <w:rPr>
          <w:b/>
          <w:sz w:val="36"/>
          <w:szCs w:val="36"/>
          <w:u w:val="single"/>
        </w:rPr>
      </w:pPr>
      <w:r>
        <w:rPr>
          <w:b/>
          <w:sz w:val="36"/>
          <w:szCs w:val="36"/>
          <w:u w:val="single"/>
        </w:rPr>
        <w:br w:type="page"/>
      </w:r>
    </w:p>
    <w:p>
      <w:pPr>
        <w:spacing w:beforeLines="50" w:afterLines="50"/>
        <w:jc w:val="center"/>
        <w:rPr>
          <w:b/>
          <w:sz w:val="36"/>
          <w:szCs w:val="36"/>
        </w:rPr>
      </w:pPr>
      <w:r>
        <w:rPr>
          <w:rFonts w:hint="eastAsia"/>
          <w:b/>
          <w:sz w:val="36"/>
          <w:szCs w:val="36"/>
          <w:u w:val="single"/>
        </w:rPr>
        <w:t>（治安保卫管理）</w:t>
      </w:r>
      <w:r>
        <w:rPr>
          <w:rFonts w:hint="eastAsia"/>
          <w:b/>
          <w:sz w:val="36"/>
          <w:szCs w:val="36"/>
        </w:rPr>
        <w:t>信息表</w:t>
      </w:r>
    </w:p>
    <w:tbl>
      <w:tblPr>
        <w:tblStyle w:val="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11.3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治安保卫管理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2"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napToGrid w:val="0"/>
              <w:spacing w:line="48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1、</w:t>
            </w:r>
            <w:r>
              <w:rPr>
                <w:rFonts w:ascii="仿宋_GB2312" w:hAnsi="仿宋" w:eastAsia="仿宋_GB2312" w:cs="宋体"/>
                <w:kern w:val="0"/>
                <w:sz w:val="32"/>
                <w:szCs w:val="30"/>
              </w:rPr>
              <w:t>《企业事业单位内部治安保卫条例》（国务院令第421号）</w:t>
            </w:r>
            <w:r>
              <w:rPr>
                <w:rFonts w:hint="eastAsia" w:ascii="仿宋_GB2312" w:hAnsi="仿宋" w:eastAsia="仿宋_GB2312" w:cs="宋体"/>
                <w:kern w:val="0"/>
                <w:sz w:val="32"/>
                <w:szCs w:val="30"/>
              </w:rPr>
              <w:t>（</w:t>
            </w:r>
            <w:r>
              <w:rPr>
                <w:rFonts w:ascii="仿宋_GB2312" w:hAnsi="仿宋" w:eastAsia="仿宋_GB2312" w:cs="宋体"/>
                <w:kern w:val="0"/>
                <w:sz w:val="32"/>
                <w:szCs w:val="30"/>
              </w:rPr>
              <w:t>第五条</w:t>
            </w:r>
            <w:r>
              <w:rPr>
                <w:rFonts w:hint="eastAsia" w:ascii="仿宋_GB2312" w:hAnsi="仿宋" w:eastAsia="仿宋_GB2312" w:cs="宋体"/>
                <w:kern w:val="0"/>
                <w:sz w:val="32"/>
                <w:szCs w:val="30"/>
              </w:rPr>
              <w:t>、</w:t>
            </w:r>
            <w:r>
              <w:rPr>
                <w:rFonts w:ascii="仿宋_GB2312" w:hAnsi="仿宋" w:eastAsia="仿宋_GB2312" w:cs="宋体"/>
                <w:kern w:val="0"/>
                <w:sz w:val="32"/>
                <w:szCs w:val="30"/>
              </w:rPr>
              <w:t>第六条</w:t>
            </w:r>
            <w:r>
              <w:rPr>
                <w:rFonts w:hint="eastAsia" w:ascii="仿宋_GB2312" w:hAnsi="仿宋" w:eastAsia="仿宋_GB2312" w:cs="宋体"/>
                <w:kern w:val="0"/>
                <w:sz w:val="32"/>
                <w:szCs w:val="30"/>
              </w:rPr>
              <w:t>、</w:t>
            </w:r>
            <w:r>
              <w:rPr>
                <w:rFonts w:ascii="仿宋_GB2312" w:hAnsi="仿宋" w:eastAsia="仿宋_GB2312" w:cs="宋体"/>
                <w:kern w:val="0"/>
                <w:sz w:val="32"/>
                <w:szCs w:val="30"/>
              </w:rPr>
              <w:t>第七条</w:t>
            </w:r>
            <w:r>
              <w:rPr>
                <w:rFonts w:hint="eastAsia" w:ascii="仿宋_GB2312" w:hAnsi="仿宋" w:eastAsia="仿宋_GB2312" w:cs="宋体"/>
                <w:kern w:val="0"/>
                <w:sz w:val="32"/>
                <w:szCs w:val="30"/>
              </w:rPr>
              <w:t>、</w:t>
            </w:r>
            <w:r>
              <w:rPr>
                <w:rFonts w:ascii="仿宋_GB2312" w:hAnsi="仿宋" w:eastAsia="仿宋_GB2312" w:cs="宋体"/>
                <w:kern w:val="0"/>
                <w:sz w:val="32"/>
                <w:szCs w:val="30"/>
              </w:rPr>
              <w:t>第十一条</w:t>
            </w:r>
            <w:r>
              <w:rPr>
                <w:rFonts w:hint="eastAsia" w:ascii="仿宋_GB2312" w:hAnsi="仿宋" w:eastAsia="仿宋_GB2312" w:cs="宋体"/>
                <w:kern w:val="0"/>
                <w:sz w:val="32"/>
                <w:szCs w:val="30"/>
              </w:rPr>
              <w:t>）</w:t>
            </w:r>
          </w:p>
          <w:p>
            <w:pPr>
              <w:widowControl/>
              <w:snapToGrid w:val="0"/>
              <w:spacing w:line="48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2、</w:t>
            </w:r>
            <w:r>
              <w:rPr>
                <w:rFonts w:ascii="仿宋_GB2312" w:hAnsi="仿宋" w:eastAsia="仿宋_GB2312" w:cs="宋体"/>
                <w:kern w:val="0"/>
                <w:sz w:val="32"/>
                <w:szCs w:val="30"/>
              </w:rPr>
              <w:t>《</w:t>
            </w:r>
            <w:r>
              <w:rPr>
                <w:rFonts w:hint="eastAsia" w:ascii="仿宋_GB2312" w:hAnsi="仿宋" w:eastAsia="仿宋_GB2312" w:cs="宋体"/>
                <w:kern w:val="0"/>
                <w:sz w:val="32"/>
                <w:szCs w:val="30"/>
              </w:rPr>
              <w:t>天津市医院安全秩序管理条例</w:t>
            </w:r>
            <w:r>
              <w:rPr>
                <w:rFonts w:ascii="仿宋_GB2312" w:hAnsi="仿宋" w:eastAsia="仿宋_GB2312" w:cs="宋体"/>
                <w:kern w:val="0"/>
                <w:sz w:val="32"/>
                <w:szCs w:val="30"/>
              </w:rPr>
              <w:t>》</w:t>
            </w:r>
            <w:r>
              <w:rPr>
                <w:rFonts w:hint="eastAsia" w:ascii="仿宋_GB2312" w:hAnsi="仿宋" w:eastAsia="仿宋_GB2312" w:cs="宋体"/>
                <w:kern w:val="0"/>
                <w:sz w:val="32"/>
                <w:szCs w:val="30"/>
              </w:rPr>
              <w:t>（2017年1月9日天津市第十六届人民代表大会常务委员会第三十三次会议通过）（第八条、第九条、第十条、第十一条、第十二条、第十三条、第十四条、第十五条）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napToGrid w:val="0"/>
              <w:spacing w:line="48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w:t>
            </w:r>
            <w:r>
              <w:rPr>
                <w:rFonts w:hint="eastAsia" w:ascii="仿宋_GB2312" w:hAnsi="仿宋" w:eastAsia="仿宋_GB2312" w:cs="宋体"/>
                <w:kern w:val="0"/>
                <w:sz w:val="32"/>
                <w:szCs w:val="30"/>
                <w:lang w:eastAsia="zh-CN"/>
              </w:rPr>
              <w:t>医院办公室</w:t>
            </w:r>
            <w:r>
              <w:rPr>
                <w:rFonts w:hint="eastAsia" w:ascii="仿宋_GB2312" w:hAnsi="仿宋" w:eastAsia="仿宋_GB2312" w:cs="宋体"/>
                <w:kern w:val="0"/>
                <w:sz w:val="32"/>
                <w:szCs w:val="30"/>
              </w:rPr>
              <w:t>（安全环保部）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napToGrid w:val="0"/>
              <w:spacing w:line="48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医院办公室（安全环保部）负责对医院治安保卫工作的管理和监督，其他各科室配合开展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napToGrid w:val="0"/>
              <w:spacing w:line="48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医院办公室（安全环保部）组织，落实，管理，监督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napToGrid w:val="0"/>
              <w:spacing w:line="48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医院相关体系文件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napToGrid w:val="0"/>
              <w:spacing w:line="480" w:lineRule="exact"/>
              <w:jc w:val="left"/>
              <w:textAlignment w:val="center"/>
              <w:rPr>
                <w:rFonts w:ascii="仿宋_GB2312" w:hAnsi="仿宋" w:eastAsia="仿宋_GB2312" w:cs="宋体"/>
                <w:kern w:val="0"/>
                <w:sz w:val="32"/>
                <w:szCs w:val="30"/>
              </w:rPr>
            </w:pPr>
            <w:r>
              <w:rPr>
                <w:rFonts w:ascii="仿宋_GB2312" w:hAnsi="仿宋" w:eastAsia="仿宋_GB2312" w:cs="宋体"/>
                <w:kern w:val="0"/>
                <w:sz w:val="32"/>
                <w:szCs w:val="30"/>
              </w:rPr>
              <w:t>负责医院内部治安保卫体系的建立、运行和管理</w:t>
            </w:r>
            <w:r>
              <w:rPr>
                <w:rFonts w:hint="eastAsia" w:ascii="仿宋_GB2312" w:hAnsi="仿宋" w:eastAsia="仿宋_GB2312" w:cs="宋体"/>
                <w:kern w:val="0"/>
                <w:sz w:val="32"/>
                <w:szCs w:val="30"/>
              </w:rPr>
              <w:t>；</w:t>
            </w:r>
            <w:r>
              <w:rPr>
                <w:rFonts w:ascii="仿宋_GB2312" w:hAnsi="仿宋" w:eastAsia="仿宋_GB2312" w:cs="宋体"/>
                <w:kern w:val="0"/>
                <w:sz w:val="32"/>
                <w:szCs w:val="30"/>
              </w:rPr>
              <w:t>对医院</w:t>
            </w:r>
            <w:r>
              <w:rPr>
                <w:rFonts w:hint="eastAsia" w:ascii="仿宋_GB2312" w:hAnsi="仿宋" w:eastAsia="仿宋_GB2312" w:cs="宋体"/>
                <w:kern w:val="0"/>
                <w:sz w:val="32"/>
                <w:szCs w:val="30"/>
              </w:rPr>
              <w:t>各</w:t>
            </w:r>
            <w:r>
              <w:rPr>
                <w:rFonts w:ascii="仿宋_GB2312" w:hAnsi="仿宋" w:eastAsia="仿宋_GB2312" w:cs="宋体"/>
                <w:kern w:val="0"/>
                <w:sz w:val="32"/>
                <w:szCs w:val="30"/>
              </w:rPr>
              <w:t>单位的内部治安保卫工作进行指导、协调、监督和检查。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napToGrid w:val="0"/>
              <w:spacing w:line="520" w:lineRule="exact"/>
              <w:jc w:val="left"/>
              <w:textAlignment w:val="center"/>
              <w:rPr>
                <w:rFonts w:hint="eastAsia" w:ascii="仿宋_GB2312" w:hAnsi="仿宋" w:eastAsia="仿宋_GB2312" w:cs="宋体"/>
                <w:kern w:val="0"/>
                <w:sz w:val="32"/>
                <w:szCs w:val="30"/>
                <w:lang w:eastAsia="zh-CN"/>
              </w:rPr>
            </w:pPr>
          </w:p>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spacing w:beforeLines="50" w:afterLines="50"/>
        <w:jc w:val="center"/>
        <w:rPr>
          <w:b/>
          <w:sz w:val="36"/>
          <w:szCs w:val="36"/>
          <w:u w:val="single"/>
        </w:rPr>
      </w:pPr>
      <w:r>
        <w:rPr>
          <w:b/>
          <w:sz w:val="36"/>
          <w:szCs w:val="36"/>
          <w:u w:val="single"/>
        </w:rPr>
        <w:br w:type="page"/>
      </w:r>
    </w:p>
    <w:p>
      <w:pPr>
        <w:spacing w:beforeLines="50" w:afterLines="50"/>
        <w:jc w:val="center"/>
        <w:rPr>
          <w:b/>
          <w:sz w:val="36"/>
          <w:szCs w:val="36"/>
        </w:rPr>
      </w:pPr>
      <w:r>
        <w:rPr>
          <w:rFonts w:hint="eastAsia"/>
          <w:b/>
          <w:sz w:val="36"/>
          <w:szCs w:val="36"/>
          <w:u w:val="single"/>
        </w:rPr>
        <w:t>（门诊安全秩序管理）</w:t>
      </w:r>
      <w:r>
        <w:rPr>
          <w:rFonts w:hint="eastAsia"/>
          <w:b/>
          <w:sz w:val="36"/>
          <w:szCs w:val="36"/>
        </w:rPr>
        <w:t>信息表</w:t>
      </w:r>
    </w:p>
    <w:tbl>
      <w:tblPr>
        <w:tblStyle w:val="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11.4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门诊安全秩序管理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《天津市医院安全秩序管理条例》（第八条、第二十二条、第十七条、第十八条、第十九条）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天津市滨海新区海滨人民医院门诊管理部、安全环保部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天津市滨海新区海滨人民医院门诊管理部、安全环保部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依据《天津市医院安全秩序管理条例》执行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napToGrid w:val="0"/>
              <w:spacing w:line="520" w:lineRule="exact"/>
              <w:jc w:val="left"/>
              <w:textAlignment w:val="center"/>
              <w:rPr>
                <w:rFonts w:hint="eastAsia" w:ascii="仿宋_GB2312" w:hAnsi="仿宋" w:eastAsia="仿宋_GB2312" w:cs="宋体"/>
                <w:kern w:val="0"/>
                <w:sz w:val="32"/>
                <w:szCs w:val="30"/>
                <w:lang w:eastAsia="zh-CN"/>
              </w:rPr>
            </w:pPr>
          </w:p>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（医疗投诉受理）</w:t>
      </w:r>
      <w:r>
        <w:rPr>
          <w:rFonts w:hint="eastAsia"/>
          <w:b/>
          <w:sz w:val="36"/>
          <w:szCs w:val="36"/>
        </w:rPr>
        <w:t>信息表</w:t>
      </w:r>
    </w:p>
    <w:tbl>
      <w:tblPr>
        <w:tblStyle w:val="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12.1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医疗投诉受理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2"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医院投诉管理办法》第十六条医院应当设立医患关系办公室或指定部门统一承担医院投诉管理工作（以下统称投诉管理部门）。投诉管理部门履行以下职责:（一）统一受理投诉；（二）调查、核实投诉事项，提出处理意见，及时答复投诉人；（三）组织、协调、指导全院的投诉处理工作；（四）定期汇总、分析投诉信息，提出加强与改进工作的意见或建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天津市滨海新区海滨人民医院门诊管理部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受理-调查-处理-答复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由患方当事人或委托代理人提起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依据《医院投诉管理办法》执行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napToGrid w:val="0"/>
              <w:spacing w:line="520" w:lineRule="exact"/>
              <w:jc w:val="left"/>
              <w:textAlignment w:val="center"/>
              <w:rPr>
                <w:rFonts w:hint="eastAsia" w:ascii="仿宋_GB2312" w:hAnsi="仿宋" w:eastAsia="仿宋_GB2312" w:cs="宋体"/>
                <w:kern w:val="0"/>
                <w:sz w:val="32"/>
                <w:szCs w:val="30"/>
                <w:lang w:eastAsia="zh-CN"/>
              </w:rPr>
            </w:pPr>
          </w:p>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spacing w:beforeLines="50" w:afterLines="50"/>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（医疗投诉处理）</w:t>
      </w:r>
      <w:r>
        <w:rPr>
          <w:rFonts w:hint="eastAsia"/>
          <w:b/>
          <w:sz w:val="36"/>
          <w:szCs w:val="36"/>
        </w:rPr>
        <w:t>信息表</w:t>
      </w:r>
    </w:p>
    <w:tbl>
      <w:tblPr>
        <w:tblStyle w:val="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12.2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医疗投诉处理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35"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《医疗事故处置条例》第七条</w:t>
            </w:r>
          </w:p>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《天津市医疗纠纷处置条例》第十五条</w:t>
            </w:r>
          </w:p>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《医院投诉管理办法》第十六条医院应当设立医患关系办公室或指定部门统一承担医院投诉管理工作（以下统称投诉管理部门）。</w:t>
            </w:r>
          </w:p>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投诉管理部门履行以下职责:（一）统一受理投诉；（二）调查、核实投诉事项，提出处理意见，及时答复投诉人；（三）组织、协调、指导全院的投诉处理工作；（四）定期汇总、分析投诉信息，提出加强与改进工作的意见或建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w:t>
            </w:r>
            <w:r>
              <w:rPr>
                <w:rFonts w:ascii="仿宋_GB2312" w:hAnsi="仿宋" w:eastAsia="仿宋_GB2312" w:cs="宋体"/>
                <w:kern w:val="0"/>
                <w:sz w:val="32"/>
                <w:szCs w:val="30"/>
              </w:rPr>
              <w:t>人民医院医务科教部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受理-调查-处理-答复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由患方当事人或起</w:t>
            </w:r>
            <w:bookmarkStart w:id="0" w:name="_GoBack"/>
            <w:bookmarkEnd w:id="0"/>
            <w:r>
              <w:rPr>
                <w:rFonts w:hint="eastAsia" w:ascii="仿宋_GB2312" w:hAnsi="仿宋" w:eastAsia="仿宋_GB2312" w:cs="宋体"/>
                <w:kern w:val="0"/>
                <w:sz w:val="32"/>
                <w:szCs w:val="30"/>
              </w:rPr>
              <w:t>委托代理人提起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依据《医疗纠纷处置条例》《天津市医疗纠纷处置条例》《医院投诉管理办法》执行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napToGrid w:val="0"/>
              <w:spacing w:line="520" w:lineRule="exact"/>
              <w:jc w:val="left"/>
              <w:textAlignment w:val="center"/>
              <w:rPr>
                <w:rFonts w:hint="eastAsia" w:ascii="仿宋_GB2312" w:hAnsi="仿宋" w:eastAsia="仿宋_GB2312" w:cs="宋体"/>
                <w:kern w:val="0"/>
                <w:sz w:val="32"/>
                <w:szCs w:val="30"/>
                <w:lang w:eastAsia="zh-CN"/>
              </w:rPr>
            </w:pPr>
          </w:p>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spacing w:beforeLines="50" w:afterLines="50"/>
        <w:jc w:val="left"/>
        <w:rPr>
          <w:b/>
          <w:sz w:val="28"/>
          <w:szCs w:val="28"/>
          <w:u w:val="single"/>
        </w:rPr>
      </w:pPr>
      <w:r>
        <w:rPr>
          <w:b/>
          <w:sz w:val="28"/>
          <w:szCs w:val="28"/>
          <w:u w:val="single"/>
        </w:rPr>
        <w:br w:type="page"/>
      </w:r>
    </w:p>
    <w:p>
      <w:pPr>
        <w:spacing w:beforeLines="50" w:afterLines="50"/>
        <w:jc w:val="center"/>
        <w:rPr>
          <w:b/>
          <w:sz w:val="36"/>
          <w:szCs w:val="36"/>
          <w:u w:val="single"/>
        </w:rPr>
      </w:pPr>
      <w:r>
        <w:rPr>
          <w:rFonts w:hint="eastAsia"/>
          <w:b/>
          <w:sz w:val="36"/>
          <w:szCs w:val="36"/>
          <w:u w:val="single"/>
        </w:rPr>
        <w:t>（行风投诉处理 ）</w:t>
      </w:r>
      <w:r>
        <w:rPr>
          <w:rFonts w:hint="eastAsia"/>
          <w:b/>
          <w:sz w:val="36"/>
          <w:szCs w:val="36"/>
        </w:rPr>
        <w:t>信息表</w:t>
      </w:r>
    </w:p>
    <w:tbl>
      <w:tblPr>
        <w:tblStyle w:val="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12.3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行风投诉处理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19"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执业医师法》第二十二条医师在执业活动中履行下列义务：（一）遵守法律、法规，遵守技术操作规范；（二）树立敬业精神，遵守职业道德，履行医师职责，尽职尽责为患者服务；（三）关心、爱护、尊重患者，保护患者的隐私；（四）努力钻研业务，更新知识，提高专业技术水平；（五）宣传卫生保健知识，对患者进行健康教育。</w:t>
            </w:r>
          </w:p>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《医疗机构管理条例》第二十九条医疗机构应当加强对医务人员的医德教育。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天津市滨海新区海滨人民医院党委办公室（审计办公室）、门诊管理部（投诉受理部）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天津市滨海新区海滨人民医院党委办公室（审计办公室）、门诊管理部（投诉受理部）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受理-调查-处理-答复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由当事人提起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依据《执业医师法》《医疗机构管理条例》执行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napToGrid w:val="0"/>
              <w:spacing w:line="520" w:lineRule="exact"/>
              <w:jc w:val="left"/>
              <w:textAlignment w:val="center"/>
              <w:rPr>
                <w:rFonts w:hint="eastAsia" w:ascii="仿宋_GB2312" w:hAnsi="仿宋" w:eastAsia="仿宋_GB2312" w:cs="宋体"/>
                <w:kern w:val="0"/>
                <w:sz w:val="32"/>
                <w:szCs w:val="30"/>
                <w:lang w:eastAsia="zh-CN"/>
              </w:rPr>
            </w:pPr>
          </w:p>
          <w:p>
            <w:pPr>
              <w:widowControl/>
              <w:snapToGrid w:val="0"/>
              <w:spacing w:line="520" w:lineRule="exact"/>
              <w:jc w:val="left"/>
              <w:textAlignment w:val="center"/>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sz w:val="36"/>
          <w:szCs w:val="36"/>
        </w:rPr>
      </w:pPr>
    </w:p>
    <w:sectPr>
      <w:footerReference r:id="rId3" w:type="default"/>
      <w:pgSz w:w="11906" w:h="16838"/>
      <w:pgMar w:top="1134" w:right="1588" w:bottom="1134" w:left="1588" w:header="851" w:footer="62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A70344"/>
    <w:rsid w:val="00030CE0"/>
    <w:rsid w:val="00042217"/>
    <w:rsid w:val="00047B84"/>
    <w:rsid w:val="000551DA"/>
    <w:rsid w:val="00065684"/>
    <w:rsid w:val="000B6AE8"/>
    <w:rsid w:val="000C1E81"/>
    <w:rsid w:val="000C3F60"/>
    <w:rsid w:val="000E01AA"/>
    <w:rsid w:val="000E18B1"/>
    <w:rsid w:val="00123FC6"/>
    <w:rsid w:val="00130A0F"/>
    <w:rsid w:val="0015090F"/>
    <w:rsid w:val="00161AEF"/>
    <w:rsid w:val="001948BD"/>
    <w:rsid w:val="00196EFA"/>
    <w:rsid w:val="001B42F6"/>
    <w:rsid w:val="001E756F"/>
    <w:rsid w:val="002375A6"/>
    <w:rsid w:val="00247923"/>
    <w:rsid w:val="002543E5"/>
    <w:rsid w:val="002603F9"/>
    <w:rsid w:val="00281851"/>
    <w:rsid w:val="00294F45"/>
    <w:rsid w:val="002A1C3C"/>
    <w:rsid w:val="002A609E"/>
    <w:rsid w:val="002C3486"/>
    <w:rsid w:val="002D1897"/>
    <w:rsid w:val="002F12B3"/>
    <w:rsid w:val="00334411"/>
    <w:rsid w:val="0034223D"/>
    <w:rsid w:val="00357979"/>
    <w:rsid w:val="003D3630"/>
    <w:rsid w:val="003F53DD"/>
    <w:rsid w:val="0046170E"/>
    <w:rsid w:val="00470C83"/>
    <w:rsid w:val="004A0528"/>
    <w:rsid w:val="004A306D"/>
    <w:rsid w:val="004F4E44"/>
    <w:rsid w:val="0050632A"/>
    <w:rsid w:val="00565D68"/>
    <w:rsid w:val="00594F8E"/>
    <w:rsid w:val="005B3DDC"/>
    <w:rsid w:val="005C32EB"/>
    <w:rsid w:val="005F5D8B"/>
    <w:rsid w:val="00602AD4"/>
    <w:rsid w:val="00631EA3"/>
    <w:rsid w:val="00694276"/>
    <w:rsid w:val="006D3FD0"/>
    <w:rsid w:val="006F36C1"/>
    <w:rsid w:val="006F3F5B"/>
    <w:rsid w:val="00700270"/>
    <w:rsid w:val="00715BD2"/>
    <w:rsid w:val="00734D1D"/>
    <w:rsid w:val="00735101"/>
    <w:rsid w:val="007369FD"/>
    <w:rsid w:val="0074048C"/>
    <w:rsid w:val="00754DED"/>
    <w:rsid w:val="00760609"/>
    <w:rsid w:val="00766DAA"/>
    <w:rsid w:val="00770050"/>
    <w:rsid w:val="00780A2B"/>
    <w:rsid w:val="0079149D"/>
    <w:rsid w:val="007950FD"/>
    <w:rsid w:val="007A17A6"/>
    <w:rsid w:val="007F1B92"/>
    <w:rsid w:val="007F793E"/>
    <w:rsid w:val="008152C3"/>
    <w:rsid w:val="00817DA6"/>
    <w:rsid w:val="0083400E"/>
    <w:rsid w:val="0085189A"/>
    <w:rsid w:val="00856D2D"/>
    <w:rsid w:val="008A38DD"/>
    <w:rsid w:val="008B459B"/>
    <w:rsid w:val="008D006F"/>
    <w:rsid w:val="00903BFA"/>
    <w:rsid w:val="00903D03"/>
    <w:rsid w:val="00906581"/>
    <w:rsid w:val="0092260B"/>
    <w:rsid w:val="00936D2B"/>
    <w:rsid w:val="00A06AAA"/>
    <w:rsid w:val="00A20096"/>
    <w:rsid w:val="00A70344"/>
    <w:rsid w:val="00AA7372"/>
    <w:rsid w:val="00AB709F"/>
    <w:rsid w:val="00AD01D6"/>
    <w:rsid w:val="00AE3FC2"/>
    <w:rsid w:val="00AF5039"/>
    <w:rsid w:val="00B62530"/>
    <w:rsid w:val="00BC1978"/>
    <w:rsid w:val="00BC2662"/>
    <w:rsid w:val="00BC5F11"/>
    <w:rsid w:val="00BF2CB5"/>
    <w:rsid w:val="00C040CF"/>
    <w:rsid w:val="00C12AA7"/>
    <w:rsid w:val="00C16D7C"/>
    <w:rsid w:val="00C27C8C"/>
    <w:rsid w:val="00C571A7"/>
    <w:rsid w:val="00C72825"/>
    <w:rsid w:val="00C82822"/>
    <w:rsid w:val="00D027A6"/>
    <w:rsid w:val="00D02A73"/>
    <w:rsid w:val="00D7072C"/>
    <w:rsid w:val="00D7659A"/>
    <w:rsid w:val="00D9751C"/>
    <w:rsid w:val="00DC53CE"/>
    <w:rsid w:val="00DD0B63"/>
    <w:rsid w:val="00DD190B"/>
    <w:rsid w:val="00E17E9E"/>
    <w:rsid w:val="00E23280"/>
    <w:rsid w:val="00E609DC"/>
    <w:rsid w:val="00E73E76"/>
    <w:rsid w:val="00EA0622"/>
    <w:rsid w:val="00F10414"/>
    <w:rsid w:val="00F35DE0"/>
    <w:rsid w:val="00F50373"/>
    <w:rsid w:val="00F57D6C"/>
    <w:rsid w:val="00F81EDD"/>
    <w:rsid w:val="00FA10C9"/>
    <w:rsid w:val="00FB430D"/>
    <w:rsid w:val="00FC1AAF"/>
    <w:rsid w:val="070C05CE"/>
    <w:rsid w:val="19A1292E"/>
    <w:rsid w:val="249777DE"/>
    <w:rsid w:val="2E0D3C6C"/>
    <w:rsid w:val="31366F38"/>
    <w:rsid w:val="3283579C"/>
    <w:rsid w:val="3A8E3BA6"/>
    <w:rsid w:val="434C2DF8"/>
    <w:rsid w:val="50115129"/>
    <w:rsid w:val="53E71D50"/>
    <w:rsid w:val="63B9472F"/>
    <w:rsid w:val="678552AC"/>
    <w:rsid w:val="7418201D"/>
    <w:rsid w:val="7B3F1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Hyperlink"/>
    <w:basedOn w:val="6"/>
    <w:unhideWhenUsed/>
    <w:uiPriority w:val="99"/>
    <w:rPr>
      <w:color w:val="0000FF" w:themeColor="hyperlink"/>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55D3C6-1843-4308-B242-1DAB217EC247}">
  <ds:schemaRefs/>
</ds:datastoreItem>
</file>

<file path=docProps/app.xml><?xml version="1.0" encoding="utf-8"?>
<Properties xmlns="http://schemas.openxmlformats.org/officeDocument/2006/extended-properties" xmlns:vt="http://schemas.openxmlformats.org/officeDocument/2006/docPropsVTypes">
  <Template>Normal</Template>
  <Pages>48</Pages>
  <Words>13490</Words>
  <Characters>14960</Characters>
  <Lines>117</Lines>
  <Paragraphs>33</Paragraphs>
  <TotalTime>172</TotalTime>
  <ScaleCrop>false</ScaleCrop>
  <LinksUpToDate>false</LinksUpToDate>
  <CharactersWithSpaces>14975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2021-08-04T02:15:00Z</dcterms:created>
  <dc:creator>于成梅</dc:creator>
  <cp:lastModifiedBy>小风筝_薇</cp:lastModifiedBy>
  <dcterms:modified xsi:type="dcterms:W3CDTF">2024-06-26T05:20:25Z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C6899248DAE54F9384CC242F84EBA5A4_12</vt:lpwstr>
  </property>
</Properties>
</file>