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8804" w:type="dxa"/>
        <w:tblInd w:w="93" w:type="dxa"/>
        <w:tblLayout w:type="fixed"/>
        <w:tblCellMar>
          <w:top w:w="0" w:type="dxa"/>
          <w:left w:w="108" w:type="dxa"/>
          <w:bottom w:w="0" w:type="dxa"/>
          <w:right w:w="108" w:type="dxa"/>
        </w:tblCellMar>
      </w:tblPr>
      <w:tblGrid>
        <w:gridCol w:w="516"/>
        <w:gridCol w:w="1393"/>
        <w:gridCol w:w="1032"/>
        <w:gridCol w:w="4304"/>
        <w:gridCol w:w="1559"/>
      </w:tblGrid>
      <w:tr>
        <w:tblPrEx>
          <w:tblCellMar>
            <w:top w:w="0" w:type="dxa"/>
            <w:left w:w="108" w:type="dxa"/>
            <w:bottom w:w="0" w:type="dxa"/>
            <w:right w:w="108" w:type="dxa"/>
          </w:tblCellMar>
        </w:tblPrEx>
        <w:trPr>
          <w:trHeight w:val="615" w:hRule="atLeast"/>
        </w:trPr>
        <w:tc>
          <w:tcPr>
            <w:tcW w:w="8804" w:type="dxa"/>
            <w:gridSpan w:val="5"/>
            <w:tcBorders>
              <w:top w:val="nil"/>
              <w:left w:val="nil"/>
              <w:bottom w:val="single" w:color="auto" w:sz="4" w:space="0"/>
              <w:right w:val="nil"/>
            </w:tcBorders>
            <w:vAlign w:val="center"/>
          </w:tcPr>
          <w:p>
            <w:pPr>
              <w:widowControl/>
              <w:jc w:val="center"/>
              <w:rPr>
                <w:rFonts w:ascii="方正小标宋简体" w:hAnsi="宋体" w:eastAsia="方正小标宋简体" w:cs="宋体"/>
                <w:color w:val="000000" w:themeColor="text1"/>
                <w:kern w:val="0"/>
                <w:sz w:val="40"/>
                <w:szCs w:val="28"/>
              </w:rPr>
            </w:pPr>
            <w:r>
              <w:rPr>
                <w:rFonts w:hint="eastAsia" w:ascii="方正小标宋简体" w:hAnsi="宋体" w:eastAsia="方正小标宋简体" w:cs="宋体"/>
                <w:bCs/>
                <w:color w:val="000000" w:themeColor="text1"/>
                <w:kern w:val="0"/>
                <w:sz w:val="40"/>
                <w:szCs w:val="28"/>
              </w:rPr>
              <w:t>天津市滨海新区大港第四幼儿园职责目录</w:t>
            </w:r>
          </w:p>
        </w:tc>
      </w:tr>
      <w:tr>
        <w:tblPrEx>
          <w:tblCellMar>
            <w:top w:w="0" w:type="dxa"/>
            <w:left w:w="108" w:type="dxa"/>
            <w:bottom w:w="0" w:type="dxa"/>
            <w:right w:w="108" w:type="dxa"/>
          </w:tblCellMar>
        </w:tblPrEx>
        <w:trPr>
          <w:trHeight w:val="465" w:hRule="atLeast"/>
        </w:trPr>
        <w:tc>
          <w:tcPr>
            <w:tcW w:w="516" w:type="dxa"/>
            <w:vMerge w:val="restart"/>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序号</w:t>
            </w:r>
          </w:p>
        </w:tc>
        <w:tc>
          <w:tcPr>
            <w:tcW w:w="1393" w:type="dxa"/>
            <w:vMerge w:val="restart"/>
            <w:tcBorders>
              <w:top w:val="single" w:color="auto" w:sz="4"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主要</w:t>
            </w:r>
          </w:p>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职责</w:t>
            </w:r>
          </w:p>
        </w:tc>
        <w:tc>
          <w:tcPr>
            <w:tcW w:w="6895" w:type="dxa"/>
            <w:gridSpan w:val="3"/>
            <w:tcBorders>
              <w:top w:val="single" w:color="auto" w:sz="4" w:space="0"/>
              <w:left w:val="single" w:color="auto" w:sz="6" w:space="0"/>
              <w:bottom w:val="single" w:color="auto" w:sz="6" w:space="0"/>
              <w:right w:val="single" w:color="auto" w:sz="4"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职责事项</w:t>
            </w:r>
          </w:p>
        </w:tc>
      </w:tr>
      <w:tr>
        <w:tblPrEx>
          <w:tblCellMar>
            <w:top w:w="0" w:type="dxa"/>
            <w:left w:w="108" w:type="dxa"/>
            <w:bottom w:w="0" w:type="dxa"/>
            <w:right w:w="108" w:type="dxa"/>
          </w:tblCellMar>
        </w:tblPrEx>
        <w:trPr>
          <w:trHeight w:val="795" w:hRule="atLeast"/>
        </w:trPr>
        <w:tc>
          <w:tcPr>
            <w:tcW w:w="516" w:type="dxa"/>
            <w:vMerge w:val="continue"/>
            <w:tcBorders>
              <w:top w:val="single" w:color="auto" w:sz="4" w:space="0"/>
              <w:left w:val="single" w:color="auto" w:sz="4" w:space="0"/>
              <w:bottom w:val="single" w:color="auto" w:sz="6" w:space="0"/>
              <w:right w:val="single" w:color="auto" w:sz="6" w:space="0"/>
            </w:tcBorders>
            <w:vAlign w:val="center"/>
          </w:tcPr>
          <w:p>
            <w:pPr>
              <w:widowControl/>
              <w:jc w:val="left"/>
              <w:rPr>
                <w:rFonts w:ascii="方正黑体简体" w:hAnsi="宋体" w:eastAsia="方正黑体简体" w:cs="宋体"/>
                <w:kern w:val="0"/>
                <w:sz w:val="30"/>
                <w:szCs w:val="30"/>
              </w:rPr>
            </w:pPr>
          </w:p>
        </w:tc>
        <w:tc>
          <w:tcPr>
            <w:tcW w:w="1393" w:type="dxa"/>
            <w:vMerge w:val="continue"/>
            <w:tcBorders>
              <w:top w:val="single" w:color="auto" w:sz="4" w:space="0"/>
              <w:left w:val="single" w:color="auto" w:sz="6" w:space="0"/>
              <w:bottom w:val="single" w:color="auto" w:sz="6" w:space="0"/>
              <w:right w:val="single" w:color="auto" w:sz="6" w:space="0"/>
            </w:tcBorders>
            <w:vAlign w:val="center"/>
          </w:tcPr>
          <w:p>
            <w:pPr>
              <w:widowControl/>
              <w:jc w:val="left"/>
              <w:rPr>
                <w:rFonts w:ascii="方正黑体简体" w:hAnsi="宋体" w:eastAsia="方正黑体简体" w:cs="宋体"/>
                <w:kern w:val="0"/>
                <w:sz w:val="30"/>
                <w:szCs w:val="30"/>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序号</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名称</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页码</w:t>
            </w:r>
          </w:p>
        </w:tc>
      </w:tr>
      <w:tr>
        <w:tblPrEx>
          <w:tblCellMar>
            <w:top w:w="0" w:type="dxa"/>
            <w:left w:w="108" w:type="dxa"/>
            <w:bottom w:w="0" w:type="dxa"/>
            <w:right w:w="108" w:type="dxa"/>
          </w:tblCellMar>
        </w:tblPrEx>
        <w:trPr>
          <w:trHeight w:val="900" w:hRule="atLeast"/>
        </w:trPr>
        <w:tc>
          <w:tcPr>
            <w:tcW w:w="516" w:type="dxa"/>
            <w:vMerge w:val="restart"/>
            <w:tcBorders>
              <w:top w:val="single" w:color="auto" w:sz="6" w:space="0"/>
              <w:left w:val="single" w:color="auto" w:sz="4"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1</w:t>
            </w:r>
          </w:p>
        </w:tc>
        <w:tc>
          <w:tcPr>
            <w:tcW w:w="1393" w:type="dxa"/>
            <w:vMerge w:val="restart"/>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r>
              <w:rPr>
                <w:rFonts w:eastAsia="楷体_GB2312"/>
                <w:sz w:val="24"/>
              </w:rPr>
              <w:t>提高和改善办园条件，满足适龄幼儿接受教育的需求。</w:t>
            </w:r>
            <w:r>
              <w:rPr>
                <w:rFonts w:hint="eastAsia" w:ascii="方正黑体简体" w:hAnsi="宋体" w:eastAsia="方正黑体简体" w:cs="宋体"/>
                <w:kern w:val="0"/>
                <w:sz w:val="24"/>
              </w:rPr>
              <w:t>　</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1.1</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jc w:val="left"/>
              <w:rPr>
                <w:rFonts w:ascii="方正黑体简体" w:hAnsi="宋体" w:eastAsia="方正黑体简体" w:cs="宋体"/>
                <w:kern w:val="0"/>
                <w:sz w:val="24"/>
              </w:rPr>
            </w:pPr>
            <w:r>
              <w:rPr>
                <w:rFonts w:hint="eastAsia" w:eastAsia="楷体_GB2312"/>
                <w:sz w:val="24"/>
              </w:rPr>
              <w:t>幼儿学籍管理</w:t>
            </w:r>
            <w:r>
              <w:rPr>
                <w:rFonts w:hint="eastAsia" w:ascii="方正黑体简体" w:hAnsi="宋体" w:eastAsia="方正黑体简体" w:cs="宋体"/>
                <w:kern w:val="0"/>
                <w:sz w:val="24"/>
              </w:rPr>
              <w:t>　</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2</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宋体" w:hAnsi="宋体" w:cs="宋体"/>
                <w:kern w:val="0"/>
                <w:sz w:val="30"/>
                <w:szCs w:val="30"/>
              </w:rPr>
            </w:pPr>
          </w:p>
        </w:tc>
        <w:tc>
          <w:tcPr>
            <w:tcW w:w="1393"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1.2</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方正黑体简体" w:hAnsi="宋体" w:eastAsia="方正黑体简体" w:cs="宋体"/>
                <w:kern w:val="0"/>
                <w:sz w:val="24"/>
              </w:rPr>
            </w:pPr>
            <w:r>
              <w:rPr>
                <w:rFonts w:hint="eastAsia" w:eastAsia="楷体_GB2312"/>
                <w:sz w:val="24"/>
              </w:rPr>
              <w:t>幼儿招生工作</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3</w:t>
            </w:r>
          </w:p>
        </w:tc>
      </w:tr>
      <w:tr>
        <w:tblPrEx>
          <w:tblCellMar>
            <w:top w:w="0" w:type="dxa"/>
            <w:left w:w="108" w:type="dxa"/>
            <w:bottom w:w="0" w:type="dxa"/>
            <w:right w:w="108" w:type="dxa"/>
          </w:tblCellMar>
        </w:tblPrEx>
        <w:trPr>
          <w:trHeight w:val="690" w:hRule="atLeast"/>
        </w:trPr>
        <w:tc>
          <w:tcPr>
            <w:tcW w:w="516" w:type="dxa"/>
            <w:vMerge w:val="restart"/>
            <w:tcBorders>
              <w:top w:val="single" w:color="auto" w:sz="6" w:space="0"/>
              <w:left w:val="single" w:color="auto" w:sz="4"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w:t>
            </w:r>
          </w:p>
        </w:tc>
        <w:tc>
          <w:tcPr>
            <w:tcW w:w="1393" w:type="dxa"/>
            <w:vMerge w:val="restart"/>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r>
              <w:rPr>
                <w:rFonts w:eastAsia="楷体_GB2312"/>
                <w:sz w:val="24"/>
              </w:rPr>
              <w:t>加强安全卫生防护意识，确保幼儿园工作有序进行。</w:t>
            </w:r>
            <w:r>
              <w:rPr>
                <w:rFonts w:hint="eastAsia" w:ascii="方正楷体简体" w:hAnsi="宋体" w:eastAsia="方正楷体简体" w:cs="宋体"/>
                <w:kern w:val="0"/>
                <w:sz w:val="24"/>
              </w:rPr>
              <w:t>　</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2.1</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幼儿园安全管理</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4</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宋体" w:hAnsi="宋体" w:cs="宋体"/>
                <w:kern w:val="0"/>
                <w:sz w:val="30"/>
                <w:szCs w:val="30"/>
              </w:rPr>
            </w:pPr>
          </w:p>
        </w:tc>
        <w:tc>
          <w:tcPr>
            <w:tcW w:w="1393"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2.2</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卫生保健管理</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5</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宋体" w:hAnsi="宋体" w:cs="宋体"/>
                <w:kern w:val="0"/>
                <w:sz w:val="30"/>
                <w:szCs w:val="30"/>
              </w:rPr>
            </w:pPr>
          </w:p>
        </w:tc>
        <w:tc>
          <w:tcPr>
            <w:tcW w:w="1393"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2.3</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食品安全</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6</w:t>
            </w:r>
          </w:p>
        </w:tc>
      </w:tr>
      <w:tr>
        <w:tblPrEx>
          <w:tblCellMar>
            <w:top w:w="0" w:type="dxa"/>
            <w:left w:w="108" w:type="dxa"/>
            <w:bottom w:w="0" w:type="dxa"/>
            <w:right w:w="108" w:type="dxa"/>
          </w:tblCellMar>
        </w:tblPrEx>
        <w:trPr>
          <w:trHeight w:val="690" w:hRule="atLeast"/>
        </w:trPr>
        <w:tc>
          <w:tcPr>
            <w:tcW w:w="516" w:type="dxa"/>
            <w:tcBorders>
              <w:top w:val="single" w:color="auto" w:sz="6" w:space="0"/>
              <w:left w:val="single" w:color="auto" w:sz="4" w:space="0"/>
              <w:bottom w:val="single" w:color="auto" w:sz="4"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3</w:t>
            </w:r>
          </w:p>
        </w:tc>
        <w:tc>
          <w:tcPr>
            <w:tcW w:w="1393" w:type="dxa"/>
            <w:tcBorders>
              <w:top w:val="single" w:color="auto" w:sz="6" w:space="0"/>
              <w:left w:val="single" w:color="auto" w:sz="6" w:space="0"/>
              <w:bottom w:val="single" w:color="auto" w:sz="4" w:space="0"/>
              <w:right w:val="single" w:color="auto" w:sz="6" w:space="0"/>
            </w:tcBorders>
            <w:vAlign w:val="center"/>
          </w:tcPr>
          <w:p>
            <w:pPr>
              <w:widowControl/>
              <w:jc w:val="left"/>
              <w:rPr>
                <w:rFonts w:ascii="方正楷体简体" w:hAnsi="宋体" w:eastAsia="方正楷体简体" w:cs="宋体"/>
                <w:kern w:val="0"/>
                <w:sz w:val="24"/>
              </w:rPr>
            </w:pPr>
            <w:r>
              <w:rPr>
                <w:rFonts w:hint="eastAsia" w:ascii="方正楷体简体" w:hAnsi="宋体" w:eastAsia="方正楷体简体" w:cs="宋体"/>
                <w:kern w:val="0"/>
                <w:sz w:val="24"/>
              </w:rPr>
              <w:t>　</w:t>
            </w:r>
            <w:r>
              <w:rPr>
                <w:rFonts w:hint="eastAsia" w:ascii="楷体_GB2312" w:hAnsi="楷体_GB2312" w:eastAsia="楷体_GB2312" w:cs="楷体_GB2312"/>
                <w:kern w:val="0"/>
                <w:sz w:val="24"/>
              </w:rPr>
              <w:t>落实立德树人根本任务，整体提升和优化保教质量。</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3.1</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幼儿一日生活的组织与实施</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7</w:t>
            </w:r>
          </w:p>
        </w:tc>
      </w:tr>
      <w:tr>
        <w:tblPrEx>
          <w:tblCellMar>
            <w:top w:w="0" w:type="dxa"/>
            <w:left w:w="108" w:type="dxa"/>
            <w:bottom w:w="0" w:type="dxa"/>
            <w:right w:w="108" w:type="dxa"/>
          </w:tblCellMar>
        </w:tblPrEx>
        <w:trPr>
          <w:trHeight w:val="1263" w:hRule="atLeast"/>
        </w:trPr>
        <w:tc>
          <w:tcPr>
            <w:tcW w:w="516" w:type="dxa"/>
            <w:vMerge w:val="restart"/>
            <w:tcBorders>
              <w:top w:val="single" w:color="auto" w:sz="6" w:space="0"/>
              <w:left w:val="single" w:color="auto" w:sz="4" w:space="0"/>
              <w:right w:val="single" w:color="auto" w:sz="6" w:space="0"/>
            </w:tcBorders>
            <w:vAlign w:val="center"/>
          </w:tcPr>
          <w:p>
            <w:pPr>
              <w:widowControl/>
              <w:jc w:val="left"/>
              <w:rPr>
                <w:rFonts w:ascii="宋体" w:hAnsi="宋体" w:cs="宋体"/>
                <w:kern w:val="0"/>
                <w:sz w:val="30"/>
                <w:szCs w:val="30"/>
              </w:rPr>
            </w:pPr>
            <w:r>
              <w:rPr>
                <w:rFonts w:hint="eastAsia" w:ascii="宋体" w:hAnsi="宋体" w:cs="宋体"/>
                <w:kern w:val="0"/>
                <w:sz w:val="30"/>
                <w:szCs w:val="30"/>
              </w:rPr>
              <w:t>4</w:t>
            </w:r>
          </w:p>
        </w:tc>
        <w:tc>
          <w:tcPr>
            <w:tcW w:w="1393" w:type="dxa"/>
            <w:vMerge w:val="restart"/>
            <w:tcBorders>
              <w:top w:val="single" w:color="auto" w:sz="6" w:space="0"/>
              <w:left w:val="single" w:color="auto" w:sz="6" w:space="0"/>
              <w:right w:val="single" w:color="auto" w:sz="6" w:space="0"/>
            </w:tcBorders>
            <w:vAlign w:val="center"/>
          </w:tcPr>
          <w:p>
            <w:pPr>
              <w:widowControl/>
              <w:jc w:val="left"/>
              <w:rPr>
                <w:rFonts w:ascii="方正楷体简体" w:hAnsi="宋体" w:eastAsia="方正楷体简体" w:cs="宋体"/>
                <w:kern w:val="0"/>
                <w:sz w:val="30"/>
                <w:szCs w:val="30"/>
              </w:rPr>
            </w:pPr>
            <w:r>
              <w:rPr>
                <w:rFonts w:hint="eastAsia" w:ascii="楷体_GB2312" w:hAnsi="楷体_GB2312" w:eastAsia="楷体_GB2312" w:cs="楷体_GB2312"/>
                <w:kern w:val="0"/>
                <w:sz w:val="24"/>
              </w:rPr>
              <w:t>加强教师队伍建设，促进教师专业化发展。</w:t>
            </w:r>
          </w:p>
        </w:tc>
        <w:tc>
          <w:tcPr>
            <w:tcW w:w="1032" w:type="dxa"/>
            <w:tcBorders>
              <w:top w:val="single" w:color="auto" w:sz="6" w:space="0"/>
              <w:left w:val="single" w:color="auto" w:sz="6"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4.1</w:t>
            </w:r>
          </w:p>
        </w:tc>
        <w:tc>
          <w:tcPr>
            <w:tcW w:w="4304" w:type="dxa"/>
            <w:tcBorders>
              <w:top w:val="single" w:color="auto" w:sz="4" w:space="0"/>
              <w:left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教职工配备</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8</w:t>
            </w:r>
          </w:p>
        </w:tc>
      </w:tr>
      <w:tr>
        <w:tblPrEx>
          <w:tblCellMar>
            <w:top w:w="0" w:type="dxa"/>
            <w:left w:w="108" w:type="dxa"/>
            <w:bottom w:w="0" w:type="dxa"/>
            <w:right w:w="108" w:type="dxa"/>
          </w:tblCellMar>
        </w:tblPrEx>
        <w:trPr>
          <w:trHeight w:val="515" w:hRule="atLeast"/>
        </w:trPr>
        <w:tc>
          <w:tcPr>
            <w:tcW w:w="516" w:type="dxa"/>
            <w:vMerge w:val="continue"/>
            <w:tcBorders>
              <w:left w:val="single" w:color="auto" w:sz="4" w:space="0"/>
              <w:right w:val="single" w:color="auto" w:sz="6" w:space="0"/>
            </w:tcBorders>
            <w:vAlign w:val="center"/>
          </w:tcPr>
          <w:p>
            <w:pPr>
              <w:widowControl/>
              <w:jc w:val="center"/>
              <w:rPr>
                <w:rFonts w:ascii="宋体" w:hAnsi="宋体" w:cs="宋体"/>
                <w:kern w:val="0"/>
                <w:sz w:val="30"/>
                <w:szCs w:val="30"/>
              </w:rPr>
            </w:pPr>
          </w:p>
        </w:tc>
        <w:tc>
          <w:tcPr>
            <w:tcW w:w="1393" w:type="dxa"/>
            <w:vMerge w:val="continue"/>
            <w:tcBorders>
              <w:left w:val="single" w:color="auto" w:sz="6" w:space="0"/>
              <w:right w:val="single" w:color="auto" w:sz="6" w:space="0"/>
            </w:tcBorders>
            <w:vAlign w:val="center"/>
          </w:tcPr>
          <w:p>
            <w:pPr>
              <w:widowControl/>
              <w:jc w:val="left"/>
              <w:rPr>
                <w:rFonts w:ascii="宋体" w:hAnsi="宋体" w:cs="宋体"/>
                <w:kern w:val="0"/>
                <w:sz w:val="30"/>
                <w:szCs w:val="30"/>
              </w:rPr>
            </w:pPr>
          </w:p>
        </w:tc>
        <w:tc>
          <w:tcPr>
            <w:tcW w:w="1032" w:type="dxa"/>
            <w:tcBorders>
              <w:top w:val="single" w:color="auto" w:sz="6" w:space="0"/>
              <w:left w:val="single" w:color="auto" w:sz="6" w:space="0"/>
              <w:bottom w:val="single" w:color="auto" w:sz="6"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4.2</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师德建设</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9</w:t>
            </w:r>
          </w:p>
        </w:tc>
      </w:tr>
      <w:tr>
        <w:tblPrEx>
          <w:tblCellMar>
            <w:top w:w="0" w:type="dxa"/>
            <w:left w:w="108" w:type="dxa"/>
            <w:bottom w:w="0" w:type="dxa"/>
            <w:right w:w="108" w:type="dxa"/>
          </w:tblCellMar>
        </w:tblPrEx>
        <w:trPr>
          <w:trHeight w:val="515" w:hRule="atLeast"/>
        </w:trPr>
        <w:tc>
          <w:tcPr>
            <w:tcW w:w="516" w:type="dxa"/>
            <w:vMerge w:val="continue"/>
            <w:tcBorders>
              <w:left w:val="single" w:color="auto" w:sz="4" w:space="0"/>
              <w:bottom w:val="single" w:color="auto" w:sz="4" w:space="0"/>
              <w:right w:val="single" w:color="auto" w:sz="6" w:space="0"/>
            </w:tcBorders>
            <w:vAlign w:val="center"/>
          </w:tcPr>
          <w:p>
            <w:pPr>
              <w:widowControl/>
              <w:jc w:val="center"/>
              <w:rPr>
                <w:rFonts w:ascii="宋体" w:hAnsi="宋体" w:cs="宋体"/>
                <w:kern w:val="0"/>
                <w:sz w:val="30"/>
                <w:szCs w:val="30"/>
              </w:rPr>
            </w:pPr>
          </w:p>
        </w:tc>
        <w:tc>
          <w:tcPr>
            <w:tcW w:w="1393" w:type="dxa"/>
            <w:vMerge w:val="continue"/>
            <w:tcBorders>
              <w:left w:val="single" w:color="auto" w:sz="6" w:space="0"/>
              <w:bottom w:val="single" w:color="auto" w:sz="4" w:space="0"/>
              <w:right w:val="single" w:color="auto" w:sz="6" w:space="0"/>
            </w:tcBorders>
            <w:vAlign w:val="center"/>
          </w:tcPr>
          <w:p>
            <w:pPr>
              <w:widowControl/>
              <w:jc w:val="left"/>
              <w:rPr>
                <w:rFonts w:ascii="宋体" w:hAnsi="宋体" w:cs="宋体"/>
                <w:kern w:val="0"/>
                <w:sz w:val="30"/>
                <w:szCs w:val="30"/>
              </w:rPr>
            </w:pPr>
          </w:p>
        </w:tc>
        <w:tc>
          <w:tcPr>
            <w:tcW w:w="1032" w:type="dxa"/>
            <w:tcBorders>
              <w:top w:val="single" w:color="auto" w:sz="6" w:space="0"/>
              <w:left w:val="single" w:color="auto" w:sz="6"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4.3</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教师培训</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10</w:t>
            </w:r>
          </w:p>
        </w:tc>
      </w:tr>
      <w:tr>
        <w:tblPrEx>
          <w:tblCellMar>
            <w:top w:w="0" w:type="dxa"/>
            <w:left w:w="108" w:type="dxa"/>
            <w:bottom w:w="0" w:type="dxa"/>
            <w:right w:w="108" w:type="dxa"/>
          </w:tblCellMar>
        </w:tblPrEx>
        <w:trPr>
          <w:trHeight w:val="521" w:hRule="atLeast"/>
        </w:trPr>
        <w:tc>
          <w:tcPr>
            <w:tcW w:w="516" w:type="dxa"/>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30"/>
                <w:szCs w:val="30"/>
              </w:rPr>
            </w:pPr>
            <w:r>
              <w:rPr>
                <w:rFonts w:hint="eastAsia" w:ascii="宋体" w:hAnsi="宋体" w:cs="宋体"/>
                <w:kern w:val="0"/>
                <w:sz w:val="30"/>
                <w:szCs w:val="30"/>
              </w:rPr>
              <w:t>5</w:t>
            </w:r>
          </w:p>
        </w:tc>
        <w:tc>
          <w:tcPr>
            <w:tcW w:w="1393" w:type="dxa"/>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ascii="方正楷体简体" w:hAnsi="宋体" w:eastAsia="方正楷体简体" w:cs="宋体"/>
                <w:kern w:val="0"/>
                <w:sz w:val="30"/>
                <w:szCs w:val="30"/>
              </w:rPr>
            </w:pPr>
            <w:r>
              <w:rPr>
                <w:rFonts w:hint="eastAsia" w:ascii="楷体_GB2312" w:hAnsi="楷体_GB2312" w:eastAsia="楷体_GB2312" w:cs="楷体_GB2312"/>
                <w:kern w:val="0"/>
                <w:sz w:val="24"/>
              </w:rPr>
              <w:t>规范和强化园所内部管理，全面提升管理水平。</w:t>
            </w:r>
          </w:p>
        </w:tc>
        <w:tc>
          <w:tcPr>
            <w:tcW w:w="103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5.1</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幼儿收费管理</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11</w:t>
            </w:r>
          </w:p>
        </w:tc>
      </w:tr>
      <w:tr>
        <w:tblPrEx>
          <w:tblCellMar>
            <w:top w:w="0" w:type="dxa"/>
            <w:left w:w="108" w:type="dxa"/>
            <w:bottom w:w="0" w:type="dxa"/>
            <w:right w:w="108" w:type="dxa"/>
          </w:tblCellMar>
        </w:tblPrEx>
        <w:trPr>
          <w:trHeight w:val="463" w:hRule="atLeast"/>
        </w:trPr>
        <w:tc>
          <w:tcPr>
            <w:tcW w:w="516"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pPr>
          </w:p>
        </w:tc>
        <w:tc>
          <w:tcPr>
            <w:tcW w:w="1393"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pPr>
          </w:p>
        </w:tc>
        <w:tc>
          <w:tcPr>
            <w:tcW w:w="103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5.2</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家长工作</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12</w:t>
            </w:r>
          </w:p>
        </w:tc>
      </w:tr>
      <w:tr>
        <w:tblPrEx>
          <w:tblCellMar>
            <w:top w:w="0" w:type="dxa"/>
            <w:left w:w="108" w:type="dxa"/>
            <w:bottom w:w="0" w:type="dxa"/>
            <w:right w:w="108" w:type="dxa"/>
          </w:tblCellMar>
        </w:tblPrEx>
        <w:trPr>
          <w:trHeight w:val="463" w:hRule="atLeast"/>
        </w:trPr>
        <w:tc>
          <w:tcPr>
            <w:tcW w:w="516" w:type="dxa"/>
            <w:vMerge w:val="continue"/>
            <w:tcBorders>
              <w:left w:val="single" w:color="auto" w:sz="4" w:space="0"/>
              <w:bottom w:val="single" w:color="auto" w:sz="4" w:space="0"/>
              <w:right w:val="single" w:color="auto" w:sz="4" w:space="0"/>
            </w:tcBorders>
            <w:vAlign w:val="center"/>
          </w:tcPr>
          <w:p>
            <w:pPr>
              <w:widowControl/>
              <w:jc w:val="center"/>
            </w:pPr>
          </w:p>
        </w:tc>
        <w:tc>
          <w:tcPr>
            <w:tcW w:w="1393" w:type="dxa"/>
            <w:vMerge w:val="continue"/>
            <w:tcBorders>
              <w:left w:val="single" w:color="auto" w:sz="4" w:space="0"/>
              <w:bottom w:val="single" w:color="auto" w:sz="4" w:space="0"/>
              <w:right w:val="single" w:color="auto" w:sz="4" w:space="0"/>
            </w:tcBorders>
            <w:vAlign w:val="center"/>
          </w:tcPr>
          <w:p>
            <w:pPr>
              <w:widowControl/>
              <w:jc w:val="center"/>
            </w:pPr>
          </w:p>
        </w:tc>
        <w:tc>
          <w:tcPr>
            <w:tcW w:w="103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5.3</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30"/>
                <w:szCs w:val="30"/>
              </w:rPr>
            </w:pPr>
            <w:r>
              <w:rPr>
                <w:rFonts w:hint="eastAsia" w:ascii="楷体_GB2312" w:hAnsi="楷体_GB2312" w:eastAsia="楷体_GB2312" w:cs="楷体_GB2312"/>
                <w:kern w:val="0"/>
                <w:sz w:val="24"/>
              </w:rPr>
              <w:t>加强党组织建设</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13</w:t>
            </w:r>
          </w:p>
        </w:tc>
      </w:tr>
    </w:tbl>
    <w:p>
      <w:pPr>
        <w:spacing w:line="588" w:lineRule="exact"/>
        <w:jc w:val="left"/>
        <w:rPr>
          <w:rFonts w:eastAsia="方正仿宋简体"/>
          <w:sz w:val="34"/>
          <w:szCs w:val="34"/>
        </w:rPr>
      </w:pPr>
    </w:p>
    <w:tbl>
      <w:tblPr>
        <w:tblStyle w:val="5"/>
        <w:tblW w:w="9620" w:type="dxa"/>
        <w:tblInd w:w="93" w:type="dxa"/>
        <w:tblLayout w:type="fixed"/>
        <w:tblCellMar>
          <w:top w:w="0" w:type="dxa"/>
          <w:left w:w="108" w:type="dxa"/>
          <w:bottom w:w="0" w:type="dxa"/>
          <w:right w:w="108" w:type="dxa"/>
        </w:tblCellMar>
      </w:tblPr>
      <w:tblGrid>
        <w:gridCol w:w="2283"/>
        <w:gridCol w:w="6096"/>
        <w:gridCol w:w="1241"/>
      </w:tblGrid>
      <w:tr>
        <w:tblPrEx>
          <w:tblCellMar>
            <w:top w:w="0" w:type="dxa"/>
            <w:left w:w="108" w:type="dxa"/>
            <w:bottom w:w="0" w:type="dxa"/>
            <w:right w:w="108" w:type="dxa"/>
          </w:tblCellMar>
        </w:tblPrEx>
        <w:trPr>
          <w:trHeight w:val="839" w:hRule="atLeast"/>
        </w:trPr>
        <w:tc>
          <w:tcPr>
            <w:tcW w:w="9620" w:type="dxa"/>
            <w:gridSpan w:val="3"/>
            <w:vAlign w:val="center"/>
          </w:tcPr>
          <w:p>
            <w:pPr>
              <w:widowControl/>
              <w:jc w:val="center"/>
              <w:rPr>
                <w:rFonts w:hint="eastAsia" w:ascii="方正小标宋简体" w:hAnsi="宋体" w:eastAsia="方正小标宋简体" w:cs="宋体"/>
                <w:kern w:val="0"/>
                <w:sz w:val="30"/>
                <w:szCs w:val="30"/>
                <w:u w:val="single"/>
              </w:rPr>
            </w:pPr>
          </w:p>
          <w:p>
            <w:pPr>
              <w:widowControl/>
              <w:jc w:val="center"/>
              <w:rPr>
                <w:rFonts w:hint="eastAsia" w:ascii="方正小标宋简体" w:hAnsi="宋体" w:eastAsia="方正小标宋简体" w:cs="宋体"/>
                <w:kern w:val="0"/>
                <w:sz w:val="30"/>
                <w:szCs w:val="30"/>
                <w:u w:val="single"/>
              </w:rPr>
            </w:pPr>
          </w:p>
          <w:p>
            <w:pPr>
              <w:widowControl/>
              <w:jc w:val="center"/>
              <w:rPr>
                <w:rFonts w:hint="eastAsia" w:ascii="方正小标宋简体" w:hAnsi="宋体" w:eastAsia="方正小标宋简体" w:cs="宋体"/>
                <w:kern w:val="0"/>
                <w:sz w:val="30"/>
                <w:szCs w:val="30"/>
                <w:u w:val="single"/>
              </w:rPr>
            </w:pPr>
          </w:p>
          <w:p>
            <w:pPr>
              <w:widowControl/>
              <w:jc w:val="center"/>
              <w:rPr>
                <w:rFonts w:hint="eastAsia" w:ascii="方正小标宋简体" w:hAnsi="宋体" w:eastAsia="方正小标宋简体" w:cs="宋体"/>
                <w:kern w:val="0"/>
                <w:sz w:val="30"/>
                <w:szCs w:val="30"/>
                <w:u w:val="single"/>
              </w:rPr>
            </w:pPr>
          </w:p>
          <w:p>
            <w:pPr>
              <w:widowControl/>
              <w:jc w:val="center"/>
              <w:rPr>
                <w:rFonts w:hint="eastAsia" w:ascii="方正小标宋简体" w:hAnsi="宋体" w:eastAsia="方正小标宋简体" w:cs="宋体"/>
                <w:kern w:val="0"/>
                <w:sz w:val="30"/>
                <w:szCs w:val="30"/>
                <w:u w:val="single"/>
              </w:rPr>
            </w:pPr>
          </w:p>
          <w:p>
            <w:pPr>
              <w:widowControl/>
              <w:jc w:val="center"/>
              <w:rPr>
                <w:rFonts w:hint="eastAsia" w:ascii="方正小标宋简体" w:hAnsi="宋体" w:eastAsia="方正小标宋简体" w:cs="宋体"/>
                <w:kern w:val="0"/>
                <w:sz w:val="30"/>
                <w:szCs w:val="30"/>
                <w:u w:val="single"/>
              </w:rPr>
            </w:pPr>
          </w:p>
          <w:p>
            <w:pPr>
              <w:widowControl/>
              <w:jc w:val="center"/>
              <w:rPr>
                <w:rFonts w:hint="eastAsia" w:ascii="方正小标宋简体" w:hAnsi="宋体" w:eastAsia="方正小标宋简体" w:cs="宋体"/>
                <w:kern w:val="0"/>
                <w:sz w:val="30"/>
                <w:szCs w:val="30"/>
                <w:u w:val="single"/>
              </w:rPr>
            </w:pPr>
          </w:p>
          <w:p>
            <w:pPr>
              <w:widowControl/>
              <w:jc w:val="center"/>
              <w:rPr>
                <w:rFonts w:hint="eastAsia" w:ascii="方正小标宋简体" w:hAnsi="宋体" w:eastAsia="方正小标宋简体" w:cs="宋体"/>
                <w:kern w:val="0"/>
                <w:sz w:val="30"/>
                <w:szCs w:val="30"/>
                <w:u w:val="single"/>
              </w:rPr>
            </w:pPr>
          </w:p>
          <w:p>
            <w:pPr>
              <w:widowControl/>
              <w:jc w:val="center"/>
              <w:rPr>
                <w:rFonts w:hint="eastAsia" w:ascii="方正小标宋简体" w:hAnsi="宋体" w:eastAsia="方正小标宋简体" w:cs="宋体"/>
                <w:kern w:val="0"/>
                <w:sz w:val="30"/>
                <w:szCs w:val="30"/>
                <w:u w:val="single"/>
              </w:rPr>
            </w:pPr>
          </w:p>
          <w:p>
            <w:pPr>
              <w:widowControl/>
              <w:jc w:val="center"/>
              <w:rPr>
                <w:rFonts w:hint="eastAsia" w:ascii="方正小标宋简体" w:hAnsi="宋体" w:eastAsia="方正小标宋简体" w:cs="宋体"/>
                <w:kern w:val="0"/>
                <w:sz w:val="30"/>
                <w:szCs w:val="30"/>
                <w:u w:val="single"/>
              </w:rPr>
            </w:pPr>
          </w:p>
          <w:p>
            <w:pPr>
              <w:widowControl/>
              <w:jc w:val="center"/>
              <w:rPr>
                <w:rFonts w:ascii="方正小标宋简体" w:hAnsi="宋体" w:eastAsia="方正小标宋简体" w:cs="宋体"/>
                <w:kern w:val="0"/>
                <w:sz w:val="30"/>
                <w:szCs w:val="30"/>
                <w:u w:val="single"/>
              </w:rPr>
            </w:pPr>
          </w:p>
          <w:p>
            <w:pPr>
              <w:widowControl/>
              <w:ind w:firstLine="320" w:firstLineChars="100"/>
              <w:rPr>
                <w:rFonts w:ascii="方正小标宋简体" w:hAnsi="宋体" w:eastAsia="方正小标宋简体" w:cs="宋体"/>
                <w:kern w:val="0"/>
                <w:sz w:val="32"/>
                <w:szCs w:val="32"/>
              </w:rPr>
            </w:pPr>
            <w:r>
              <w:rPr>
                <w:rFonts w:hint="eastAsia" w:ascii="方正小标宋简体" w:hAnsi="宋体" w:eastAsia="方正小标宋简体" w:cs="宋体"/>
                <w:kern w:val="0"/>
                <w:sz w:val="32"/>
                <w:szCs w:val="32"/>
              </w:rPr>
              <w:t>（天津市滨海新区大港第四幼儿园）职责事项信息表</w:t>
            </w:r>
          </w:p>
          <w:p>
            <w:pPr>
              <w:widowControl/>
              <w:jc w:val="center"/>
              <w:rPr>
                <w:rFonts w:ascii="方正小标宋简体" w:hAnsi="宋体" w:eastAsia="方正小标宋简体" w:cs="宋体"/>
                <w:kern w:val="0"/>
                <w:sz w:val="30"/>
                <w:szCs w:val="30"/>
                <w:u w:val="single"/>
              </w:rPr>
            </w:pPr>
          </w:p>
        </w:tc>
      </w:tr>
      <w:tr>
        <w:tblPrEx>
          <w:tblCellMar>
            <w:top w:w="0" w:type="dxa"/>
            <w:left w:w="108" w:type="dxa"/>
            <w:bottom w:w="0" w:type="dxa"/>
            <w:right w:w="108" w:type="dxa"/>
          </w:tblCellMar>
        </w:tblPrEx>
        <w:trPr>
          <w:gridAfter w:val="1"/>
          <w:wAfter w:w="1241" w:type="dxa"/>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096"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1.1</w:t>
            </w:r>
          </w:p>
        </w:tc>
      </w:tr>
      <w:tr>
        <w:tblPrEx>
          <w:tblCellMar>
            <w:top w:w="0" w:type="dxa"/>
            <w:left w:w="108" w:type="dxa"/>
            <w:bottom w:w="0" w:type="dxa"/>
            <w:right w:w="108" w:type="dxa"/>
          </w:tblCellMar>
        </w:tblPrEx>
        <w:trPr>
          <w:gridAfter w:val="1"/>
          <w:wAfter w:w="1241" w:type="dxa"/>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幼儿学籍管理</w:t>
            </w:r>
          </w:p>
        </w:tc>
      </w:tr>
      <w:tr>
        <w:tblPrEx>
          <w:tblCellMar>
            <w:top w:w="0" w:type="dxa"/>
            <w:left w:w="108" w:type="dxa"/>
            <w:bottom w:w="0" w:type="dxa"/>
            <w:right w:w="108" w:type="dxa"/>
          </w:tblCellMar>
        </w:tblPrEx>
        <w:trPr>
          <w:gridAfter w:val="1"/>
          <w:wAfter w:w="1241" w:type="dxa"/>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xml:space="preserve">　《幼儿园工作规程》第二章第十一条 </w:t>
            </w:r>
            <w:r>
              <w:rPr>
                <w:rFonts w:hint="eastAsia" w:ascii="楷体_GB2312" w:hAnsi="楷体_GB2312" w:eastAsia="楷体_GB2312" w:cs="楷体_GB2312"/>
                <w:sz w:val="24"/>
              </w:rPr>
              <w:t>小班（3周岁至4周岁）25人，中班（4周岁至5周岁）30人，大班（5周岁至6周岁）35人</w:t>
            </w:r>
          </w:p>
        </w:tc>
      </w:tr>
      <w:tr>
        <w:tblPrEx>
          <w:tblCellMar>
            <w:top w:w="0" w:type="dxa"/>
            <w:left w:w="108" w:type="dxa"/>
            <w:bottom w:w="0" w:type="dxa"/>
            <w:right w:w="108" w:type="dxa"/>
          </w:tblCellMar>
        </w:tblPrEx>
        <w:trPr>
          <w:gridAfter w:val="1"/>
          <w:wAfter w:w="1241" w:type="dxa"/>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gridAfter w:val="1"/>
          <w:wAfter w:w="1241" w:type="dxa"/>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gridAfter w:val="1"/>
          <w:wAfter w:w="1241" w:type="dxa"/>
          <w:trHeight w:val="9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任课教师上报——园长审核——专职教师输机——学期末更新</w:t>
            </w:r>
          </w:p>
        </w:tc>
      </w:tr>
      <w:tr>
        <w:tblPrEx>
          <w:tblCellMar>
            <w:top w:w="0" w:type="dxa"/>
            <w:left w:w="108" w:type="dxa"/>
            <w:bottom w:w="0" w:type="dxa"/>
            <w:right w:w="108" w:type="dxa"/>
          </w:tblCellMar>
        </w:tblPrEx>
        <w:trPr>
          <w:gridAfter w:val="1"/>
          <w:wAfter w:w="1241" w:type="dxa"/>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家长填写幼儿信息材料、户口本复印件</w:t>
            </w:r>
          </w:p>
        </w:tc>
      </w:tr>
      <w:tr>
        <w:tblPrEx>
          <w:tblCellMar>
            <w:top w:w="0" w:type="dxa"/>
            <w:left w:w="108" w:type="dxa"/>
            <w:bottom w:w="0" w:type="dxa"/>
            <w:right w:w="108" w:type="dxa"/>
          </w:tblCellMar>
        </w:tblPrEx>
        <w:trPr>
          <w:gridAfter w:val="1"/>
          <w:wAfter w:w="1241" w:type="dxa"/>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1、幼儿园的学籍管理由学籍管理员具体负责。</w:t>
            </w:r>
          </w:p>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2、各班级每一学期要负责好幼儿基本信息的登记，每一学期要做好幼儿花名册记载等。</w:t>
            </w:r>
          </w:p>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3、幼儿园学籍管理员要认真做好幼儿学籍资料的收集与归档工作，要求文字资料与电子资料同时归档，资料收集要做到及时、准确，无遗漏、无差错。</w:t>
            </w:r>
          </w:p>
        </w:tc>
      </w:tr>
      <w:tr>
        <w:tblPrEx>
          <w:tblCellMar>
            <w:top w:w="0" w:type="dxa"/>
            <w:left w:w="108" w:type="dxa"/>
            <w:bottom w:w="0" w:type="dxa"/>
            <w:right w:w="108" w:type="dxa"/>
          </w:tblCellMar>
        </w:tblPrEx>
        <w:trPr>
          <w:gridAfter w:val="1"/>
          <w:wAfter w:w="1241" w:type="dxa"/>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096" w:type="dxa"/>
            <w:tcBorders>
              <w:top w:val="single" w:color="auto" w:sz="6" w:space="0"/>
              <w:left w:val="single" w:color="auto" w:sz="6"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部门电话：66897215</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bl>
    <w:p/>
    <w:tbl>
      <w:tblPr>
        <w:tblStyle w:val="5"/>
        <w:tblW w:w="8379" w:type="dxa"/>
        <w:tblInd w:w="93" w:type="dxa"/>
        <w:tblLayout w:type="fixed"/>
        <w:tblCellMar>
          <w:top w:w="0" w:type="dxa"/>
          <w:left w:w="108" w:type="dxa"/>
          <w:bottom w:w="0" w:type="dxa"/>
          <w:right w:w="108" w:type="dxa"/>
        </w:tblCellMar>
      </w:tblPr>
      <w:tblGrid>
        <w:gridCol w:w="2283"/>
        <w:gridCol w:w="6096"/>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096"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1.2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幼儿招生管理</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xml:space="preserve">　《幼儿园工作规程》第二章第十一条 </w:t>
            </w:r>
            <w:r>
              <w:rPr>
                <w:rFonts w:hint="eastAsia" w:ascii="楷体_GB2312" w:hAnsi="楷体_GB2312" w:eastAsia="楷体_GB2312" w:cs="楷体_GB2312"/>
                <w:sz w:val="24"/>
              </w:rPr>
              <w:t>小班（3周岁至4周岁）25人。</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网上信息采集——幼儿园验证——网上随机抽取名单——发布录取信息</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家长提供户口本、房证、幼儿预防接种证等有效证明</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w:t>
            </w:r>
            <w:r>
              <w:rPr>
                <w:rFonts w:hint="eastAsia" w:ascii="楷体_GB2312" w:hAnsi="楷体_GB2312" w:eastAsia="楷体_GB2312" w:cs="楷体_GB2312"/>
                <w:color w:val="000000"/>
                <w:kern w:val="0"/>
                <w:sz w:val="24"/>
                <w:shd w:val="clear" w:color="auto" w:fill="FFFFFF"/>
              </w:rPr>
              <w:t>严格按照上级有关规定</w:t>
            </w:r>
            <w:r>
              <w:rPr>
                <w:rFonts w:hint="eastAsia" w:ascii="楷体_GB2312" w:hAnsi="楷体_GB2312" w:eastAsia="楷体_GB2312" w:cs="楷体_GB2312"/>
                <w:color w:val="000000"/>
                <w:kern w:val="0"/>
                <w:sz w:val="24"/>
                <w:shd w:val="clear" w:color="auto" w:fill="FFFFFF"/>
                <w:lang w:eastAsia="zh-CN"/>
              </w:rPr>
              <w:t>进行</w:t>
            </w:r>
            <w:r>
              <w:rPr>
                <w:rFonts w:hint="eastAsia" w:ascii="楷体_GB2312" w:hAnsi="楷体_GB2312" w:eastAsia="楷体_GB2312" w:cs="楷体_GB2312"/>
                <w:color w:val="000000"/>
                <w:kern w:val="0"/>
                <w:sz w:val="24"/>
                <w:shd w:val="clear" w:color="auto" w:fill="FFFFFF"/>
              </w:rPr>
              <w:t>招生。严格控制班额。</w:t>
            </w:r>
          </w:p>
          <w:p>
            <w:pPr>
              <w:rPr>
                <w:rFonts w:ascii="楷体_GB2312" w:hAnsi="楷体_GB2312" w:eastAsia="楷体_GB2312" w:cs="楷体_GB2312"/>
                <w:sz w:val="24"/>
              </w:rPr>
            </w:pPr>
            <w:r>
              <w:rPr>
                <w:rFonts w:hint="eastAsia" w:ascii="楷体_GB2312" w:hAnsi="楷体_GB2312" w:eastAsia="楷体_GB2312" w:cs="楷体_GB2312"/>
                <w:kern w:val="0"/>
                <w:sz w:val="24"/>
              </w:rPr>
              <w:t>2、</w:t>
            </w:r>
            <w:r>
              <w:rPr>
                <w:rFonts w:hint="eastAsia" w:ascii="楷体_GB2312" w:hAnsi="楷体_GB2312" w:eastAsia="楷体_GB2312" w:cs="楷体_GB2312"/>
                <w:sz w:val="24"/>
              </w:rPr>
              <w:t>招生期间安排专人认真解答家长问题，</w:t>
            </w:r>
            <w:r>
              <w:rPr>
                <w:rFonts w:hint="eastAsia" w:ascii="楷体_GB2312" w:hAnsi="楷体_GB2312" w:eastAsia="楷体_GB2312" w:cs="楷体_GB2312"/>
                <w:sz w:val="24"/>
                <w:lang w:eastAsia="zh-CN"/>
              </w:rPr>
              <w:t>给予</w:t>
            </w:r>
            <w:r>
              <w:rPr>
                <w:rFonts w:hint="eastAsia" w:ascii="楷体_GB2312" w:hAnsi="楷体_GB2312" w:eastAsia="楷体_GB2312" w:cs="楷体_GB2312"/>
                <w:sz w:val="24"/>
              </w:rPr>
              <w:t>家长操作上的指导，严禁杜绝敷衍、推诿现象。</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3、验证时认真、负责、细心，公平公正</w:t>
            </w:r>
            <w:r>
              <w:rPr>
                <w:rFonts w:hint="eastAsia" w:ascii="楷体_GB2312" w:hAnsi="楷体_GB2312" w:eastAsia="楷体_GB2312" w:cs="楷体_GB2312"/>
                <w:kern w:val="0"/>
                <w:sz w:val="24"/>
                <w:lang w:eastAsia="zh-CN"/>
              </w:rPr>
              <w:t>地</w:t>
            </w:r>
            <w:r>
              <w:rPr>
                <w:rFonts w:hint="eastAsia" w:ascii="楷体_GB2312" w:hAnsi="楷体_GB2312" w:eastAsia="楷体_GB2312" w:cs="楷体_GB2312"/>
                <w:kern w:val="0"/>
                <w:sz w:val="24"/>
              </w:rPr>
              <w:t>对待每一位幼儿家长。</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4、派位结果及时公布，并做好宣传工作。</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096"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电话：66897215</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bl>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2.1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幼儿园安全管理</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中小学幼儿园安全管理办法》、《生活饮用水卫生标准》（中华人民共和国教育部令第23号）中“校内安全管理制度”、天津市学校安全条例《中小学幼儿园安全管理办法》及市教委、市综治办、市公安局关于印发天津市中小学幼儿园平安校园建设标准细则实施方案的通知（津教委安</w:t>
            </w:r>
            <w:r>
              <w:rPr>
                <w:rFonts w:hint="eastAsia" w:ascii="楷体_GB2312" w:hAnsi="楷体_GB2312" w:eastAsia="楷体_GB2312" w:cs="楷体_GB2312"/>
                <w:kern w:val="0"/>
                <w:sz w:val="24"/>
                <w:lang w:eastAsia="zh-CN"/>
              </w:rPr>
              <w:t>〔2017〕</w:t>
            </w:r>
            <w:r>
              <w:rPr>
                <w:rFonts w:hint="eastAsia" w:ascii="楷体_GB2312" w:hAnsi="楷体_GB2312" w:eastAsia="楷体_GB2312" w:cs="楷体_GB2312"/>
                <w:kern w:val="0"/>
                <w:sz w:val="24"/>
              </w:rPr>
              <w:t>2号）等我市相关文件规定</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发现隐患上报——排查——维修、维护——正常使用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发现隐患填报维修单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numPr>
                <w:ilvl w:val="0"/>
                <w:numId w:val="1"/>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依据天津市教体委的有关工作规定维护稳定幼儿园安全工作。</w:t>
            </w:r>
          </w:p>
          <w:p>
            <w:pPr>
              <w:widowControl/>
              <w:numPr>
                <w:ilvl w:val="0"/>
                <w:numId w:val="1"/>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排查幼儿园各种安全隐患并予以修复。</w:t>
            </w:r>
          </w:p>
        </w:tc>
      </w:tr>
      <w:tr>
        <w:tblPrEx>
          <w:tblCellMar>
            <w:top w:w="0" w:type="dxa"/>
            <w:left w:w="108" w:type="dxa"/>
            <w:bottom w:w="0" w:type="dxa"/>
            <w:right w:w="108" w:type="dxa"/>
          </w:tblCellMar>
        </w:tblPrEx>
        <w:trPr>
          <w:trHeight w:val="16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宋体" w:eastAsia="仿宋_GB2312" w:cs="宋体"/>
                <w:kern w:val="0"/>
                <w:sz w:val="28"/>
                <w:szCs w:val="28"/>
              </w:rPr>
            </w:pPr>
            <w:r>
              <w:rPr>
                <w:rFonts w:hint="eastAsia" w:ascii="仿宋_GB2312" w:hAnsi="宋体" w:eastAsia="仿宋_GB2312" w:cs="宋体"/>
                <w:kern w:val="0"/>
                <w:sz w:val="28"/>
                <w:szCs w:val="28"/>
              </w:rPr>
              <w:t>电话：66897223</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bl>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2.2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幼儿园卫生保健管理</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《卫生部关于印发&lt;托儿所幼儿园卫生保健工作规范&gt;的通知（卫妇社发〔2012〕35号）》等文件精神、《天津市托幼机构卫生保健工作标准》、《托儿所 幼儿园消毒卫生规范》</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新生入园体检登记——每日晨午检——进行统计出勤并分析——定期体检——培训——宣传</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儿童保健手册、幼儿入园体检表、幼儿健康卡、妇幼保健下发的信息登统表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1、负责全园幼儿及职工的保健卫生工作</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2、全面了解幼儿生长发育情况，期末向家长汇报。</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3、负责每天晨检</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4、定期对保教人员进行有关“幼儿常见病”的知识讲授，定期在“家长园地”专栏中介绍有关育儿知识及保健卫生知识。</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rPr>
                <w:rFonts w:ascii="仿宋_GB2312" w:hAnsi="宋体" w:eastAsia="仿宋_GB2312" w:cs="宋体"/>
                <w:kern w:val="0"/>
                <w:sz w:val="28"/>
                <w:szCs w:val="28"/>
              </w:rPr>
            </w:pPr>
            <w:r>
              <w:rPr>
                <w:rFonts w:hint="eastAsia" w:ascii="仿宋_GB2312" w:hAnsi="宋体" w:eastAsia="仿宋_GB2312" w:cs="宋体"/>
                <w:kern w:val="0"/>
                <w:sz w:val="28"/>
                <w:szCs w:val="28"/>
              </w:rPr>
              <w:t>部门电话：66896298</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bl>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2.3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幼儿园食品安全管理</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w:t>
            </w:r>
            <w:r>
              <w:rPr>
                <w:rFonts w:hint="eastAsia" w:ascii="仿宋_GB2312" w:hAnsi="仿宋_GB2312" w:eastAsia="仿宋_GB2312"/>
                <w:szCs w:val="21"/>
              </w:rPr>
              <w:t>《学校食堂与学生集体用餐卫生管理规定》、《食品安全法》</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与供货商索证——与供货商签订食品安全协议书——与供货商索票——验货——入库——出库——制作</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供货商的食品经营许可证、工商营业执照、货商的收据</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做好食堂安全卫生管理工作。</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宋体" w:eastAsia="仿宋_GB2312" w:cs="宋体"/>
                <w:kern w:val="0"/>
                <w:sz w:val="28"/>
                <w:szCs w:val="28"/>
              </w:rPr>
            </w:pPr>
            <w:r>
              <w:rPr>
                <w:rFonts w:hint="eastAsia" w:ascii="仿宋_GB2312" w:hAnsi="宋体" w:eastAsia="仿宋_GB2312" w:cs="宋体"/>
                <w:kern w:val="0"/>
                <w:sz w:val="28"/>
                <w:szCs w:val="28"/>
              </w:rPr>
              <w:t>部门电话：66897223</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bl>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3.1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幼儿一日生活的组织与实施</w:t>
            </w:r>
          </w:p>
        </w:tc>
      </w:tr>
      <w:tr>
        <w:tblPrEx>
          <w:tblCellMar>
            <w:top w:w="0" w:type="dxa"/>
            <w:left w:w="108" w:type="dxa"/>
            <w:bottom w:w="0" w:type="dxa"/>
            <w:right w:w="108" w:type="dxa"/>
          </w:tblCellMar>
        </w:tblPrEx>
        <w:trPr>
          <w:trHeight w:val="9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《幼儿园管理条例》、《幼儿园工作规程》、《幼儿园教育指导纲要》、《3—6岁儿童学习发展指南》</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制定学期目标--教师备课—组织活动—课后反思</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幼儿一日生活作息表、《幼儿园工作规程》、《幼儿园教育指导纲要（试行）》和《3-6岁儿童学习与发展指南》精神</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spacing w:line="400" w:lineRule="exact"/>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1、按时制订和本园保教工作计划与总结，审查各班学期工作计划的制订、落实和保教工作开展情况。定期对教师的各类资料和工作表现进行检查考评。</w:t>
            </w:r>
          </w:p>
          <w:p>
            <w:pPr>
              <w:widowControl/>
              <w:spacing w:line="400" w:lineRule="exact"/>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2、对任课教师进行听课、评课，并予以指导、帮助，了解和掌握日常保教工作的动态与信息。</w:t>
            </w:r>
          </w:p>
          <w:p>
            <w:pPr>
              <w:widowControl/>
              <w:spacing w:line="400" w:lineRule="exact"/>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3、认真抓好教研组建设，组织开展教研组学习和全园性的教学观摩活动，积极传递教研教改信息，针对保教工作的薄弱环节，经常开展各类教育教学观摩、研讨、评比活动，采取改进提高的措施。</w:t>
            </w:r>
          </w:p>
          <w:p>
            <w:pPr>
              <w:widowControl/>
              <w:spacing w:line="40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18"/>
                <w:szCs w:val="18"/>
              </w:rPr>
              <w:t>4、抓好教师尤其是青年教师的培训工作，建立自培基地，进行拜师结对子活动，开展各种带教活动。</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电话：66897215</w:t>
            </w:r>
          </w:p>
          <w:p>
            <w:pPr>
              <w:widowControl/>
              <w:jc w:val="left"/>
              <w:rPr>
                <w:rFonts w:ascii="仿宋_GB2312" w:hAnsi="楷体_GB2312" w:eastAsia="仿宋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bl>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4.1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幼儿园教职工配备</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w:t>
            </w:r>
            <w:r>
              <w:rPr>
                <w:rFonts w:hint="eastAsia" w:ascii="仿宋_GB2312" w:hAnsi="仿宋_GB2312" w:eastAsia="仿宋_GB2312"/>
                <w:szCs w:val="21"/>
              </w:rPr>
              <w:t>《幼儿园工作规程》〔教育部令第39号〕、《幼儿园教职工配备标准（暂行）》（教师〔2013〕1号）、《关于幼儿园教职工编制标准的意见》（津编办发〔2015〕8号）</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制定聘任方案——签订协议或劳动合同——考核</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教师学历证书、教师资格证、健康证、考核结果、聘用合同</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numPr>
                <w:ilvl w:val="0"/>
                <w:numId w:val="2"/>
              </w:numPr>
              <w:jc w:val="left"/>
              <w:rPr>
                <w:rFonts w:ascii="仿宋_GB2312" w:hAnsi="仿宋_GB2312" w:eastAsia="仿宋_GB2312"/>
                <w:szCs w:val="21"/>
              </w:rPr>
            </w:pPr>
            <w:r>
              <w:rPr>
                <w:rFonts w:hint="eastAsia" w:ascii="仿宋_GB2312" w:hAnsi="仿宋_GB2312" w:eastAsia="仿宋_GB2312"/>
                <w:szCs w:val="21"/>
              </w:rPr>
              <w:t>聘用标准和程序，签订聘用协议或劳动合同，建立有序、有效的管理机制</w:t>
            </w:r>
          </w:p>
          <w:p>
            <w:pPr>
              <w:numPr>
                <w:ilvl w:val="0"/>
                <w:numId w:val="2"/>
              </w:numPr>
              <w:jc w:val="left"/>
              <w:rPr>
                <w:rFonts w:ascii="仿宋_GB2312" w:hAnsi="仿宋_GB2312" w:eastAsia="仿宋_GB2312"/>
                <w:szCs w:val="21"/>
              </w:rPr>
            </w:pPr>
            <w:r>
              <w:rPr>
                <w:rFonts w:hint="eastAsia" w:ascii="仿宋_GB2312" w:hAnsi="仿宋_GB2312" w:eastAsia="仿宋_GB2312"/>
                <w:szCs w:val="21"/>
              </w:rPr>
              <w:t>幼儿园按时足额向教职工发放工资，并缴纳社会保险（养老保险、医疗保险、工伤保险等）。</w:t>
            </w:r>
          </w:p>
          <w:p>
            <w:pPr>
              <w:numPr>
                <w:ilvl w:val="0"/>
                <w:numId w:val="2"/>
              </w:numPr>
              <w:jc w:val="left"/>
              <w:rPr>
                <w:rFonts w:ascii="仿宋_GB2312" w:hAnsi="仿宋_GB2312" w:eastAsia="仿宋_GB2312"/>
                <w:szCs w:val="21"/>
              </w:rPr>
            </w:pPr>
            <w:r>
              <w:rPr>
                <w:rFonts w:hint="eastAsia" w:ascii="仿宋_GB2312" w:hAnsi="仿宋_GB2312" w:eastAsia="仿宋_GB2312"/>
                <w:szCs w:val="21"/>
              </w:rPr>
              <w:t>幼儿园有教师激励机制，确保队伍稳定。</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电话：66896327</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bl>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4.2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幼儿园师德建设</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国家中长期教育改革和发展规划纲要》《教育法》、《教师法》、《未成年人保护法》、《幼儿园管理条例》、《幼儿教师职业道德规范》等相关政策法规《教育部关于进一步加强和改进师德建设的意见》，深入开展以学习《中小学教师职业道德规范》为重点的专题培训活动</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制定师德建设计划——签订师德责任书——家长问卷——师德考核</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家长调查问卷、师德师风考评表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jc w:val="left"/>
              <w:rPr>
                <w:rFonts w:ascii="仿宋_GB2312" w:hAnsi="仿宋_GB2312" w:eastAsia="仿宋_GB2312"/>
                <w:szCs w:val="21"/>
              </w:rPr>
            </w:pPr>
            <w:r>
              <w:rPr>
                <w:rFonts w:hint="eastAsia" w:ascii="仿宋_GB2312" w:hAnsi="仿宋_GB2312" w:eastAsia="仿宋_GB2312"/>
                <w:szCs w:val="21"/>
              </w:rPr>
              <w:t>1、依据园所实际制订并落实师德建设计划。</w:t>
            </w:r>
          </w:p>
          <w:p>
            <w:pPr>
              <w:jc w:val="left"/>
              <w:rPr>
                <w:rFonts w:ascii="仿宋_GB2312" w:hAnsi="仿宋_GB2312" w:eastAsia="仿宋_GB2312"/>
                <w:szCs w:val="21"/>
              </w:rPr>
            </w:pPr>
            <w:r>
              <w:rPr>
                <w:rFonts w:hint="eastAsia" w:ascii="仿宋_GB2312" w:hAnsi="仿宋_GB2312" w:eastAsia="仿宋_GB2312"/>
                <w:szCs w:val="21"/>
              </w:rPr>
              <w:t xml:space="preserve">2、签订师德责任书，并自觉遵守。            </w:t>
            </w:r>
          </w:p>
          <w:p>
            <w:pPr>
              <w:jc w:val="left"/>
              <w:rPr>
                <w:rFonts w:ascii="仿宋_GB2312" w:hAnsi="仿宋_GB2312" w:eastAsia="仿宋_GB2312"/>
                <w:szCs w:val="21"/>
              </w:rPr>
            </w:pPr>
            <w:r>
              <w:rPr>
                <w:rFonts w:hint="eastAsia" w:ascii="仿宋_GB2312" w:hAnsi="仿宋_GB2312" w:eastAsia="仿宋_GB2312"/>
                <w:szCs w:val="21"/>
              </w:rPr>
              <w:t xml:space="preserve">3、幼儿、家长满意率达到95% 。                </w:t>
            </w:r>
          </w:p>
          <w:p>
            <w:pPr>
              <w:widowControl/>
              <w:jc w:val="left"/>
              <w:rPr>
                <w:rFonts w:ascii="楷体_GB2312" w:hAnsi="楷体_GB2312" w:eastAsia="楷体_GB2312" w:cs="楷体_GB2312"/>
                <w:kern w:val="0"/>
                <w:sz w:val="24"/>
              </w:rPr>
            </w:pPr>
            <w:r>
              <w:rPr>
                <w:rFonts w:hint="eastAsia" w:ascii="仿宋_GB2312" w:hAnsi="仿宋_GB2312" w:eastAsia="仿宋_GB2312"/>
                <w:szCs w:val="21"/>
              </w:rPr>
              <w:t>4、师德考核合格。</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rPr>
                <w:rFonts w:ascii="仿宋_GB2312" w:hAnsi="宋体" w:eastAsia="仿宋_GB2312" w:cs="宋体"/>
                <w:kern w:val="0"/>
                <w:sz w:val="28"/>
                <w:szCs w:val="28"/>
              </w:rPr>
            </w:pPr>
            <w:r>
              <w:rPr>
                <w:rFonts w:hint="eastAsia" w:ascii="仿宋_GB2312" w:hAnsi="宋体" w:eastAsia="仿宋_GB2312" w:cs="宋体"/>
                <w:kern w:val="0"/>
                <w:sz w:val="28"/>
                <w:szCs w:val="28"/>
              </w:rPr>
              <w:t>电话：66897214；</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bl>
    <w:p/>
    <w:p/>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4.3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幼儿园教师培训</w:t>
            </w:r>
          </w:p>
        </w:tc>
      </w:tr>
      <w:tr>
        <w:tblPrEx>
          <w:tblCellMar>
            <w:top w:w="0" w:type="dxa"/>
            <w:left w:w="108" w:type="dxa"/>
            <w:bottom w:w="0" w:type="dxa"/>
            <w:right w:w="108" w:type="dxa"/>
          </w:tblCellMar>
        </w:tblPrEx>
        <w:trPr>
          <w:trHeight w:val="1353"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w:t>
            </w:r>
            <w:r>
              <w:rPr>
                <w:rFonts w:hint="eastAsia" w:ascii="仿宋_GB2312" w:hAnsi="仿宋_GB2312" w:eastAsia="仿宋_GB2312"/>
                <w:szCs w:val="21"/>
              </w:rPr>
              <w:t>《幼儿园工作规程》〔教育部令第39号〕、《幼儿园教育指导纲要》</w:t>
            </w:r>
          </w:p>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《教育部关于进一步加强和改进师德建设的意见》，深入开展以学习《中小学教师职业道德规范》为重点的专题培训活动。</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制定园所培训计划、培训内容、方式——组织与实施——反思、调整——再组织与实施——总结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培训计划、方案、文本资料、影像资料、案例集、总结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spacing w:line="360" w:lineRule="exact"/>
              <w:jc w:val="left"/>
              <w:rPr>
                <w:rFonts w:ascii="楷体_GB2312" w:hAnsi="楷体_GB2312" w:eastAsia="楷体_GB2312" w:cs="楷体_GB2312"/>
                <w:kern w:val="0"/>
                <w:sz w:val="18"/>
                <w:szCs w:val="18"/>
              </w:rPr>
            </w:pPr>
            <w:r>
              <w:rPr>
                <w:rFonts w:hint="eastAsia" w:ascii="楷体_GB2312" w:hAnsi="楷体_GB2312" w:eastAsia="楷体_GB2312" w:cs="楷体_GB2312"/>
                <w:kern w:val="0"/>
                <w:szCs w:val="21"/>
              </w:rPr>
              <w:t>1</w:t>
            </w:r>
            <w:r>
              <w:rPr>
                <w:rFonts w:hint="eastAsia" w:ascii="楷体_GB2312" w:hAnsi="楷体_GB2312" w:eastAsia="楷体_GB2312" w:cs="楷体_GB2312"/>
                <w:kern w:val="0"/>
                <w:sz w:val="18"/>
                <w:szCs w:val="18"/>
              </w:rPr>
              <w:t>、每年根据幼儿园的发展目标和教师的实际情况及需求，制定切实可行的幼儿园教师培养计划，对教师分层进行培养提高。</w:t>
            </w:r>
          </w:p>
          <w:p>
            <w:pPr>
              <w:widowControl/>
              <w:spacing w:line="360" w:lineRule="exact"/>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2、开展结对拜师活动，根据每位教师的具体情况制定的活动计划，并详细记录活动过程，做好结对拜师小结和效果评价工作。</w:t>
            </w:r>
          </w:p>
          <w:p>
            <w:pPr>
              <w:widowControl/>
              <w:spacing w:line="360" w:lineRule="exact"/>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3、建立教师成长档案，记录教师成长的轨迹，并在每学期结束时进行交流。</w:t>
            </w:r>
          </w:p>
          <w:p>
            <w:pPr>
              <w:widowControl/>
              <w:spacing w:line="360" w:lineRule="exact"/>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4、定期开展教研活动，提高教研活动的质量。</w:t>
            </w:r>
          </w:p>
          <w:p>
            <w:pPr>
              <w:widowControl/>
              <w:spacing w:line="360" w:lineRule="exact"/>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5、为教师创设职后培训和高一层次学历培训的机会。</w:t>
            </w:r>
          </w:p>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18"/>
                <w:szCs w:val="18"/>
              </w:rPr>
              <w:t>6、每学年教师结合自己的工作，对自己的发展情况进行有一定质量的总结交流，并进行相应的奖励。</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电话：66896327</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5.1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幼儿园收费管理</w:t>
            </w:r>
          </w:p>
        </w:tc>
      </w:tr>
      <w:tr>
        <w:tblPrEx>
          <w:tblCellMar>
            <w:top w:w="0" w:type="dxa"/>
            <w:left w:w="108" w:type="dxa"/>
            <w:bottom w:w="0" w:type="dxa"/>
            <w:right w:w="108" w:type="dxa"/>
          </w:tblCellMar>
        </w:tblPrEx>
        <w:trPr>
          <w:trHeight w:val="1345"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xml:space="preserve">　《幼儿园收费管理暂行办法》及相关收费政策，规范收费行为，按照物价部门确定的项目和标准收费。各项收入按照有关规定实行收支两条线管理。 </w:t>
            </w:r>
          </w:p>
        </w:tc>
      </w:tr>
      <w:tr>
        <w:tblPrEx>
          <w:tblCellMar>
            <w:top w:w="0" w:type="dxa"/>
            <w:left w:w="108" w:type="dxa"/>
            <w:bottom w:w="0" w:type="dxa"/>
            <w:right w:w="108" w:type="dxa"/>
          </w:tblCellMar>
        </w:tblPrEx>
        <w:trPr>
          <w:trHeight w:val="92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773"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各班教师上交幼儿上月出勤表---按出勤天数核定伙食费---开具保育费和伙食费票据---统计每班幼儿应缴费明细并张贴通知家长---家长缴费---保育费上缴财政、伙食费存入食堂专用账户</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各班幼儿出勤表、保育费非税收入统一缴款书、伙食费收据、各班幼儿收费明细、上缴财政专用缴款书</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numPr>
                <w:ilvl w:val="0"/>
                <w:numId w:val="3"/>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严格按照物价部门确定的项目和标准收费，保育费每生每月900元，伙食费每生每日11元。</w:t>
            </w:r>
          </w:p>
          <w:p>
            <w:pPr>
              <w:widowControl/>
              <w:numPr>
                <w:ilvl w:val="0"/>
                <w:numId w:val="3"/>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严格按照幼儿出勤表、学生在册名单核算保育费、伙食费。</w:t>
            </w:r>
          </w:p>
          <w:p>
            <w:pPr>
              <w:widowControl/>
              <w:numPr>
                <w:ilvl w:val="0"/>
                <w:numId w:val="3"/>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将保育费收齐全部上缴财政专户，伙食费如数存入食堂专用账户，专款专用。</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电话：66897578</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5.2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幼儿园家长工作</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《幼儿园教育指导纲要》指出：“家庭是幼儿园的重要合作伙伴。应本着尊重、平等合作的原则，争取家长的理解和主动参与，并积极支持、帮助家长提高教育能力。”</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制定家委会工作制度——征集家委会成员——定时召开家委会——发放调查问卷——反馈、总结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制定会议议题、会议记录、调查问卷、</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1、向家长宣传教育政策，帮助家长端正教育理念，宣传家庭教育的重要性、迫切性、目的性、帮助家长树立科学育儿的观念。</w:t>
            </w:r>
          </w:p>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2、家委会成员有义务利用自己的特长帮助幼儿园出谋划策、开展工作，以达到更好的教学效果为目的，热情地为全体家长服务</w:t>
            </w:r>
            <w:r>
              <w:rPr>
                <w:rFonts w:hint="eastAsia" w:ascii="楷体_GB2312" w:hAnsi="楷体_GB2312" w:eastAsia="楷体_GB2312" w:cs="楷体_GB2312"/>
                <w:kern w:val="0"/>
                <w:sz w:val="24"/>
                <w:lang w:eastAsia="zh-CN"/>
              </w:rPr>
              <w:t>。</w:t>
            </w:r>
          </w:p>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3、家委会成员有权监督、了解幼儿园保教工作开展的情况，以保证孩子在幼儿园得到良好发展。</w:t>
            </w:r>
          </w:p>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4、协助幼儿园顺利完成保教任务，参与组织家园活动、社区活动、主题活动、节日活动</w:t>
            </w:r>
            <w:r>
              <w:rPr>
                <w:rFonts w:hint="eastAsia" w:ascii="楷体_GB2312" w:hAnsi="楷体_GB2312" w:eastAsia="楷体_GB2312" w:cs="楷体_GB2312"/>
                <w:kern w:val="0"/>
                <w:sz w:val="24"/>
                <w:lang w:eastAsia="zh-CN"/>
              </w:rPr>
              <w:t>等</w:t>
            </w:r>
            <w:r>
              <w:rPr>
                <w:rFonts w:hint="eastAsia" w:ascii="楷体_GB2312" w:hAnsi="楷体_GB2312" w:eastAsia="楷体_GB2312" w:cs="楷体_GB2312"/>
                <w:kern w:val="0"/>
                <w:sz w:val="24"/>
              </w:rPr>
              <w:t>;</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360" w:lineRule="exact"/>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电话：63261456</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来信来访地址：天津市滨海新区大港第四幼儿园</w:t>
            </w:r>
          </w:p>
        </w:tc>
      </w:tr>
    </w:tbl>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5.3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加强党组织建设</w:t>
            </w:r>
          </w:p>
        </w:tc>
      </w:tr>
      <w:tr>
        <w:tblPrEx>
          <w:tblCellMar>
            <w:top w:w="0" w:type="dxa"/>
            <w:left w:w="108" w:type="dxa"/>
            <w:bottom w:w="0" w:type="dxa"/>
            <w:right w:w="108" w:type="dxa"/>
          </w:tblCellMar>
        </w:tblPrEx>
        <w:trPr>
          <w:trHeight w:val="1705"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《基层党组织建设》《中国共产党党章》《党员电教化学习》</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天津市滨海新区大港第四幼儿园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制定党支部计划——成立党小组——制定各项工作方案——党支部总结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党支部手册、工作记录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1、党组织围绕幼儿园的中心任务大力加强党的思想、组织和作风建设，充分发挥党组织的政治核心作用，干部的示范带头作用和党员的先锋模范作用。</w:t>
            </w:r>
          </w:p>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2、幼儿园党组织不断加强党风廉政建设和行业风气建设，搞好民主评议工作，定期评议支委会、幼儿园领导班子和干部、党员。</w:t>
            </w:r>
          </w:p>
          <w:p>
            <w:pPr>
              <w:widowControl/>
              <w:spacing w:line="360" w:lineRule="exact"/>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3、幼儿园党组织负责统战工作，加强对工会、共青团的领导，充分发挥积极作用，团结他们同心协力，办好幼儿园。</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宋体" w:eastAsia="仿宋_GB2312" w:cs="宋体"/>
                <w:kern w:val="0"/>
                <w:sz w:val="28"/>
                <w:szCs w:val="28"/>
              </w:rPr>
            </w:pPr>
            <w:r>
              <w:rPr>
                <w:rFonts w:hint="eastAsia" w:ascii="仿宋_GB2312" w:hAnsi="宋体" w:eastAsia="仿宋_GB2312" w:cs="宋体"/>
                <w:kern w:val="0"/>
                <w:sz w:val="28"/>
                <w:szCs w:val="28"/>
              </w:rPr>
              <w:t>电话：66896036</w:t>
            </w:r>
          </w:p>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来信来访地址：天津市滨海新区大港第四幼儿园</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文星仿宋">
    <w:altName w:val="仿宋_GB2312"/>
    <w:panose1 w:val="00000000000000000000"/>
    <w:charset w:val="86"/>
    <w:family w:val="auto"/>
    <w:pitch w:val="default"/>
    <w:sig w:usb0="00000000" w:usb1="00000000" w:usb2="00000010" w:usb3="00000000" w:csb0="00040001" w:csb1="00000000"/>
  </w:font>
  <w:font w:name="方正小标宋简体">
    <w:panose1 w:val="03000509000000000000"/>
    <w:charset w:val="86"/>
    <w:family w:val="auto"/>
    <w:pitch w:val="default"/>
    <w:sig w:usb0="00000001" w:usb1="080E0000" w:usb2="00000000" w:usb3="00000000" w:csb0="00040000" w:csb1="00000000"/>
  </w:font>
  <w:font w:name="方正黑体简体">
    <w:altName w:val="黑体"/>
    <w:panose1 w:val="00000000000000000000"/>
    <w:charset w:val="86"/>
    <w:family w:val="script"/>
    <w:pitch w:val="default"/>
    <w:sig w:usb0="00000000" w:usb1="00000000" w:usb2="00000010" w:usb3="00000000" w:csb0="00040000" w:csb1="00000000"/>
  </w:font>
  <w:font w:name="方正楷体简体">
    <w:altName w:val="黑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方正仿宋简体">
    <w:altName w:val="黑体"/>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31E851"/>
    <w:multiLevelType w:val="singleLevel"/>
    <w:tmpl w:val="5A31E851"/>
    <w:lvl w:ilvl="0" w:tentative="0">
      <w:start w:val="1"/>
      <w:numFmt w:val="decimal"/>
      <w:suff w:val="nothing"/>
      <w:lvlText w:val="%1、"/>
      <w:lvlJc w:val="left"/>
    </w:lvl>
  </w:abstractNum>
  <w:abstractNum w:abstractNumId="1">
    <w:nsid w:val="5A31F301"/>
    <w:multiLevelType w:val="singleLevel"/>
    <w:tmpl w:val="5A31F301"/>
    <w:lvl w:ilvl="0" w:tentative="0">
      <w:start w:val="1"/>
      <w:numFmt w:val="decimal"/>
      <w:suff w:val="nothing"/>
      <w:lvlText w:val="%1、"/>
      <w:lvlJc w:val="left"/>
    </w:lvl>
  </w:abstractNum>
  <w:abstractNum w:abstractNumId="2">
    <w:nsid w:val="5A3371F9"/>
    <w:multiLevelType w:val="singleLevel"/>
    <w:tmpl w:val="5A3371F9"/>
    <w:lvl w:ilvl="0" w:tentative="0">
      <w:start w:val="1"/>
      <w:numFmt w:val="decimal"/>
      <w:lvlText w:val="%1."/>
      <w:lvlJc w:val="left"/>
      <w:pPr>
        <w:tabs>
          <w:tab w:val="left" w:pos="312"/>
        </w:tabs>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WJmNTAxYTA0NTllZTU0OWY5NWY0MWNlMzBjNGU2OTYifQ=="/>
  </w:docVars>
  <w:rsids>
    <w:rsidRoot w:val="00587923"/>
    <w:rsid w:val="00042439"/>
    <w:rsid w:val="000C4238"/>
    <w:rsid w:val="000F63EF"/>
    <w:rsid w:val="001A18F2"/>
    <w:rsid w:val="00226ECD"/>
    <w:rsid w:val="002A086A"/>
    <w:rsid w:val="002C2A60"/>
    <w:rsid w:val="00364BCE"/>
    <w:rsid w:val="00402D8A"/>
    <w:rsid w:val="0042173B"/>
    <w:rsid w:val="0045026C"/>
    <w:rsid w:val="004D7EE7"/>
    <w:rsid w:val="00512C6A"/>
    <w:rsid w:val="00563C5B"/>
    <w:rsid w:val="00587923"/>
    <w:rsid w:val="005A670A"/>
    <w:rsid w:val="00632E83"/>
    <w:rsid w:val="006E199A"/>
    <w:rsid w:val="007306E6"/>
    <w:rsid w:val="00763776"/>
    <w:rsid w:val="007A5C24"/>
    <w:rsid w:val="007B5565"/>
    <w:rsid w:val="00897EBD"/>
    <w:rsid w:val="009932E4"/>
    <w:rsid w:val="009E1173"/>
    <w:rsid w:val="00A33E01"/>
    <w:rsid w:val="00A77749"/>
    <w:rsid w:val="00AC4A54"/>
    <w:rsid w:val="00B7553D"/>
    <w:rsid w:val="00B85295"/>
    <w:rsid w:val="00B91CA4"/>
    <w:rsid w:val="00BA21AA"/>
    <w:rsid w:val="00BC70D5"/>
    <w:rsid w:val="00C25E0E"/>
    <w:rsid w:val="00C72780"/>
    <w:rsid w:val="00CD38F7"/>
    <w:rsid w:val="00D505EF"/>
    <w:rsid w:val="00DB7DFB"/>
    <w:rsid w:val="00EA4B85"/>
    <w:rsid w:val="00F55C32"/>
    <w:rsid w:val="088E2D2E"/>
    <w:rsid w:val="08A46C56"/>
    <w:rsid w:val="0AB908B9"/>
    <w:rsid w:val="0B3677B9"/>
    <w:rsid w:val="127A09B7"/>
    <w:rsid w:val="1F9C60B1"/>
    <w:rsid w:val="24210076"/>
    <w:rsid w:val="31962820"/>
    <w:rsid w:val="33C704C6"/>
    <w:rsid w:val="376F0B44"/>
    <w:rsid w:val="3B6E1D6F"/>
    <w:rsid w:val="49A75877"/>
    <w:rsid w:val="4C083459"/>
    <w:rsid w:val="4E3E0147"/>
    <w:rsid w:val="6093703D"/>
    <w:rsid w:val="77060412"/>
    <w:rsid w:val="7F4A53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unhideWhenUsed/>
    <w:qFormat/>
    <w:uiPriority w:val="99"/>
    <w:rPr>
      <w:rFonts w:eastAsia="文星仿宋"/>
      <w:sz w:val="32"/>
    </w:rPr>
  </w:style>
  <w:style w:type="paragraph" w:styleId="3">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Hyperlink"/>
    <w:basedOn w:val="6"/>
    <w:unhideWhenUsed/>
    <w:qFormat/>
    <w:uiPriority w:val="99"/>
    <w:rPr>
      <w:color w:val="0000FF"/>
      <w:u w:val="single"/>
    </w:rPr>
  </w:style>
  <w:style w:type="character" w:customStyle="1" w:styleId="8">
    <w:name w:val="页眉 Char"/>
    <w:basedOn w:val="6"/>
    <w:link w:val="4"/>
    <w:semiHidden/>
    <w:qFormat/>
    <w:uiPriority w:val="99"/>
    <w:rPr>
      <w:sz w:val="18"/>
      <w:szCs w:val="18"/>
    </w:rPr>
  </w:style>
  <w:style w:type="character" w:customStyle="1" w:styleId="9">
    <w:name w:val="页脚 Char"/>
    <w:basedOn w:val="6"/>
    <w:link w:val="3"/>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12</Pages>
  <Words>4451</Words>
  <Characters>4639</Characters>
  <Lines>39</Lines>
  <Paragraphs>11</Paragraphs>
  <TotalTime>347</TotalTime>
  <ScaleCrop>false</ScaleCrop>
  <LinksUpToDate>false</LinksUpToDate>
  <CharactersWithSpaces>4714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2017-12-06T01:58:00Z</dcterms:created>
  <dc:creator>微软用户</dc:creator>
  <cp:lastModifiedBy>小风筝_薇</cp:lastModifiedBy>
  <cp:lastPrinted>2018-05-28T00:39:00Z</cp:lastPrinted>
  <dcterms:modified xsi:type="dcterms:W3CDTF">2024-06-26T03:20:08Z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29E9060232554B90AD9A6DB6A1E0079B_12</vt:lpwstr>
  </property>
</Properties>
</file>