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kern w:val="0"/>
                      <w:sz w:val="18"/>
                      <w:szCs w:val="18"/>
                      <w:highlight w:val="none"/>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大港栖凤</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主要</w:t>
                  </w:r>
                </w:p>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w:t>
                  </w:r>
                </w:p>
              </w:tc>
              <w:tc>
                <w:tcPr>
                  <w:tcW w:w="4304"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31</w:t>
                  </w:r>
                </w:p>
              </w:tc>
            </w:tr>
          </w:tbl>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tabs>
                <w:tab w:val="left" w:pos="673"/>
              </w:tabs>
              <w:rPr>
                <w:highlight w:val="none"/>
              </w:rPr>
            </w:pPr>
          </w:p>
          <w:p>
            <w:pPr>
              <w:widowControl/>
              <w:jc w:val="center"/>
              <w:rPr>
                <w:rFonts w:ascii="方正小标宋简体" w:hAnsi="宋体" w:eastAsia="方正小标宋简体" w:cs="宋体"/>
                <w:kern w:val="0"/>
                <w:sz w:val="30"/>
                <w:szCs w:val="30"/>
                <w:highlight w:val="none"/>
              </w:rPr>
            </w:pPr>
            <w:r>
              <w:rPr>
                <w:rFonts w:hint="eastAsia" w:ascii="方正小标宋简体" w:hAnsi="宋体" w:eastAsia="方正小标宋简体" w:cs="宋体"/>
                <w:kern w:val="0"/>
                <w:sz w:val="30"/>
                <w:szCs w:val="30"/>
                <w:highlight w:val="none"/>
                <w:u w:val="single"/>
              </w:rPr>
              <w:t>维护学生平等入学权利</w:t>
            </w:r>
            <w:r>
              <w:rPr>
                <w:rFonts w:hint="eastAsia" w:ascii="方正小标宋简体" w:hAnsi="宋体" w:eastAsia="方正小标宋简体" w:cs="宋体"/>
                <w:kern w:val="0"/>
                <w:sz w:val="30"/>
                <w:szCs w:val="30"/>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bl>
    <w:p>
      <w:pPr>
        <w:spacing w:line="588" w:lineRule="exact"/>
        <w:jc w:val="left"/>
        <w:rPr>
          <w:rFonts w:asciiTheme="majorEastAsia" w:hAnsiTheme="majorEastAsia" w:eastAsiaTheme="majorEastAsia" w:cstheme="majorEastAsia"/>
          <w:sz w:val="24"/>
          <w:highlight w:val="none"/>
        </w:rPr>
      </w:pPr>
    </w:p>
    <w:p>
      <w:pPr>
        <w:spacing w:line="588" w:lineRule="exact"/>
        <w:jc w:val="left"/>
        <w:rPr>
          <w:rFonts w:asciiTheme="majorEastAsia" w:hAnsiTheme="majorEastAsia" w:eastAsiaTheme="majorEastAsia" w:cstheme="majorEastAsia"/>
          <w:sz w:val="24"/>
          <w:highlight w:val="none"/>
        </w:rPr>
      </w:pPr>
    </w:p>
    <w:p>
      <w:pPr>
        <w:rPr>
          <w:rFonts w:asciiTheme="majorEastAsia" w:hAnsiTheme="majorEastAsia" w:eastAsiaTheme="majorEastAsia" w:cstheme="majorEastAsia"/>
          <w:sz w:val="24"/>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sz w:val="24"/>
                <w:highlight w:val="none"/>
              </w:rPr>
              <w:tab/>
            </w:r>
            <w:r>
              <w:rPr>
                <w:rFonts w:hint="eastAsia" w:asciiTheme="majorEastAsia" w:hAnsiTheme="majorEastAsia" w:eastAsiaTheme="majorEastAsia" w:cstheme="majorEastAsia"/>
                <w:kern w:val="0"/>
                <w:sz w:val="24"/>
                <w:highlight w:val="none"/>
                <w:u w:val="single"/>
              </w:rPr>
              <w:t>实行均衡编班，不分重点班与非重点班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实行收费公示制度，严格执行国家关于义务教育免费的规定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shd w:val="clear" w:color="auto" w:fill="FFFFFF"/>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第二十九条 学校及其他教育机构应当履行下列义务：</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(五)遵照国家有关规定收取费用并公开收费项目。</w:t>
            </w:r>
          </w:p>
          <w:p>
            <w:pPr>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执行国家学籍管理相关规定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为适龄残疾儿童创设条件，满足其随班就读需求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highlight w:val="none"/>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2.</w:t>
            </w:r>
            <w:r>
              <w:rPr>
                <w:rFonts w:hint="eastAsia" w:asciiTheme="majorEastAsia" w:hAnsiTheme="majorEastAsia" w:eastAsiaTheme="majorEastAsia" w:cstheme="maj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sz w:val="18"/>
                <w:szCs w:val="18"/>
                <w:highlight w:val="none"/>
              </w:rPr>
              <w:t>3.《中华人民共和国教师法》</w:t>
            </w:r>
            <w:r>
              <w:rPr>
                <w:rFonts w:hint="eastAsia" w:asciiTheme="majorEastAsia" w:hAnsiTheme="majorEastAsia" w:eastAsiaTheme="majorEastAsia" w:cstheme="majorEastAsia"/>
                <w:sz w:val="18"/>
                <w:szCs w:val="18"/>
                <w:highlight w:val="none"/>
              </w:rPr>
              <w:t>(1993年10月31日第八届全国人民代表大会常务委员会第四次会议通过 于1994年1月1日七施行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将心理教育贯穿于教育的全过程，开展心理辅导</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Cs w:val="21"/>
                <w:highlight w:val="none"/>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按照计划方案开展“双间制”活动；指导学生落实艺术体育“2+1”工作；对学生进行考核；建立学生</w:t>
            </w:r>
            <w:r>
              <w:rPr>
                <w:rFonts w:hint="eastAsia" w:asciiTheme="majorEastAsia" w:hAnsiTheme="majorEastAsia" w:eastAsia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定期开展学生体检和体质健康监测，建立学生健康档案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按照国家要求开足开齐音乐美术课，开设书法课，培养学生艺术爱好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多渠道多形式开展综合实践活动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实行教师聘任制度，完善考核评价，保证教师待遇</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完善培训制度，支持和保障教师进行培训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hint="eastAsia" w:eastAsia="仿宋_GB2312" w:asciiTheme="majorEastAsia" w:hAnsiTheme="majorEastAsia" w:cstheme="majorEastAsia"/>
                <w:kern w:val="0"/>
                <w:sz w:val="24"/>
                <w:highlight w:val="none"/>
                <w:lang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严格遵守国家关于教材教辅管理的相关规定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建立教学常规管理制度和教学质量保障机制</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采取启发式，讨论式合作式，探究式等教学方式，提高学生课堂学习主动性</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落实减负工作要求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（职责事项名称）</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设置安全警示标志，开展安全教育活动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重点加强防溺水、交通安全和预防校园欺凌教育，了解掌握一定的安全技能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定期开展应急演练，提高师生应对突发事件和自救自护能力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1.《中小学幼儿园应急疏散演练指南》</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制定学校章程和学校发展规划，建立健全各项制度</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成立机构，拟定草案，</w:t>
            </w:r>
            <w:r>
              <w:rPr>
                <w:rFonts w:hint="eastAsia" w:asciiTheme="majorEastAsia" w:hAnsiTheme="majorEastAsia" w:eastAsiaTheme="majorEastAsia" w:cstheme="majorEastAsia"/>
                <w:kern w:val="0"/>
                <w:sz w:val="24"/>
                <w:highlight w:val="none"/>
                <w:lang w:eastAsia="zh-CN"/>
              </w:rPr>
              <w:t>征</w:t>
            </w:r>
            <w:r>
              <w:rPr>
                <w:rFonts w:hint="eastAsia" w:asciiTheme="majorEastAsia" w:hAnsiTheme="majorEastAsia" w:eastAsia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坚持民主集中制，健全学校教职工大会制度，发挥其参与学校管理的作用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大港栖凤小学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多渠道公开学校，校务信息，保证教职工、学生、社会公众知情权</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63132486</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r>
              <w:rPr>
                <w:rFonts w:asciiTheme="majorEastAsia" w:hAnsiTheme="majorEastAsia" w:eastAsiaTheme="majorEastAsia" w:cstheme="maj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63132486</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highlight w:val="none"/>
              </w:rPr>
            </w:pPr>
            <w:bookmarkStart w:id="0" w:name="_GoBack"/>
            <w:bookmarkEnd w:id="0"/>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大港栖凤小学</w:t>
            </w:r>
          </w:p>
        </w:tc>
      </w:tr>
    </w:tbl>
    <w:p>
      <w:pPr>
        <w:tabs>
          <w:tab w:val="left" w:pos="673"/>
        </w:tabs>
        <w:rPr>
          <w:highlight w:val="none"/>
        </w:rPr>
      </w:pPr>
    </w:p>
    <w:p>
      <w:pPr>
        <w:tabs>
          <w:tab w:val="left" w:pos="673"/>
        </w:tabs>
        <w:rPr>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76D7165"/>
    <w:rsid w:val="088673BF"/>
    <w:rsid w:val="0B8401C9"/>
    <w:rsid w:val="0BA6233B"/>
    <w:rsid w:val="16B72ECD"/>
    <w:rsid w:val="16CA74CA"/>
    <w:rsid w:val="17E012CE"/>
    <w:rsid w:val="1AE11E43"/>
    <w:rsid w:val="1C0950DB"/>
    <w:rsid w:val="21E073D9"/>
    <w:rsid w:val="21F24A3C"/>
    <w:rsid w:val="24641729"/>
    <w:rsid w:val="283D6657"/>
    <w:rsid w:val="2BCD06D1"/>
    <w:rsid w:val="2E30558D"/>
    <w:rsid w:val="2E45719A"/>
    <w:rsid w:val="369960FB"/>
    <w:rsid w:val="3BB963D1"/>
    <w:rsid w:val="44533D3E"/>
    <w:rsid w:val="45FB6218"/>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13734</Words>
  <Characters>14600</Characters>
  <Lines>123</Lines>
  <Paragraphs>34</Paragraphs>
  <TotalTime>13</TotalTime>
  <ScaleCrop>false</ScaleCrop>
  <LinksUpToDate>false</LinksUpToDate>
  <CharactersWithSpaces>15430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2024-06-26T03:47:17Z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4F5BFC373BCD4916950EA99A648E97D3_12</vt:lpwstr>
  </property>
</Properties>
</file>