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ind w:firstLine="1320" w:firstLineChars="300"/>
        <w:rPr>
          <w:sz w:val="44"/>
          <w:szCs w:val="44"/>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塘沽街道退役军人服务站职责清单目录</w:t>
      </w:r>
    </w:p>
    <w:p/>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2012"/>
        <w:gridCol w:w="858"/>
        <w:gridCol w:w="613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trPr>
        <w:tc>
          <w:tcPr>
            <w:tcW w:w="587" w:type="dxa"/>
            <w:vMerge w:val="restart"/>
            <w:vAlign w:val="center"/>
          </w:tcPr>
          <w:p>
            <w:pPr>
              <w:jc w:val="center"/>
              <w:rPr>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2012" w:type="dxa"/>
            <w:vMerge w:val="restart"/>
            <w:vAlign w:val="center"/>
          </w:tcPr>
          <w:p>
            <w:pPr>
              <w:jc w:val="center"/>
              <w:rPr>
                <w:sz w:val="32"/>
                <w:szCs w:val="32"/>
                <w:vertAlign w:val="baseline"/>
              </w:rPr>
            </w:pPr>
            <w:r>
              <w:rPr>
                <w:rFonts w:hint="eastAsia" w:ascii="黑体" w:hAnsi="宋体" w:eastAsia="黑体" w:cs="黑体"/>
                <w:i w:val="0"/>
                <w:iCs w:val="0"/>
                <w:color w:val="000000"/>
                <w:kern w:val="0"/>
                <w:sz w:val="32"/>
                <w:szCs w:val="32"/>
                <w:u w:val="none"/>
                <w:lang w:val="en-US" w:eastAsia="zh-CN" w:bidi="ar"/>
              </w:rPr>
              <w:t>主要</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职责</w:t>
            </w:r>
          </w:p>
        </w:tc>
        <w:tc>
          <w:tcPr>
            <w:tcW w:w="8083" w:type="dxa"/>
            <w:gridSpan w:val="3"/>
            <w:vAlign w:val="center"/>
          </w:tcPr>
          <w:p>
            <w:pPr>
              <w:jc w:val="center"/>
              <w:rPr>
                <w:sz w:val="32"/>
                <w:szCs w:val="32"/>
                <w:vertAlign w:val="baseline"/>
              </w:rPr>
            </w:pPr>
            <w:r>
              <w:rPr>
                <w:rFonts w:hint="eastAsia" w:ascii="黑体" w:hAnsi="宋体" w:eastAsia="黑体" w:cs="黑体"/>
                <w:i w:val="0"/>
                <w:iCs w:val="0"/>
                <w:color w:val="000000"/>
                <w:kern w:val="0"/>
                <w:sz w:val="32"/>
                <w:szCs w:val="32"/>
                <w:u w:val="none"/>
                <w:lang w:val="en-US" w:eastAsia="zh-CN" w:bidi="ar"/>
              </w:rPr>
              <w:t>职责事项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7" w:type="dxa"/>
            <w:vMerge w:val="continue"/>
            <w:vAlign w:val="center"/>
          </w:tcPr>
          <w:p>
            <w:pPr>
              <w:jc w:val="center"/>
              <w:rPr>
                <w:sz w:val="32"/>
                <w:szCs w:val="32"/>
                <w:vertAlign w:val="baseline"/>
              </w:rPr>
            </w:pPr>
          </w:p>
        </w:tc>
        <w:tc>
          <w:tcPr>
            <w:tcW w:w="2012" w:type="dxa"/>
            <w:vMerge w:val="continue"/>
            <w:vAlign w:val="center"/>
          </w:tcPr>
          <w:p>
            <w:pPr>
              <w:jc w:val="center"/>
              <w:rPr>
                <w:sz w:val="32"/>
                <w:szCs w:val="32"/>
                <w:vertAlign w:val="baseline"/>
              </w:rPr>
            </w:pPr>
          </w:p>
        </w:tc>
        <w:tc>
          <w:tcPr>
            <w:tcW w:w="858" w:type="dxa"/>
            <w:vAlign w:val="center"/>
          </w:tcPr>
          <w:p>
            <w:pPr>
              <w:keepNext w:val="0"/>
              <w:keepLines w:val="0"/>
              <w:widowControl/>
              <w:suppressLineNumbers w:val="0"/>
              <w:jc w:val="center"/>
              <w:textAlignment w:val="center"/>
              <w:rPr>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6130" w:type="dxa"/>
            <w:vAlign w:val="center"/>
          </w:tcPr>
          <w:p>
            <w:pPr>
              <w:keepNext w:val="0"/>
              <w:keepLines w:val="0"/>
              <w:widowControl/>
              <w:suppressLineNumbers w:val="0"/>
              <w:jc w:val="center"/>
              <w:textAlignment w:val="center"/>
              <w:rPr>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1095" w:type="dxa"/>
            <w:vAlign w:val="center"/>
          </w:tcPr>
          <w:p>
            <w:pPr>
              <w:keepNext w:val="0"/>
              <w:keepLines w:val="0"/>
              <w:widowControl/>
              <w:suppressLineNumbers w:val="0"/>
              <w:jc w:val="center"/>
              <w:textAlignment w:val="center"/>
              <w:rPr>
                <w:sz w:val="32"/>
                <w:szCs w:val="32"/>
                <w:vertAlign w:val="baseline"/>
              </w:rPr>
            </w:pPr>
            <w:r>
              <w:rPr>
                <w:rFonts w:hint="eastAsia" w:ascii="黑体" w:hAnsi="宋体" w:eastAsia="黑体" w:cs="黑体"/>
                <w:i w:val="0"/>
                <w:iCs w:val="0"/>
                <w:color w:val="000000"/>
                <w:kern w:val="0"/>
                <w:sz w:val="32"/>
                <w:szCs w:val="32"/>
                <w:u w:val="none"/>
                <w:lang w:val="en-US" w:eastAsia="zh-CN" w:bidi="ar"/>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7" w:type="dxa"/>
            <w:vMerge w:val="restart"/>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2012"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both"/>
              <w:rPr>
                <w:sz w:val="28"/>
                <w:szCs w:val="28"/>
                <w:vertAlign w:val="baseline"/>
              </w:rPr>
            </w:pPr>
            <w:r>
              <w:rPr>
                <w:rFonts w:hint="eastAsia" w:ascii="楷体_GB2312" w:hAnsi="宋体" w:eastAsia="楷体_GB2312" w:cs="楷体_GB2312"/>
                <w:i w:val="0"/>
                <w:iCs w:val="0"/>
                <w:color w:val="000000"/>
                <w:kern w:val="0"/>
                <w:sz w:val="28"/>
                <w:szCs w:val="28"/>
                <w:u w:val="none"/>
                <w:lang w:val="en-US" w:eastAsia="zh-CN" w:bidi="ar"/>
              </w:rPr>
              <w:t>承担退役军人服务管理思想政治政策咨询和宣传引导</w:t>
            </w:r>
          </w:p>
        </w:tc>
        <w:tc>
          <w:tcPr>
            <w:tcW w:w="858" w:type="dxa"/>
            <w:vAlign w:val="center"/>
          </w:tcPr>
          <w:p>
            <w:pPr>
              <w:keepNext w:val="0"/>
              <w:keepLines w:val="0"/>
              <w:widowControl/>
              <w:suppressLineNumbers w:val="0"/>
              <w:jc w:val="center"/>
              <w:textAlignment w:val="center"/>
              <w:rPr>
                <w:sz w:val="28"/>
                <w:szCs w:val="28"/>
                <w:vertAlign w:val="baseline"/>
              </w:rPr>
            </w:pPr>
            <w:r>
              <w:rPr>
                <w:rFonts w:hint="eastAsia" w:ascii="楷体_GB2312" w:hAnsi="宋体" w:eastAsia="楷体_GB2312" w:cs="楷体_GB2312"/>
                <w:i w:val="0"/>
                <w:iCs w:val="0"/>
                <w:color w:val="000000"/>
                <w:kern w:val="0"/>
                <w:sz w:val="28"/>
                <w:szCs w:val="28"/>
                <w:u w:val="none"/>
                <w:lang w:val="en-US" w:eastAsia="zh-CN" w:bidi="ar"/>
              </w:rPr>
              <w:t>1.1</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指导辖区内各社区退役军人服务站业务</w:t>
            </w:r>
          </w:p>
        </w:tc>
        <w:tc>
          <w:tcPr>
            <w:tcW w:w="1095" w:type="dxa"/>
            <w:vAlign w:val="center"/>
          </w:tcPr>
          <w:p>
            <w:pPr>
              <w:keepNext w:val="0"/>
              <w:keepLines w:val="0"/>
              <w:widowControl/>
              <w:suppressLineNumbers w:val="0"/>
              <w:jc w:val="center"/>
              <w:textAlignment w:val="center"/>
              <w:rPr>
                <w:sz w:val="28"/>
                <w:szCs w:val="28"/>
                <w:vertAlign w:val="baseline"/>
              </w:rPr>
            </w:pPr>
            <w:r>
              <w:rPr>
                <w:rFonts w:hint="eastAsia" w:ascii="楷体_GB2312" w:hAnsi="宋体" w:eastAsia="楷体_GB2312" w:cs="楷体_GB2312"/>
                <w:i w:val="0"/>
                <w:iCs w:val="0"/>
                <w:color w:val="000000"/>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587" w:type="dxa"/>
            <w:vMerge w:val="continue"/>
            <w:vAlign w:val="center"/>
          </w:tcPr>
          <w:p>
            <w:pPr>
              <w:jc w:val="center"/>
              <w:rPr>
                <w:sz w:val="28"/>
                <w:szCs w:val="28"/>
                <w:vertAlign w:val="baseline"/>
              </w:rPr>
            </w:pPr>
          </w:p>
        </w:tc>
        <w:tc>
          <w:tcPr>
            <w:tcW w:w="201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both"/>
              <w:rPr>
                <w:sz w:val="28"/>
                <w:szCs w:val="28"/>
                <w:vertAlign w:val="baseline"/>
              </w:rPr>
            </w:pPr>
          </w:p>
        </w:tc>
        <w:tc>
          <w:tcPr>
            <w:tcW w:w="858" w:type="dxa"/>
            <w:vAlign w:val="center"/>
          </w:tcPr>
          <w:p>
            <w:pPr>
              <w:keepNext w:val="0"/>
              <w:keepLines w:val="0"/>
              <w:widowControl/>
              <w:suppressLineNumbers w:val="0"/>
              <w:jc w:val="center"/>
              <w:textAlignment w:val="center"/>
              <w:rPr>
                <w:sz w:val="28"/>
                <w:szCs w:val="28"/>
                <w:vertAlign w:val="baseline"/>
              </w:rPr>
            </w:pPr>
            <w:r>
              <w:rPr>
                <w:rFonts w:hint="eastAsia" w:ascii="楷体_GB2312" w:hAnsi="宋体" w:eastAsia="楷体_GB2312" w:cs="楷体_GB2312"/>
                <w:i w:val="0"/>
                <w:iCs w:val="0"/>
                <w:color w:val="000000"/>
                <w:kern w:val="0"/>
                <w:sz w:val="28"/>
                <w:szCs w:val="28"/>
                <w:u w:val="none"/>
                <w:lang w:val="en-US" w:eastAsia="zh-CN" w:bidi="ar"/>
              </w:rPr>
              <w:t>1.2</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做好辖区内单位退役军人组织关系转接等工作</w:t>
            </w:r>
          </w:p>
        </w:tc>
        <w:tc>
          <w:tcPr>
            <w:tcW w:w="1095" w:type="dxa"/>
            <w:vAlign w:val="center"/>
          </w:tcPr>
          <w:p>
            <w:pPr>
              <w:keepNext w:val="0"/>
              <w:keepLines w:val="0"/>
              <w:widowControl/>
              <w:suppressLineNumbers w:val="0"/>
              <w:jc w:val="center"/>
              <w:textAlignment w:val="center"/>
              <w:rPr>
                <w:sz w:val="28"/>
                <w:szCs w:val="28"/>
                <w:vertAlign w:val="baseline"/>
              </w:rPr>
            </w:pPr>
            <w:r>
              <w:rPr>
                <w:rFonts w:hint="eastAsia" w:ascii="楷体_GB2312" w:hAnsi="宋体" w:eastAsia="楷体_GB2312" w:cs="楷体_GB2312"/>
                <w:i w:val="0"/>
                <w:iCs w:val="0"/>
                <w:color w:val="000000"/>
                <w:kern w:val="0"/>
                <w:sz w:val="28"/>
                <w:szCs w:val="2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sz w:val="28"/>
                <w:szCs w:val="28"/>
                <w:vertAlign w:val="baseline"/>
              </w:rPr>
            </w:pPr>
          </w:p>
        </w:tc>
        <w:tc>
          <w:tcPr>
            <w:tcW w:w="201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both"/>
              <w:rPr>
                <w:sz w:val="28"/>
                <w:szCs w:val="28"/>
                <w:vertAlign w:val="baseline"/>
              </w:rPr>
            </w:pPr>
          </w:p>
        </w:tc>
        <w:tc>
          <w:tcPr>
            <w:tcW w:w="858" w:type="dxa"/>
            <w:vAlign w:val="center"/>
          </w:tcPr>
          <w:p>
            <w:pPr>
              <w:keepNext w:val="0"/>
              <w:keepLines w:val="0"/>
              <w:widowControl/>
              <w:suppressLineNumbers w:val="0"/>
              <w:jc w:val="center"/>
              <w:textAlignment w:val="center"/>
              <w:rPr>
                <w:sz w:val="28"/>
                <w:szCs w:val="28"/>
                <w:vertAlign w:val="baseline"/>
              </w:rPr>
            </w:pPr>
            <w:r>
              <w:rPr>
                <w:rFonts w:hint="eastAsia" w:ascii="楷体_GB2312" w:hAnsi="宋体" w:eastAsia="楷体_GB2312" w:cs="楷体_GB2312"/>
                <w:i w:val="0"/>
                <w:iCs w:val="0"/>
                <w:color w:val="000000"/>
                <w:kern w:val="0"/>
                <w:sz w:val="28"/>
                <w:szCs w:val="28"/>
                <w:u w:val="none"/>
                <w:lang w:val="en-US" w:eastAsia="zh-CN" w:bidi="ar"/>
              </w:rPr>
              <w:t>1.3</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做好退役军人和其他优抚对象来访接待等事项</w:t>
            </w:r>
          </w:p>
        </w:tc>
        <w:tc>
          <w:tcPr>
            <w:tcW w:w="1095" w:type="dxa"/>
            <w:vAlign w:val="center"/>
          </w:tcPr>
          <w:p>
            <w:pPr>
              <w:keepNext w:val="0"/>
              <w:keepLines w:val="0"/>
              <w:widowControl/>
              <w:suppressLineNumbers w:val="0"/>
              <w:jc w:val="center"/>
              <w:textAlignment w:val="center"/>
              <w:rPr>
                <w:sz w:val="28"/>
                <w:szCs w:val="28"/>
                <w:vertAlign w:val="baseline"/>
              </w:rPr>
            </w:pPr>
            <w:r>
              <w:rPr>
                <w:rFonts w:hint="eastAsia" w:ascii="楷体_GB2312" w:hAnsi="宋体" w:eastAsia="楷体_GB2312" w:cs="楷体_GB2312"/>
                <w:i w:val="0"/>
                <w:iCs w:val="0"/>
                <w:color w:val="000000"/>
                <w:kern w:val="0"/>
                <w:sz w:val="28"/>
                <w:szCs w:val="2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sz w:val="28"/>
                <w:szCs w:val="28"/>
                <w:vertAlign w:val="baseline"/>
              </w:rPr>
            </w:pPr>
          </w:p>
        </w:tc>
        <w:tc>
          <w:tcPr>
            <w:tcW w:w="201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both"/>
              <w:rPr>
                <w:sz w:val="28"/>
                <w:szCs w:val="28"/>
                <w:vertAlign w:val="baseline"/>
              </w:rPr>
            </w:pPr>
          </w:p>
        </w:tc>
        <w:tc>
          <w:tcPr>
            <w:tcW w:w="858" w:type="dxa"/>
            <w:vAlign w:val="center"/>
          </w:tcPr>
          <w:p>
            <w:pPr>
              <w:keepNext w:val="0"/>
              <w:keepLines w:val="0"/>
              <w:widowControl/>
              <w:suppressLineNumbers w:val="0"/>
              <w:jc w:val="center"/>
              <w:textAlignment w:val="center"/>
              <w:rPr>
                <w:sz w:val="28"/>
                <w:szCs w:val="28"/>
                <w:vertAlign w:val="baseline"/>
              </w:rPr>
            </w:pPr>
            <w:r>
              <w:rPr>
                <w:rFonts w:hint="eastAsia" w:ascii="楷体_GB2312" w:hAnsi="宋体" w:eastAsia="楷体_GB2312" w:cs="楷体_GB2312"/>
                <w:i w:val="0"/>
                <w:iCs w:val="0"/>
                <w:color w:val="000000"/>
                <w:kern w:val="0"/>
                <w:sz w:val="28"/>
                <w:szCs w:val="28"/>
                <w:u w:val="none"/>
                <w:lang w:val="en-US" w:eastAsia="zh-CN" w:bidi="ar"/>
              </w:rPr>
              <w:t>1.4</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掌握有关政策落实工作开展情况</w:t>
            </w:r>
          </w:p>
        </w:tc>
        <w:tc>
          <w:tcPr>
            <w:tcW w:w="1095" w:type="dxa"/>
            <w:vAlign w:val="center"/>
          </w:tcPr>
          <w:p>
            <w:pPr>
              <w:keepNext w:val="0"/>
              <w:keepLines w:val="0"/>
              <w:widowControl/>
              <w:suppressLineNumbers w:val="0"/>
              <w:jc w:val="center"/>
              <w:textAlignment w:val="center"/>
              <w:rPr>
                <w:sz w:val="28"/>
                <w:szCs w:val="28"/>
                <w:vertAlign w:val="baseline"/>
              </w:rPr>
            </w:pPr>
            <w:r>
              <w:rPr>
                <w:rFonts w:hint="eastAsia" w:ascii="楷体_GB2312" w:hAnsi="宋体" w:eastAsia="楷体_GB2312" w:cs="楷体_GB2312"/>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2</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sz w:val="28"/>
                <w:szCs w:val="28"/>
                <w:vertAlign w:val="baseline"/>
              </w:rPr>
            </w:pPr>
            <w:r>
              <w:rPr>
                <w:rFonts w:hint="eastAsia" w:ascii="楷体_GB2312" w:hAnsi="宋体" w:eastAsia="楷体_GB2312" w:cs="楷体_GB2312"/>
                <w:i w:val="0"/>
                <w:iCs w:val="0"/>
                <w:color w:val="000000"/>
                <w:kern w:val="0"/>
                <w:sz w:val="28"/>
                <w:szCs w:val="28"/>
                <w:u w:val="none"/>
                <w:lang w:val="en-US" w:eastAsia="zh-CN" w:bidi="ar"/>
              </w:rPr>
              <w:t>加强退役军人信息平台建设管理</w:t>
            </w:r>
          </w:p>
        </w:tc>
        <w:tc>
          <w:tcPr>
            <w:tcW w:w="858" w:type="dxa"/>
            <w:vAlign w:val="center"/>
          </w:tcPr>
          <w:p>
            <w:pPr>
              <w:keepNext w:val="0"/>
              <w:keepLines w:val="0"/>
              <w:widowControl/>
              <w:suppressLineNumbers w:val="0"/>
              <w:jc w:val="center"/>
              <w:textAlignment w:val="center"/>
              <w:rPr>
                <w:sz w:val="28"/>
                <w:szCs w:val="28"/>
                <w:vertAlign w:val="baseline"/>
              </w:rPr>
            </w:pPr>
            <w:r>
              <w:rPr>
                <w:rFonts w:hint="eastAsia" w:ascii="楷体_GB2312" w:hAnsi="宋体" w:eastAsia="楷体_GB2312" w:cs="楷体_GB2312"/>
                <w:i w:val="0"/>
                <w:iCs w:val="0"/>
                <w:color w:val="000000"/>
                <w:kern w:val="0"/>
                <w:sz w:val="28"/>
                <w:szCs w:val="28"/>
                <w:u w:val="none"/>
                <w:lang w:val="en-US" w:eastAsia="zh-CN" w:bidi="ar"/>
              </w:rPr>
              <w:t>2.1</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做好退役军人和其他优抚对象信息数据采集等工作</w:t>
            </w:r>
          </w:p>
        </w:tc>
        <w:tc>
          <w:tcPr>
            <w:tcW w:w="1095" w:type="dxa"/>
            <w:vAlign w:val="center"/>
          </w:tcPr>
          <w:p>
            <w:pPr>
              <w:keepNext w:val="0"/>
              <w:keepLines w:val="0"/>
              <w:widowControl/>
              <w:suppressLineNumbers w:val="0"/>
              <w:jc w:val="center"/>
              <w:textAlignment w:val="center"/>
              <w:rPr>
                <w:sz w:val="28"/>
                <w:szCs w:val="28"/>
                <w:vertAlign w:val="baseline"/>
              </w:rPr>
            </w:pPr>
            <w:r>
              <w:rPr>
                <w:rFonts w:hint="eastAsia" w:ascii="楷体_GB2312" w:hAnsi="宋体" w:eastAsia="楷体_GB2312" w:cs="楷体_GB2312"/>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3</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sz w:val="28"/>
                <w:szCs w:val="28"/>
                <w:vertAlign w:val="baseline"/>
              </w:rPr>
            </w:pPr>
            <w:r>
              <w:rPr>
                <w:rFonts w:hint="eastAsia" w:ascii="楷体_GB2312" w:hAnsi="宋体" w:eastAsia="楷体_GB2312" w:cs="楷体_GB2312"/>
                <w:i w:val="0"/>
                <w:iCs w:val="0"/>
                <w:color w:val="000000"/>
                <w:kern w:val="0"/>
                <w:sz w:val="28"/>
                <w:szCs w:val="28"/>
                <w:u w:val="none"/>
                <w:lang w:val="en-US" w:eastAsia="zh-CN" w:bidi="ar"/>
              </w:rPr>
              <w:t>做好退役军人职业教育和技能培训就业创业服务</w:t>
            </w:r>
          </w:p>
        </w:tc>
        <w:tc>
          <w:tcPr>
            <w:tcW w:w="858" w:type="dxa"/>
            <w:vAlign w:val="center"/>
          </w:tcPr>
          <w:p>
            <w:pPr>
              <w:keepNext w:val="0"/>
              <w:keepLines w:val="0"/>
              <w:widowControl/>
              <w:suppressLineNumbers w:val="0"/>
              <w:jc w:val="center"/>
              <w:textAlignment w:val="center"/>
              <w:rPr>
                <w:sz w:val="28"/>
                <w:szCs w:val="28"/>
                <w:vertAlign w:val="baseline"/>
              </w:rPr>
            </w:pPr>
            <w:r>
              <w:rPr>
                <w:rFonts w:hint="eastAsia" w:ascii="楷体_GB2312" w:hAnsi="宋体" w:eastAsia="楷体_GB2312" w:cs="楷体_GB2312"/>
                <w:i w:val="0"/>
                <w:iCs w:val="0"/>
                <w:color w:val="000000"/>
                <w:kern w:val="0"/>
                <w:sz w:val="28"/>
                <w:szCs w:val="28"/>
                <w:u w:val="none"/>
                <w:lang w:val="en-US" w:eastAsia="zh-CN" w:bidi="ar"/>
              </w:rPr>
              <w:t>3.1</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规范建立就业台账</w:t>
            </w:r>
          </w:p>
        </w:tc>
        <w:tc>
          <w:tcPr>
            <w:tcW w:w="1095" w:type="dxa"/>
            <w:vAlign w:val="center"/>
          </w:tcPr>
          <w:p>
            <w:pPr>
              <w:keepNext w:val="0"/>
              <w:keepLines w:val="0"/>
              <w:widowControl/>
              <w:suppressLineNumbers w:val="0"/>
              <w:jc w:val="center"/>
              <w:textAlignment w:val="center"/>
              <w:rPr>
                <w:sz w:val="28"/>
                <w:szCs w:val="28"/>
                <w:vertAlign w:val="baseline"/>
              </w:rPr>
            </w:pPr>
            <w:r>
              <w:rPr>
                <w:rFonts w:hint="eastAsia" w:ascii="楷体_GB2312" w:hAnsi="宋体" w:eastAsia="楷体_GB2312" w:cs="楷体_GB2312"/>
                <w:i w:val="0"/>
                <w:iCs w:val="0"/>
                <w:color w:val="000000"/>
                <w:kern w:val="0"/>
                <w:sz w:val="28"/>
                <w:szCs w:val="2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restart"/>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4</w:t>
            </w:r>
          </w:p>
        </w:tc>
        <w:tc>
          <w:tcPr>
            <w:tcW w:w="2012"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both"/>
              <w:rPr>
                <w:sz w:val="28"/>
                <w:szCs w:val="28"/>
                <w:vertAlign w:val="baseline"/>
              </w:rPr>
            </w:pPr>
            <w:r>
              <w:rPr>
                <w:rFonts w:hint="eastAsia" w:ascii="楷体_GB2312" w:hAnsi="宋体" w:eastAsia="楷体_GB2312" w:cs="楷体_GB2312"/>
                <w:i w:val="0"/>
                <w:iCs w:val="0"/>
                <w:color w:val="000000"/>
                <w:kern w:val="0"/>
                <w:sz w:val="28"/>
                <w:szCs w:val="28"/>
                <w:u w:val="none"/>
                <w:lang w:val="en-US" w:eastAsia="zh-CN" w:bidi="ar"/>
              </w:rPr>
              <w:t>做好退役军人帮扶解困等事务工作</w:t>
            </w:r>
          </w:p>
        </w:tc>
        <w:tc>
          <w:tcPr>
            <w:tcW w:w="858" w:type="dxa"/>
            <w:vAlign w:val="center"/>
          </w:tcPr>
          <w:p>
            <w:pPr>
              <w:keepNext w:val="0"/>
              <w:keepLines w:val="0"/>
              <w:widowControl/>
              <w:suppressLineNumbers w:val="0"/>
              <w:jc w:val="center"/>
              <w:textAlignment w:val="center"/>
              <w:rPr>
                <w:sz w:val="28"/>
                <w:szCs w:val="28"/>
                <w:vertAlign w:val="baseline"/>
              </w:rPr>
            </w:pPr>
            <w:r>
              <w:rPr>
                <w:rFonts w:hint="eastAsia" w:ascii="楷体_GB2312" w:hAnsi="宋体" w:eastAsia="楷体_GB2312" w:cs="楷体_GB2312"/>
                <w:i w:val="0"/>
                <w:iCs w:val="0"/>
                <w:color w:val="000000"/>
                <w:kern w:val="0"/>
                <w:sz w:val="28"/>
                <w:szCs w:val="28"/>
                <w:u w:val="none"/>
                <w:lang w:val="en-US" w:eastAsia="zh-CN" w:bidi="ar"/>
              </w:rPr>
              <w:t>4.1</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2"/>
                <w:sz w:val="28"/>
                <w:szCs w:val="28"/>
                <w:u w:val="none"/>
                <w:lang w:val="en-US" w:eastAsia="zh-CN" w:bidi="ar-SA"/>
              </w:rPr>
              <w:t>帮助服务对象申报各类帮扶援助</w:t>
            </w:r>
          </w:p>
        </w:tc>
        <w:tc>
          <w:tcPr>
            <w:tcW w:w="1095" w:type="dxa"/>
            <w:vAlign w:val="center"/>
          </w:tcPr>
          <w:p>
            <w:pPr>
              <w:keepNext w:val="0"/>
              <w:keepLines w:val="0"/>
              <w:widowControl/>
              <w:suppressLineNumbers w:val="0"/>
              <w:jc w:val="center"/>
              <w:textAlignment w:val="center"/>
              <w:rPr>
                <w:sz w:val="28"/>
                <w:szCs w:val="28"/>
                <w:vertAlign w:val="baseline"/>
              </w:rPr>
            </w:pPr>
            <w:r>
              <w:rPr>
                <w:rFonts w:hint="eastAsia" w:ascii="楷体_GB2312" w:hAnsi="宋体" w:eastAsia="楷体_GB2312" w:cs="楷体_GB2312"/>
                <w:i w:val="0"/>
                <w:iCs w:val="0"/>
                <w:color w:val="000000"/>
                <w:kern w:val="0"/>
                <w:sz w:val="28"/>
                <w:szCs w:val="2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Theme="minorHAnsi" w:hAnsiTheme="minorHAnsi" w:eastAsiaTheme="minorEastAsia" w:cstheme="minorBidi"/>
                <w:kern w:val="2"/>
                <w:sz w:val="28"/>
                <w:szCs w:val="28"/>
                <w:vertAlign w:val="baseline"/>
                <w:lang w:val="en-US" w:eastAsia="zh-CN" w:bidi="ar-SA"/>
              </w:rPr>
            </w:pPr>
          </w:p>
        </w:tc>
        <w:tc>
          <w:tcPr>
            <w:tcW w:w="201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both"/>
              <w:rPr>
                <w:rFonts w:asciiTheme="minorHAnsi" w:hAnsiTheme="minorHAnsi" w:eastAsiaTheme="minorEastAsia" w:cstheme="minorBidi"/>
                <w:kern w:val="2"/>
                <w:sz w:val="28"/>
                <w:szCs w:val="28"/>
                <w:vertAlign w:val="baseline"/>
                <w:lang w:val="en-US" w:eastAsia="zh-CN" w:bidi="ar-SA"/>
              </w:rPr>
            </w:pPr>
          </w:p>
        </w:tc>
        <w:tc>
          <w:tcPr>
            <w:tcW w:w="858"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4.2</w:t>
            </w:r>
          </w:p>
        </w:tc>
        <w:tc>
          <w:tcPr>
            <w:tcW w:w="6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_GB2312" w:hAnsi="宋体" w:eastAsia="楷体_GB2312" w:cs="楷体_GB2312"/>
                <w:i w:val="0"/>
                <w:iCs w:val="0"/>
                <w:color w:val="000000"/>
                <w:kern w:val="2"/>
                <w:sz w:val="28"/>
                <w:szCs w:val="28"/>
                <w:u w:val="none"/>
                <w:lang w:val="en-US" w:eastAsia="zh-CN" w:bidi="ar-SA"/>
              </w:rPr>
            </w:pPr>
            <w:r>
              <w:rPr>
                <w:rFonts w:hint="eastAsia" w:ascii="楷体_GB2312" w:hAnsi="宋体" w:eastAsia="楷体_GB2312" w:cs="楷体_GB2312"/>
                <w:i w:val="0"/>
                <w:iCs w:val="0"/>
                <w:color w:val="000000"/>
                <w:kern w:val="2"/>
                <w:sz w:val="28"/>
                <w:szCs w:val="28"/>
                <w:u w:val="none"/>
                <w:lang w:val="en-US" w:eastAsia="zh-CN" w:bidi="ar-SA"/>
              </w:rPr>
              <w:t>开展走访慰问</w:t>
            </w:r>
          </w:p>
        </w:tc>
        <w:tc>
          <w:tcPr>
            <w:tcW w:w="1095"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8"/>
                <w:szCs w:val="28"/>
                <w:vertAlign w:val="baseline"/>
                <w:lang w:val="en-US" w:eastAsia="zh-CN" w:bidi="ar-SA"/>
              </w:rPr>
            </w:pPr>
            <w:r>
              <w:rPr>
                <w:rFonts w:hint="eastAsia" w:ascii="楷体_GB2312" w:hAnsi="宋体" w:eastAsia="楷体_GB2312" w:cs="楷体_GB2312"/>
                <w:i w:val="0"/>
                <w:iCs w:val="0"/>
                <w:color w:val="000000"/>
                <w:kern w:val="0"/>
                <w:sz w:val="28"/>
                <w:szCs w:val="28"/>
                <w:u w:val="none"/>
                <w:lang w:val="en-US" w:eastAsia="zh-CN" w:bidi="ar"/>
              </w:rPr>
              <w:t>8</w:t>
            </w:r>
          </w:p>
        </w:tc>
      </w:tr>
    </w:tbl>
    <w:p/>
    <w:p/>
    <w:p/>
    <w:p/>
    <w:p/>
    <w:p/>
    <w:p/>
    <w:p/>
    <w:p/>
    <w:p/>
    <w:p>
      <w:pPr>
        <w:sectPr>
          <w:pgSz w:w="11906" w:h="16838"/>
          <w:pgMar w:top="720" w:right="720" w:bottom="720" w:left="720" w:header="851" w:footer="992" w:gutter="0"/>
          <w:pgNumType w:fmt="decimal" w:start="1"/>
          <w:cols w:space="425" w:num="1"/>
          <w:docGrid w:type="lines" w:linePitch="312" w:charSpace="0"/>
        </w:sectPr>
      </w:pPr>
    </w:p>
    <w:p/>
    <w:p/>
    <w:p/>
    <w:p>
      <w:pPr>
        <w:ind w:firstLine="440" w:firstLineChars="1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（指导辖区内各村居级退役军人服务站业务）信息表</w:t>
      </w:r>
    </w:p>
    <w:tbl>
      <w:tblPr>
        <w:tblStyle w:val="5"/>
        <w:tblpPr w:leftFromText="180" w:rightFromText="180" w:vertAnchor="text" w:horzAnchor="page" w:tblpX="718" w:tblpY="9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8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17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17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指导辖区内各社区退役军人服务站业务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172"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1、《关于加强退役军人“一中心两站”建设的指导意见（试行)》</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2、上级文件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172"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天津市滨海新区塘沽街退役军人服务站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172"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承担属地退役军人服务管理主体责任，在街镇管理下，将服务管理任务压实，开展退役军人服务管理具体工作。</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牵头部门：天津市滨海新区塘沽街退役军人服务站</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配合部门：塘沽街各社区退役军人服务站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172"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指导-管理-考核-监督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172"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退役证、转业证、优待证等证明退役军人和优抚对象身份要件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172"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通过加强机构建设、队伍建设和制度建设，实现“五个到位”的工作目标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17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 xml:space="preserve">监督电话：65773123 </w:t>
            </w:r>
          </w:p>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来信地址：天津市滨海新区塘沽春风路新城家园西侧底商38号。</w:t>
            </w:r>
          </w:p>
        </w:tc>
      </w:tr>
    </w:tbl>
    <w:p>
      <w:pPr>
        <w:keepNext w:val="0"/>
        <w:keepLines w:val="0"/>
        <w:pageBreakBefore w:val="0"/>
        <w:widowControl w:val="0"/>
        <w:kinsoku/>
        <w:wordWrap/>
        <w:overflowPunct/>
        <w:topLinePunct w:val="0"/>
        <w:autoSpaceDE/>
        <w:autoSpaceDN/>
        <w:bidi w:val="0"/>
        <w:adjustRightInd/>
        <w:snapToGrid/>
        <w:spacing w:line="600" w:lineRule="exact"/>
        <w:ind w:left="3958" w:leftChars="418" w:hanging="3080" w:hangingChars="700"/>
        <w:jc w:val="lef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3958" w:leftChars="418" w:hanging="3080" w:hangingChars="700"/>
        <w:jc w:val="left"/>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（做好辖区内单位退役军人组织关系转接</w:t>
      </w:r>
      <w:r>
        <w:rPr>
          <w:rFonts w:hint="eastAsia" w:ascii="方正小标宋简体" w:hAnsi="方正小标宋简体" w:eastAsia="方正小标宋简体" w:cs="方正小标宋简体"/>
          <w:sz w:val="44"/>
          <w:szCs w:val="44"/>
          <w:lang w:eastAsia="zh-CN"/>
        </w:rPr>
        <w:t>等</w:t>
      </w:r>
    </w:p>
    <w:p>
      <w:pPr>
        <w:keepNext w:val="0"/>
        <w:keepLines w:val="0"/>
        <w:pageBreakBefore w:val="0"/>
        <w:widowControl w:val="0"/>
        <w:kinsoku/>
        <w:wordWrap/>
        <w:overflowPunct/>
        <w:topLinePunct w:val="0"/>
        <w:autoSpaceDE/>
        <w:autoSpaceDN/>
        <w:bidi w:val="0"/>
        <w:adjustRightInd/>
        <w:snapToGrid/>
        <w:spacing w:line="600" w:lineRule="exact"/>
        <w:ind w:left="3951" w:leftChars="1672" w:hanging="440" w:hangingChars="100"/>
        <w:jc w:val="lef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w:t>
      </w:r>
      <w:r>
        <w:rPr>
          <w:rFonts w:hint="eastAsia" w:ascii="方正小标宋简体" w:hAnsi="方正小标宋简体" w:eastAsia="方正小标宋简体" w:cs="方正小标宋简体"/>
          <w:sz w:val="44"/>
          <w:szCs w:val="44"/>
          <w:lang w:eastAsia="zh-CN"/>
        </w:rPr>
        <w:t>事项</w:t>
      </w:r>
      <w:r>
        <w:rPr>
          <w:rFonts w:hint="eastAsia" w:ascii="方正小标宋简体" w:hAnsi="方正小标宋简体" w:eastAsia="方正小标宋简体" w:cs="方正小标宋简体"/>
          <w:sz w:val="44"/>
          <w:szCs w:val="44"/>
        </w:rPr>
        <w:t>）信息表</w:t>
      </w:r>
    </w:p>
    <w:p>
      <w:pPr>
        <w:keepNext w:val="0"/>
        <w:keepLines w:val="0"/>
        <w:pageBreakBefore w:val="0"/>
        <w:widowControl w:val="0"/>
        <w:kinsoku/>
        <w:wordWrap/>
        <w:overflowPunct/>
        <w:topLinePunct w:val="0"/>
        <w:autoSpaceDE/>
        <w:autoSpaceDN/>
        <w:bidi w:val="0"/>
        <w:adjustRightInd/>
        <w:snapToGrid/>
        <w:spacing w:line="600" w:lineRule="exact"/>
        <w:ind w:left="3951" w:leftChars="1672" w:hanging="440" w:hangingChars="100"/>
        <w:jc w:val="left"/>
        <w:textAlignment w:val="auto"/>
        <w:rPr>
          <w:rFonts w:hint="eastAsia" w:ascii="方正小标宋简体" w:hAnsi="方正小标宋简体" w:eastAsia="方正小标宋简体" w:cs="方正小标宋简体"/>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8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17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做好辖区内单位退役军人组织关系转接，配合基层党组织做好退役军人党员教育管理服务工作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1、《中国共产党章程》和有关法律法规</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2、天津市《关于加强我市退役军人党建工作的意见（试行）》</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3、上级文件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天津市滨海新区塘沽街退役军人服务站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承担属地退役军人服务管理主体责任，在街镇管理下，将服务管理任</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务压实，开展退役军人服务管理具体工作。</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牵头部门：天津市滨海新区塘沽街退役军人服务站</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配合部门：塘沽街各社区退役军人服务站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接收-管理-服务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退役证、转业证、优待证等证明退役军人和优抚对象身份要件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1、建立健全退役军人党建工作组织体系</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2、全面加强退役军人党员教育管理</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3、充分发挥退役军人党员先锋模范作用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17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 xml:space="preserve">监督电话：65773123 </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来信来访地址：天津市滨海新区塘沽春风路新城家园西侧底商38号。</w:t>
            </w:r>
          </w:p>
        </w:tc>
      </w:tr>
    </w:tbl>
    <w:p>
      <w:pPr>
        <w:keepNext w:val="0"/>
        <w:keepLines w:val="0"/>
        <w:pageBreakBefore w:val="0"/>
        <w:widowControl w:val="0"/>
        <w:kinsoku/>
        <w:wordWrap/>
        <w:overflowPunct/>
        <w:topLinePunct w:val="0"/>
        <w:autoSpaceDE/>
        <w:autoSpaceDN/>
        <w:bidi w:val="0"/>
        <w:adjustRightInd/>
        <w:snapToGrid/>
        <w:spacing w:line="600" w:lineRule="exact"/>
        <w:ind w:left="2198" w:leftChars="418" w:hanging="1320" w:hangingChars="300"/>
        <w:jc w:val="lef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2198" w:leftChars="418" w:hanging="1320" w:hangingChars="300"/>
        <w:jc w:val="lef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2198" w:leftChars="418" w:hanging="1320" w:hangingChars="300"/>
        <w:jc w:val="lef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（做好退役军人和其他优抚对象来访接待</w:t>
      </w:r>
    </w:p>
    <w:p>
      <w:pPr>
        <w:keepNext w:val="0"/>
        <w:keepLines w:val="0"/>
        <w:pageBreakBefore w:val="0"/>
        <w:widowControl w:val="0"/>
        <w:kinsoku/>
        <w:wordWrap/>
        <w:overflowPunct/>
        <w:topLinePunct w:val="0"/>
        <w:autoSpaceDE/>
        <w:autoSpaceDN/>
        <w:bidi w:val="0"/>
        <w:adjustRightInd/>
        <w:snapToGrid/>
        <w:spacing w:line="600" w:lineRule="exact"/>
        <w:ind w:left="2194" w:leftChars="1045" w:firstLine="1760" w:firstLineChars="400"/>
        <w:jc w:val="lef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等</w:t>
      </w:r>
      <w:r>
        <w:rPr>
          <w:rFonts w:hint="eastAsia" w:ascii="方正小标宋简体" w:hAnsi="方正小标宋简体" w:eastAsia="方正小标宋简体" w:cs="方正小标宋简体"/>
          <w:sz w:val="44"/>
          <w:szCs w:val="44"/>
        </w:rPr>
        <w:t>事项）信息表</w:t>
      </w:r>
    </w:p>
    <w:p>
      <w:pPr>
        <w:keepNext w:val="0"/>
        <w:keepLines w:val="0"/>
        <w:pageBreakBefore w:val="0"/>
        <w:widowControl w:val="0"/>
        <w:kinsoku/>
        <w:wordWrap/>
        <w:overflowPunct/>
        <w:topLinePunct w:val="0"/>
        <w:autoSpaceDE/>
        <w:autoSpaceDN/>
        <w:bidi w:val="0"/>
        <w:adjustRightInd/>
        <w:snapToGrid/>
        <w:spacing w:line="600" w:lineRule="exact"/>
        <w:ind w:left="2194" w:leftChars="1045" w:firstLine="1760" w:firstLineChars="400"/>
        <w:jc w:val="left"/>
        <w:textAlignment w:val="auto"/>
        <w:rPr>
          <w:rFonts w:hint="eastAsia" w:ascii="方正小标宋简体" w:hAnsi="方正小标宋简体" w:eastAsia="方正小标宋简体" w:cs="方正小标宋简体"/>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8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17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做好退役军人和其他优抚对象来访接待工作以及上级领导、部门交办的信访事项，落实信访事项首办责任，依法及时就地化解矛盾问题，做好基础政策答疑、权益咨询和涉及退役军人舆情收集、引导等工作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1、《退役军人保障法》2021年1月1日施行</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2、《关于走访慰问帮扶退役军人常态化制度化的意见》（2019年10月）</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3、上级文件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天津市滨海新区塘沽街退役军人服务站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承担属地退役军人服务管理主体责任，在街镇管理下，将服务管理任务压实，开展退役军人服务管理具体工作。</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牵头部门：天津市滨海新区塘沽街退役军人服务站</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配合部门：塘沽街各社区退役军人服务站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接待-协调-办理-落实-反馈答复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退役证、转业证、优待证等证明退役军人和优抚对象身份要件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为退役军人维护其合法权益提供支持和帮助，依法为退役军人提供法律援助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17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 xml:space="preserve">监督电话：65773123 </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来信来访地址：天津市滨海新区春风路新城家园西侧底商38号。</w:t>
            </w:r>
          </w:p>
        </w:tc>
      </w:tr>
    </w:tbl>
    <w:p>
      <w:pPr>
        <w:ind w:firstLine="880" w:firstLineChars="2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掌握</w:t>
      </w:r>
      <w:r>
        <w:rPr>
          <w:rFonts w:hint="eastAsia" w:ascii="方正小标宋简体" w:hAnsi="方正小标宋简体" w:eastAsia="方正小标宋简体" w:cs="方正小标宋简体"/>
          <w:sz w:val="44"/>
          <w:szCs w:val="44"/>
        </w:rPr>
        <w:t>有关政策落实工作开展</w:t>
      </w:r>
      <w:r>
        <w:rPr>
          <w:rFonts w:hint="eastAsia" w:ascii="方正小标宋简体" w:hAnsi="方正小标宋简体" w:eastAsia="方正小标宋简体" w:cs="方正小标宋简体"/>
          <w:sz w:val="44"/>
          <w:szCs w:val="44"/>
          <w:lang w:eastAsia="zh-CN"/>
        </w:rPr>
        <w:t>情况</w:t>
      </w:r>
      <w:r>
        <w:rPr>
          <w:rFonts w:hint="eastAsia" w:ascii="方正小标宋简体" w:hAnsi="方正小标宋简体" w:eastAsia="方正小标宋简体" w:cs="方正小标宋简体"/>
          <w:sz w:val="44"/>
          <w:szCs w:val="44"/>
        </w:rPr>
        <w:t>）信息表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8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17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172"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全面摸清、动态掌握、及时报告有关政策落实工作开展，以及辖区内退役军人和其他优抚对象思想状况、家庭生活情况，做好入户宣讲政策解决问题，送立功喜报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172"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1、《退役军人保障法》2021年1月1日施行</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2、《关于走访慰问帮扶退役军人常态化制度化的意见》（2019年10月）</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3、上级文件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172"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天津市滨海新区塘沽街退役军人服务站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172"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承担属地退役军人服务管理主体责任，在街镇管理下，将服务管理任务压实，开展退役军人服务管理具体工作。</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牵头部门：天津市滨海新区塘沽街退役军人服务站</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配合部门：塘沽街各社区退役军人服务站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172"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调研-协调-组织-落实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172"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退役证、转业证、优待证等证明退役军人和优抚对象身份要件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172"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为退役军人维护其合法权益提供支持和帮助，依法为退役军人提供法律援助，建立退役军人荣誉激励机制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 xml:space="preserve">监督电话：65773123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来信来访地址：天津市滨海新区塘沽春风路新城家园西侧底商38号。</w:t>
            </w:r>
          </w:p>
        </w:tc>
      </w:tr>
    </w:tbl>
    <w:p>
      <w:pPr>
        <w:ind w:firstLine="440" w:firstLineChars="100"/>
        <w:jc w:val="left"/>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3959" w:leftChars="209" w:hanging="3520" w:hangingChars="800"/>
        <w:jc w:val="lef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（做好退役军人和其他优抚对象信息数据采集</w:t>
      </w:r>
      <w:r>
        <w:rPr>
          <w:rFonts w:hint="eastAsia" w:ascii="方正小标宋简体" w:hAnsi="方正小标宋简体" w:eastAsia="方正小标宋简体" w:cs="方正小标宋简体"/>
          <w:sz w:val="44"/>
          <w:szCs w:val="44"/>
          <w:lang w:eastAsia="zh-CN"/>
        </w:rPr>
        <w:t>等</w:t>
      </w:r>
      <w:r>
        <w:rPr>
          <w:rFonts w:hint="eastAsia" w:ascii="方正小标宋简体" w:hAnsi="方正小标宋简体" w:eastAsia="方正小标宋简体" w:cs="方正小标宋简体"/>
          <w:sz w:val="44"/>
          <w:szCs w:val="44"/>
        </w:rPr>
        <w:t>工作）信息表</w:t>
      </w:r>
    </w:p>
    <w:p>
      <w:pPr>
        <w:ind w:left="3959" w:leftChars="209" w:hanging="3520" w:hangingChars="800"/>
        <w:jc w:val="left"/>
        <w:rPr>
          <w:rFonts w:hint="eastAsia" w:ascii="方正小标宋简体" w:hAnsi="方正小标宋简体" w:eastAsia="方正小标宋简体" w:cs="方正小标宋简体"/>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8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17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做好退役军人和其他优抚对象信息数据采集以及光荣牌悬挂工作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1、《退役军人保障法》（2021年1月1日施行）</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2、《退役军人事务部关于开展退役军人和其他优抚对象信息采集工作的公告》（2018年8月）</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3、上级文件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天津市滨海新区塘沽街退役军人服务站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承担属地退役军人服务管理主体责任，在街镇管理下，将服务管理任务压实，开展退役军人服务管理具体工作。</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牵头部门：天津市滨海新区塘沽街退役军人服务站</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配合部门：塘沽街各社区退役军人服务站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通知-收件-审核-系统录入-信息上传-入户服务-建档立卡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退役证、转业证、优待证等证明退役军人和优抚对象身份要件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为退役军人维护其合法权益提供支持和帮助，建立退役军人荣誉激励机制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 xml:space="preserve">监督电话：65773123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来信来访地址：天津市滨海新区塘沽春风路新城家园西侧底商38号。</w:t>
            </w:r>
          </w:p>
        </w:tc>
      </w:tr>
    </w:tbl>
    <w:p>
      <w:pPr>
        <w:ind w:firstLine="2200" w:firstLineChars="5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（规范建立就业台账）信息表</w:t>
      </w:r>
    </w:p>
    <w:p>
      <w:pPr>
        <w:ind w:firstLine="2200" w:firstLineChars="500"/>
        <w:jc w:val="left"/>
        <w:rPr>
          <w:rFonts w:hint="eastAsia" w:ascii="方正小标宋简体" w:hAnsi="方正小标宋简体" w:eastAsia="方正小标宋简体" w:cs="方正小标宋简体"/>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8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17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规范建立就业台账，摸清退役军人就业创业相关信息底数，实现动态更新，为精准化就业创业服务打好基础。积极协调用人单位结合退役军人技能特长提供岗位，促进高质量就业创业做好后续跟踪服务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1、《关于进一步做好退役军人就业工作的措施》（带政策依据）</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2、上级文件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天津市滨海新区塘沽街退役军人服务站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承担属地退役军人服务管理主体责任，在街镇管理下，将服务管理任务压实，开展退役军人服务管理具体工作。</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牵头部门：天津市滨海新区塘沽街退役军人服务站</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配合部门：塘沽街各社区退役军人服务站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基本信息登记-需求调研-协调-组织-落实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退役证、转业证、优待证等证明退役军人和优抚对象身份要件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承担好政治之责，引导转变就业观念，强化就业培训，广拓就业岗位，优化就业结构，提升就业比重和质量，确保退役军人福祉和稳定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17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 xml:space="preserve">监督电话：65773123 </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来信来访地址：天津市滨海新区塘沽春风路新城家园西侧底商38号。</w:t>
            </w:r>
          </w:p>
        </w:tc>
      </w:tr>
    </w:tbl>
    <w:p>
      <w:pPr>
        <w:ind w:firstLine="1320" w:firstLineChars="3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帮助服务对象</w:t>
      </w:r>
      <w:r>
        <w:rPr>
          <w:rFonts w:hint="eastAsia" w:ascii="方正小标宋简体" w:hAnsi="方正小标宋简体" w:eastAsia="方正小标宋简体" w:cs="方正小标宋简体"/>
          <w:sz w:val="44"/>
          <w:szCs w:val="44"/>
        </w:rPr>
        <w:t>申报</w:t>
      </w:r>
      <w:r>
        <w:rPr>
          <w:rFonts w:hint="eastAsia" w:ascii="方正小标宋简体" w:hAnsi="方正小标宋简体" w:eastAsia="方正小标宋简体" w:cs="方正小标宋简体"/>
          <w:sz w:val="44"/>
          <w:szCs w:val="44"/>
          <w:lang w:eastAsia="zh-CN"/>
        </w:rPr>
        <w:t>各类</w:t>
      </w:r>
      <w:r>
        <w:rPr>
          <w:rFonts w:hint="eastAsia" w:ascii="方正小标宋简体" w:hAnsi="方正小标宋简体" w:eastAsia="方正小标宋简体" w:cs="方正小标宋简体"/>
          <w:sz w:val="44"/>
          <w:szCs w:val="44"/>
        </w:rPr>
        <w:t>帮扶援助）信息表</w:t>
      </w:r>
    </w:p>
    <w:p>
      <w:pPr>
        <w:ind w:firstLine="1320" w:firstLineChars="300"/>
        <w:jc w:val="left"/>
        <w:rPr>
          <w:rFonts w:hint="eastAsia" w:ascii="方正小标宋简体" w:hAnsi="方正小标宋简体" w:eastAsia="方正小标宋简体" w:cs="方正小标宋简体"/>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8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17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帮助本辖区符合条件的服务对象按要求申报享受低保、国家供养、专项救助、临时救济等待遇，协助做好本辖区生活困难退役军人和其他优抚对象帮扶援助等工作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1、《滨海新区常用优待抚恤工作资料汇编》（天津市滨海新区退役军人事务局 2018年8月）</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2、上级文件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天津市滨海新区塘沽街退役军人服务站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承担属地退役军人服务管理主体责任，在街镇管理下，将服务管理任务压实，开展退役军人服务管理具体工作。</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牵头部门：天津市滨海新区塘沽街退役军人服务站</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配合部门：塘沽街各社区退役军人服务站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调研-协调-组织-落实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退役证、转业证、优待证等证明退役军人和优抚对象身份要件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一、开展常态化走访慰问</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二、开展精准帮扶援助工作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 xml:space="preserve">监督电话：65773123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来信来访地址：天津市滨海新区塘沽春风路新城家园西侧底商38号。</w:t>
            </w:r>
          </w:p>
        </w:tc>
      </w:tr>
    </w:tbl>
    <w:p>
      <w:pPr>
        <w:ind w:firstLine="2200" w:firstLineChars="500"/>
        <w:jc w:val="left"/>
        <w:rPr>
          <w:rFonts w:hint="eastAsia" w:ascii="方正小标宋简体" w:hAnsi="方正小标宋简体" w:eastAsia="方正小标宋简体" w:cs="方正小标宋简体"/>
          <w:sz w:val="44"/>
          <w:szCs w:val="44"/>
        </w:rPr>
      </w:pPr>
    </w:p>
    <w:p>
      <w:pPr>
        <w:ind w:firstLine="2200" w:firstLineChars="5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（开展走访慰问）信息表</w:t>
      </w:r>
    </w:p>
    <w:p>
      <w:pPr>
        <w:ind w:firstLine="2200" w:firstLineChars="500"/>
        <w:jc w:val="left"/>
        <w:rPr>
          <w:rFonts w:hint="eastAsia" w:ascii="方正小标宋简体" w:hAnsi="方正小标宋简体" w:eastAsia="方正小标宋简体" w:cs="方正小标宋简体"/>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8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序号</w:t>
            </w:r>
          </w:p>
        </w:tc>
        <w:tc>
          <w:tcPr>
            <w:tcW w:w="817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名称</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结合“八一”、春节等节日，以及退役军人和其他优抚对象出现重大变故等情况，及时开展走访慰问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法定依据</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1、《中共天津市滨海新区委员会关于滨海新区认真贯彻落实习近平总书 记军民深度融合重大战略思想进一步加强双拥工作的意见》 （滨党发〔2017〕24号）</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2、上级文件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实施机构</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天津市滨海新区塘沽街退役军人服务站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职责边界</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承担属地退役军人服务管理主体责任，在街镇管理下，将服务管理任务压实，开展退役军人服务管理具体工作。</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牵头部门：天津市滨海新区塘沽街退役军人服务站</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配合部门：塘沽街各社区退役军人服务站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运行流程</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走访-调研-服务-落实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运行要件</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退役证、转业证、优待证等证明退役军人和优抚对象身份要件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责任事项</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t>为退役军人维护其合法权益提供支持和帮助，建立退役军人荣誉激励机制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25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vertAlign w:val="baseline"/>
              </w:rPr>
            </w:pPr>
            <w:r>
              <w:rPr>
                <w:rFonts w:hint="eastAsia" w:ascii="黑体" w:hAnsi="宋体" w:eastAsia="黑体" w:cs="黑体"/>
                <w:i w:val="0"/>
                <w:iCs w:val="0"/>
                <w:color w:val="000000"/>
                <w:kern w:val="0"/>
                <w:sz w:val="32"/>
                <w:szCs w:val="32"/>
                <w:u w:val="none"/>
                <w:lang w:val="en-US" w:eastAsia="zh-CN" w:bidi="ar"/>
              </w:rPr>
              <w:t>监督方式</w:t>
            </w:r>
          </w:p>
        </w:tc>
        <w:tc>
          <w:tcPr>
            <w:tcW w:w="817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 xml:space="preserve">监督电话：65773123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小标宋简体" w:hAnsi="方正小标宋简体" w:eastAsia="方正小标宋简体" w:cs="方正小标宋简体"/>
                <w:sz w:val="32"/>
                <w:szCs w:val="32"/>
                <w:vertAlign w:val="baseline"/>
              </w:rPr>
            </w:pP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来信来访地址：天津市滨海新区塘沽春风路新城家园西侧底商38号。</w:t>
            </w:r>
          </w:p>
        </w:tc>
      </w:tr>
    </w:tbl>
    <w:p>
      <w:pPr>
        <w:jc w:val="left"/>
        <w:rPr>
          <w:rFonts w:hint="eastAsia" w:ascii="方正小标宋简体" w:hAnsi="方正小标宋简体" w:eastAsia="方正小标宋简体" w:cs="方正小标宋简体"/>
          <w:sz w:val="44"/>
          <w:szCs w:val="44"/>
        </w:rPr>
      </w:pPr>
    </w:p>
    <w:sectPr>
      <w:footerReference r:id="rId3" w:type="default"/>
      <w:pgSz w:w="11906" w:h="16838"/>
      <w:pgMar w:top="720" w:right="720" w:bottom="720" w:left="72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00111CF2"/>
    <w:rsid w:val="006066D1"/>
    <w:rsid w:val="006D7E5D"/>
    <w:rsid w:val="00860063"/>
    <w:rsid w:val="008D7A1E"/>
    <w:rsid w:val="00D45E2A"/>
    <w:rsid w:val="00E15FDF"/>
    <w:rsid w:val="010D6855"/>
    <w:rsid w:val="018A5AD7"/>
    <w:rsid w:val="019179FD"/>
    <w:rsid w:val="01E82444"/>
    <w:rsid w:val="022B5A7F"/>
    <w:rsid w:val="02317D24"/>
    <w:rsid w:val="02702D20"/>
    <w:rsid w:val="03397AB5"/>
    <w:rsid w:val="039462E0"/>
    <w:rsid w:val="03BB4F57"/>
    <w:rsid w:val="041B36B5"/>
    <w:rsid w:val="0432015F"/>
    <w:rsid w:val="044A1D3C"/>
    <w:rsid w:val="046C6DEA"/>
    <w:rsid w:val="05226756"/>
    <w:rsid w:val="05401687"/>
    <w:rsid w:val="05511E69"/>
    <w:rsid w:val="05A6564B"/>
    <w:rsid w:val="06320C9F"/>
    <w:rsid w:val="063B7FA9"/>
    <w:rsid w:val="06516B9C"/>
    <w:rsid w:val="06886A8E"/>
    <w:rsid w:val="0690626A"/>
    <w:rsid w:val="069349DA"/>
    <w:rsid w:val="06AF1E9A"/>
    <w:rsid w:val="06C65BDC"/>
    <w:rsid w:val="06F8658A"/>
    <w:rsid w:val="071B7103"/>
    <w:rsid w:val="07D61515"/>
    <w:rsid w:val="08260D4D"/>
    <w:rsid w:val="08385EEF"/>
    <w:rsid w:val="08EF3588"/>
    <w:rsid w:val="097C0345"/>
    <w:rsid w:val="0AA44161"/>
    <w:rsid w:val="0AD96811"/>
    <w:rsid w:val="0AF150F4"/>
    <w:rsid w:val="0B24392A"/>
    <w:rsid w:val="0BD05E90"/>
    <w:rsid w:val="0C2657AE"/>
    <w:rsid w:val="0D064053"/>
    <w:rsid w:val="0D40279F"/>
    <w:rsid w:val="0D961399"/>
    <w:rsid w:val="0DB839EE"/>
    <w:rsid w:val="0E5F1CEE"/>
    <w:rsid w:val="0E883536"/>
    <w:rsid w:val="0EA954F4"/>
    <w:rsid w:val="0ED15E0F"/>
    <w:rsid w:val="0EF9163C"/>
    <w:rsid w:val="0F2A1DC5"/>
    <w:rsid w:val="0F3D4555"/>
    <w:rsid w:val="0F7D7DF4"/>
    <w:rsid w:val="0FB3405B"/>
    <w:rsid w:val="10425B48"/>
    <w:rsid w:val="104E0B90"/>
    <w:rsid w:val="10766E26"/>
    <w:rsid w:val="1124560B"/>
    <w:rsid w:val="11321ED6"/>
    <w:rsid w:val="11373ED0"/>
    <w:rsid w:val="113C1CB6"/>
    <w:rsid w:val="115A075B"/>
    <w:rsid w:val="11FC5448"/>
    <w:rsid w:val="120D18C3"/>
    <w:rsid w:val="121B2E19"/>
    <w:rsid w:val="12381CFB"/>
    <w:rsid w:val="12833DFE"/>
    <w:rsid w:val="128E1F2F"/>
    <w:rsid w:val="13071417"/>
    <w:rsid w:val="131361D8"/>
    <w:rsid w:val="13286E35"/>
    <w:rsid w:val="13477470"/>
    <w:rsid w:val="13905A6F"/>
    <w:rsid w:val="145A479D"/>
    <w:rsid w:val="14834CB1"/>
    <w:rsid w:val="14D42CFC"/>
    <w:rsid w:val="15251E97"/>
    <w:rsid w:val="156C7AC8"/>
    <w:rsid w:val="15AD6D6F"/>
    <w:rsid w:val="16023BB1"/>
    <w:rsid w:val="167F4FC6"/>
    <w:rsid w:val="1692220C"/>
    <w:rsid w:val="17125DC1"/>
    <w:rsid w:val="174E7324"/>
    <w:rsid w:val="17501390"/>
    <w:rsid w:val="179C5C1B"/>
    <w:rsid w:val="17DF40C6"/>
    <w:rsid w:val="18347834"/>
    <w:rsid w:val="187712B5"/>
    <w:rsid w:val="18C73D83"/>
    <w:rsid w:val="192672DC"/>
    <w:rsid w:val="192E25DB"/>
    <w:rsid w:val="198E401B"/>
    <w:rsid w:val="1A0D1564"/>
    <w:rsid w:val="1A7539DC"/>
    <w:rsid w:val="1AB64BC2"/>
    <w:rsid w:val="1AC033A7"/>
    <w:rsid w:val="1AE200E2"/>
    <w:rsid w:val="1BC915D7"/>
    <w:rsid w:val="1C184791"/>
    <w:rsid w:val="1C4951A5"/>
    <w:rsid w:val="1D132009"/>
    <w:rsid w:val="1D3C58B0"/>
    <w:rsid w:val="1D41737C"/>
    <w:rsid w:val="1D4E63A8"/>
    <w:rsid w:val="1E0B0DA9"/>
    <w:rsid w:val="1E4A0C7D"/>
    <w:rsid w:val="1F07396F"/>
    <w:rsid w:val="1F42195B"/>
    <w:rsid w:val="200569B6"/>
    <w:rsid w:val="202C3EF5"/>
    <w:rsid w:val="20BB5C49"/>
    <w:rsid w:val="20CE0691"/>
    <w:rsid w:val="20FC4082"/>
    <w:rsid w:val="210E4CDD"/>
    <w:rsid w:val="21353D9A"/>
    <w:rsid w:val="214503D8"/>
    <w:rsid w:val="21543CC4"/>
    <w:rsid w:val="2269038E"/>
    <w:rsid w:val="229023F3"/>
    <w:rsid w:val="22C022C2"/>
    <w:rsid w:val="22E43679"/>
    <w:rsid w:val="22E562FD"/>
    <w:rsid w:val="23247379"/>
    <w:rsid w:val="23314F6B"/>
    <w:rsid w:val="23861139"/>
    <w:rsid w:val="23CC2370"/>
    <w:rsid w:val="241570E9"/>
    <w:rsid w:val="24442FB0"/>
    <w:rsid w:val="2469401B"/>
    <w:rsid w:val="247933D7"/>
    <w:rsid w:val="253B2671"/>
    <w:rsid w:val="25716C41"/>
    <w:rsid w:val="26015C20"/>
    <w:rsid w:val="26560CB5"/>
    <w:rsid w:val="26CA13C7"/>
    <w:rsid w:val="27034570"/>
    <w:rsid w:val="276C15E9"/>
    <w:rsid w:val="2786555C"/>
    <w:rsid w:val="279B6EAC"/>
    <w:rsid w:val="27E652D8"/>
    <w:rsid w:val="27F435A1"/>
    <w:rsid w:val="28920431"/>
    <w:rsid w:val="28A37355"/>
    <w:rsid w:val="28F310FB"/>
    <w:rsid w:val="28F839EB"/>
    <w:rsid w:val="293C1A64"/>
    <w:rsid w:val="29AD60CA"/>
    <w:rsid w:val="29DD0DBF"/>
    <w:rsid w:val="2A2D7998"/>
    <w:rsid w:val="2A73385D"/>
    <w:rsid w:val="2A9839EE"/>
    <w:rsid w:val="2AA07633"/>
    <w:rsid w:val="2ABB499A"/>
    <w:rsid w:val="2ABB4A6D"/>
    <w:rsid w:val="2AC27595"/>
    <w:rsid w:val="2AEA73EF"/>
    <w:rsid w:val="2AEF4FE7"/>
    <w:rsid w:val="2B422F49"/>
    <w:rsid w:val="2B5016CB"/>
    <w:rsid w:val="2B8B12A9"/>
    <w:rsid w:val="2BDF66D2"/>
    <w:rsid w:val="2BEE53CC"/>
    <w:rsid w:val="2C762039"/>
    <w:rsid w:val="2CC363E9"/>
    <w:rsid w:val="2D184E68"/>
    <w:rsid w:val="2D243881"/>
    <w:rsid w:val="2D6847CD"/>
    <w:rsid w:val="2DC47C31"/>
    <w:rsid w:val="2DF670BE"/>
    <w:rsid w:val="2E896835"/>
    <w:rsid w:val="2EB76BBC"/>
    <w:rsid w:val="2EF57E39"/>
    <w:rsid w:val="2F8E7A6E"/>
    <w:rsid w:val="2FA52930"/>
    <w:rsid w:val="2FA65796"/>
    <w:rsid w:val="302C6F4A"/>
    <w:rsid w:val="3092081A"/>
    <w:rsid w:val="30D47F99"/>
    <w:rsid w:val="3102649C"/>
    <w:rsid w:val="310C38C7"/>
    <w:rsid w:val="31315786"/>
    <w:rsid w:val="313A0AE4"/>
    <w:rsid w:val="31443C1A"/>
    <w:rsid w:val="32353086"/>
    <w:rsid w:val="33AD2B39"/>
    <w:rsid w:val="33B30679"/>
    <w:rsid w:val="34F40D56"/>
    <w:rsid w:val="358437D3"/>
    <w:rsid w:val="35DF2CF0"/>
    <w:rsid w:val="35FF2BBE"/>
    <w:rsid w:val="361154F6"/>
    <w:rsid w:val="36865710"/>
    <w:rsid w:val="370535B4"/>
    <w:rsid w:val="3741261F"/>
    <w:rsid w:val="378662F9"/>
    <w:rsid w:val="37AE1269"/>
    <w:rsid w:val="37B34CAF"/>
    <w:rsid w:val="37E95A3D"/>
    <w:rsid w:val="384B3066"/>
    <w:rsid w:val="385E3F8C"/>
    <w:rsid w:val="386B3BA2"/>
    <w:rsid w:val="387C55B1"/>
    <w:rsid w:val="38812961"/>
    <w:rsid w:val="38A456C0"/>
    <w:rsid w:val="38C875D5"/>
    <w:rsid w:val="38D2638E"/>
    <w:rsid w:val="38D27C2D"/>
    <w:rsid w:val="38D55D3F"/>
    <w:rsid w:val="394866D5"/>
    <w:rsid w:val="39DE51EB"/>
    <w:rsid w:val="39F9479E"/>
    <w:rsid w:val="3A1C36B2"/>
    <w:rsid w:val="3AE42A01"/>
    <w:rsid w:val="3B8D19BF"/>
    <w:rsid w:val="3BAE3D74"/>
    <w:rsid w:val="3BC215C9"/>
    <w:rsid w:val="3BE42FAE"/>
    <w:rsid w:val="3BF22E1E"/>
    <w:rsid w:val="3C151CA0"/>
    <w:rsid w:val="3CBE0899"/>
    <w:rsid w:val="3D131DE5"/>
    <w:rsid w:val="3D394A6A"/>
    <w:rsid w:val="3ED74A2D"/>
    <w:rsid w:val="3F2A70B5"/>
    <w:rsid w:val="3F6D6755"/>
    <w:rsid w:val="3FB13495"/>
    <w:rsid w:val="3FC878FB"/>
    <w:rsid w:val="3FE37C70"/>
    <w:rsid w:val="40066297"/>
    <w:rsid w:val="400C5B4E"/>
    <w:rsid w:val="400E27DE"/>
    <w:rsid w:val="40D52EE2"/>
    <w:rsid w:val="40D97BBC"/>
    <w:rsid w:val="41B7650A"/>
    <w:rsid w:val="41C218C3"/>
    <w:rsid w:val="41DA0D91"/>
    <w:rsid w:val="41E3644E"/>
    <w:rsid w:val="42B83CB4"/>
    <w:rsid w:val="42CE68DB"/>
    <w:rsid w:val="433D353D"/>
    <w:rsid w:val="43983697"/>
    <w:rsid w:val="43C917C2"/>
    <w:rsid w:val="44175C00"/>
    <w:rsid w:val="441F4A27"/>
    <w:rsid w:val="447D1C81"/>
    <w:rsid w:val="44F71CF8"/>
    <w:rsid w:val="45551E24"/>
    <w:rsid w:val="455A12AE"/>
    <w:rsid w:val="45EE079C"/>
    <w:rsid w:val="46135959"/>
    <w:rsid w:val="4636628A"/>
    <w:rsid w:val="46776367"/>
    <w:rsid w:val="4732413C"/>
    <w:rsid w:val="479E5637"/>
    <w:rsid w:val="482656E1"/>
    <w:rsid w:val="48360BE7"/>
    <w:rsid w:val="484A5976"/>
    <w:rsid w:val="487E2E3D"/>
    <w:rsid w:val="48886107"/>
    <w:rsid w:val="48DD22D2"/>
    <w:rsid w:val="48E16242"/>
    <w:rsid w:val="49223CAC"/>
    <w:rsid w:val="495162C9"/>
    <w:rsid w:val="49BB18FB"/>
    <w:rsid w:val="49C520A0"/>
    <w:rsid w:val="49CA3D48"/>
    <w:rsid w:val="4A483CC5"/>
    <w:rsid w:val="4A59382D"/>
    <w:rsid w:val="4B1C402D"/>
    <w:rsid w:val="4B4C7AF2"/>
    <w:rsid w:val="4B4E7196"/>
    <w:rsid w:val="4BA22A1F"/>
    <w:rsid w:val="4CB95F75"/>
    <w:rsid w:val="4D2E57CB"/>
    <w:rsid w:val="4D411807"/>
    <w:rsid w:val="4D585947"/>
    <w:rsid w:val="4D9664D9"/>
    <w:rsid w:val="4DA20FA1"/>
    <w:rsid w:val="4DE63FE8"/>
    <w:rsid w:val="4DE75325"/>
    <w:rsid w:val="4E34244A"/>
    <w:rsid w:val="4E5374A5"/>
    <w:rsid w:val="4E772B4E"/>
    <w:rsid w:val="4EB21472"/>
    <w:rsid w:val="4EC84B21"/>
    <w:rsid w:val="4EDF05FA"/>
    <w:rsid w:val="4F2E472B"/>
    <w:rsid w:val="4F476894"/>
    <w:rsid w:val="4F612F56"/>
    <w:rsid w:val="4F9F5DD8"/>
    <w:rsid w:val="4FAF22D0"/>
    <w:rsid w:val="4FBB220C"/>
    <w:rsid w:val="4FEC3F2E"/>
    <w:rsid w:val="507E1915"/>
    <w:rsid w:val="509F79FC"/>
    <w:rsid w:val="50B21C4E"/>
    <w:rsid w:val="50F55EAA"/>
    <w:rsid w:val="51993F4F"/>
    <w:rsid w:val="51AF3042"/>
    <w:rsid w:val="523752DE"/>
    <w:rsid w:val="52582F92"/>
    <w:rsid w:val="52EE1898"/>
    <w:rsid w:val="52F3551E"/>
    <w:rsid w:val="52F64C87"/>
    <w:rsid w:val="53050221"/>
    <w:rsid w:val="53235968"/>
    <w:rsid w:val="53287401"/>
    <w:rsid w:val="53421822"/>
    <w:rsid w:val="536832B1"/>
    <w:rsid w:val="53941D9C"/>
    <w:rsid w:val="53A15AA7"/>
    <w:rsid w:val="53BE124D"/>
    <w:rsid w:val="53CA2AF3"/>
    <w:rsid w:val="53CB17F2"/>
    <w:rsid w:val="54845A6D"/>
    <w:rsid w:val="54B239CF"/>
    <w:rsid w:val="54DD415E"/>
    <w:rsid w:val="551D40A7"/>
    <w:rsid w:val="557F00B6"/>
    <w:rsid w:val="55854584"/>
    <w:rsid w:val="560B66FA"/>
    <w:rsid w:val="56127085"/>
    <w:rsid w:val="5646757B"/>
    <w:rsid w:val="564D5BC4"/>
    <w:rsid w:val="56B919D5"/>
    <w:rsid w:val="56D147AD"/>
    <w:rsid w:val="573C29FB"/>
    <w:rsid w:val="57E93482"/>
    <w:rsid w:val="58A50721"/>
    <w:rsid w:val="58B53FCF"/>
    <w:rsid w:val="58DE5CEF"/>
    <w:rsid w:val="590B4644"/>
    <w:rsid w:val="59307965"/>
    <w:rsid w:val="593149A0"/>
    <w:rsid w:val="5966736A"/>
    <w:rsid w:val="599D6749"/>
    <w:rsid w:val="59AF07B1"/>
    <w:rsid w:val="59B47AF7"/>
    <w:rsid w:val="59D508F8"/>
    <w:rsid w:val="5A102BF8"/>
    <w:rsid w:val="5A265969"/>
    <w:rsid w:val="5A337247"/>
    <w:rsid w:val="5A500D0F"/>
    <w:rsid w:val="5A724E3D"/>
    <w:rsid w:val="5A963FE3"/>
    <w:rsid w:val="5AC1074E"/>
    <w:rsid w:val="5B033DD8"/>
    <w:rsid w:val="5B1511CF"/>
    <w:rsid w:val="5B91375C"/>
    <w:rsid w:val="5C6276ED"/>
    <w:rsid w:val="5CB118E9"/>
    <w:rsid w:val="5D3904DD"/>
    <w:rsid w:val="5D3E2986"/>
    <w:rsid w:val="5D8543C2"/>
    <w:rsid w:val="5D8E0EF8"/>
    <w:rsid w:val="5DD4443F"/>
    <w:rsid w:val="5E1370BD"/>
    <w:rsid w:val="5E243FF0"/>
    <w:rsid w:val="5E3D72A8"/>
    <w:rsid w:val="5EB17D56"/>
    <w:rsid w:val="5EB62411"/>
    <w:rsid w:val="5F7911F3"/>
    <w:rsid w:val="5F946163"/>
    <w:rsid w:val="5FA274EF"/>
    <w:rsid w:val="6003087B"/>
    <w:rsid w:val="60873354"/>
    <w:rsid w:val="6090514E"/>
    <w:rsid w:val="60FA63E9"/>
    <w:rsid w:val="61042C05"/>
    <w:rsid w:val="611D17B0"/>
    <w:rsid w:val="61363F4D"/>
    <w:rsid w:val="618F184F"/>
    <w:rsid w:val="61B008DA"/>
    <w:rsid w:val="61B77E92"/>
    <w:rsid w:val="61D347E5"/>
    <w:rsid w:val="61D45FD9"/>
    <w:rsid w:val="61E54E27"/>
    <w:rsid w:val="622A4E90"/>
    <w:rsid w:val="62534935"/>
    <w:rsid w:val="62E83EA3"/>
    <w:rsid w:val="63713FB4"/>
    <w:rsid w:val="63AA4BDB"/>
    <w:rsid w:val="63BE124E"/>
    <w:rsid w:val="63F30B75"/>
    <w:rsid w:val="64B17705"/>
    <w:rsid w:val="654A4FC7"/>
    <w:rsid w:val="65A75438"/>
    <w:rsid w:val="65B44CFA"/>
    <w:rsid w:val="65E40AE5"/>
    <w:rsid w:val="661C503A"/>
    <w:rsid w:val="66215C58"/>
    <w:rsid w:val="667B548C"/>
    <w:rsid w:val="671456EF"/>
    <w:rsid w:val="672275FB"/>
    <w:rsid w:val="6778023E"/>
    <w:rsid w:val="679C5014"/>
    <w:rsid w:val="67CD0949"/>
    <w:rsid w:val="68997FFA"/>
    <w:rsid w:val="68A73387"/>
    <w:rsid w:val="68C37C27"/>
    <w:rsid w:val="68EC6EEF"/>
    <w:rsid w:val="693B2B10"/>
    <w:rsid w:val="696C5D29"/>
    <w:rsid w:val="69B4502F"/>
    <w:rsid w:val="69D2396E"/>
    <w:rsid w:val="69F643AC"/>
    <w:rsid w:val="6A975E12"/>
    <w:rsid w:val="6B15368E"/>
    <w:rsid w:val="6BB33A11"/>
    <w:rsid w:val="6BB90172"/>
    <w:rsid w:val="6BBC0F4B"/>
    <w:rsid w:val="6C060F2D"/>
    <w:rsid w:val="6C341B02"/>
    <w:rsid w:val="6C3B472C"/>
    <w:rsid w:val="6C560BD5"/>
    <w:rsid w:val="6C5D2AA1"/>
    <w:rsid w:val="6C662637"/>
    <w:rsid w:val="6C713F17"/>
    <w:rsid w:val="6CA418D5"/>
    <w:rsid w:val="6CA923BE"/>
    <w:rsid w:val="6CD24AE4"/>
    <w:rsid w:val="6D62064C"/>
    <w:rsid w:val="6D8321D9"/>
    <w:rsid w:val="6DA94FEA"/>
    <w:rsid w:val="6E47795E"/>
    <w:rsid w:val="6E7A4A3D"/>
    <w:rsid w:val="6EEB7C06"/>
    <w:rsid w:val="6F91268C"/>
    <w:rsid w:val="6FAD10F1"/>
    <w:rsid w:val="70735004"/>
    <w:rsid w:val="70AC0BC0"/>
    <w:rsid w:val="70B02569"/>
    <w:rsid w:val="70D76730"/>
    <w:rsid w:val="71737415"/>
    <w:rsid w:val="720115FF"/>
    <w:rsid w:val="72061C92"/>
    <w:rsid w:val="721E51BE"/>
    <w:rsid w:val="722A10A9"/>
    <w:rsid w:val="72574AF5"/>
    <w:rsid w:val="725770C4"/>
    <w:rsid w:val="728F2560"/>
    <w:rsid w:val="72A06DCE"/>
    <w:rsid w:val="72AE72BF"/>
    <w:rsid w:val="73981D9C"/>
    <w:rsid w:val="739A7EA6"/>
    <w:rsid w:val="73CD259E"/>
    <w:rsid w:val="7415252B"/>
    <w:rsid w:val="742428DE"/>
    <w:rsid w:val="74792E21"/>
    <w:rsid w:val="74841A82"/>
    <w:rsid w:val="74947EA3"/>
    <w:rsid w:val="74C13D7B"/>
    <w:rsid w:val="74F962B3"/>
    <w:rsid w:val="74FB08F2"/>
    <w:rsid w:val="750D21F0"/>
    <w:rsid w:val="752113D8"/>
    <w:rsid w:val="75F95565"/>
    <w:rsid w:val="76144E14"/>
    <w:rsid w:val="765E6EC5"/>
    <w:rsid w:val="76886C1D"/>
    <w:rsid w:val="768A7CD4"/>
    <w:rsid w:val="76CB2235"/>
    <w:rsid w:val="76D87268"/>
    <w:rsid w:val="76F674B8"/>
    <w:rsid w:val="770048A1"/>
    <w:rsid w:val="770A5384"/>
    <w:rsid w:val="776C1CAB"/>
    <w:rsid w:val="77B612C5"/>
    <w:rsid w:val="77B91E8F"/>
    <w:rsid w:val="78300F2E"/>
    <w:rsid w:val="78CC6235"/>
    <w:rsid w:val="797A2706"/>
    <w:rsid w:val="798E3D0F"/>
    <w:rsid w:val="79C741E7"/>
    <w:rsid w:val="79E81E8F"/>
    <w:rsid w:val="7B2F20A8"/>
    <w:rsid w:val="7B6B548B"/>
    <w:rsid w:val="7B9D1DCC"/>
    <w:rsid w:val="7BAA08AD"/>
    <w:rsid w:val="7BAB0E75"/>
    <w:rsid w:val="7BD50753"/>
    <w:rsid w:val="7BFE626A"/>
    <w:rsid w:val="7C4649C4"/>
    <w:rsid w:val="7C621A0D"/>
    <w:rsid w:val="7CAB11E6"/>
    <w:rsid w:val="7CF06BE7"/>
    <w:rsid w:val="7D0C2832"/>
    <w:rsid w:val="7D3B5694"/>
    <w:rsid w:val="7DD775C1"/>
    <w:rsid w:val="7DE570DB"/>
    <w:rsid w:val="7E024FCE"/>
    <w:rsid w:val="7E1F29E1"/>
    <w:rsid w:val="7E8F1680"/>
    <w:rsid w:val="7FB63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3369</Words>
  <Characters>3660</Characters>
  <Lines>0</Lines>
  <Paragraphs>0</Paragraphs>
  <TotalTime>0</TotalTime>
  <ScaleCrop>false</ScaleCrop>
  <LinksUpToDate>false</LinksUpToDate>
  <CharactersWithSpaces>3673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小风筝_薇</cp:lastModifiedBy>
  <dcterms:modified xsi:type="dcterms:W3CDTF">2024-06-19T07:52:36Z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A4F8FC8CF1F9472A94C02722DA76011F</vt:lpwstr>
  </property>
</Properties>
</file>