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ind w:firstLine="1760" w:firstLineChars="400"/>
        <w:rPr>
          <w:sz w:val="44"/>
          <w:szCs w:val="44"/>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塘沽街道党群服务中心职责清单目录</w:t>
      </w:r>
    </w:p>
    <w:p>
      <w:bookmarkStart w:id="0" w:name="_GoBack"/>
      <w:bookmarkEnd w:id="0"/>
    </w:p>
    <w:p/>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7"/>
        <w:gridCol w:w="2012"/>
        <w:gridCol w:w="858"/>
        <w:gridCol w:w="6130"/>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blHeader/>
        </w:trPr>
        <w:tc>
          <w:tcPr>
            <w:tcW w:w="587" w:type="dxa"/>
            <w:vMerge w:val="restart"/>
            <w:vAlign w:val="center"/>
          </w:tcPr>
          <w:p>
            <w:pPr>
              <w:jc w:val="center"/>
              <w:rPr>
                <w:sz w:val="32"/>
                <w:szCs w:val="32"/>
                <w:vertAlign w:val="baseline"/>
              </w:rPr>
            </w:pPr>
            <w:r>
              <w:rPr>
                <w:rFonts w:hint="eastAsia" w:ascii="黑体" w:hAnsi="宋体" w:eastAsia="黑体" w:cs="黑体"/>
                <w:i w:val="0"/>
                <w:iCs w:val="0"/>
                <w:color w:val="000000"/>
                <w:kern w:val="0"/>
                <w:sz w:val="32"/>
                <w:szCs w:val="32"/>
                <w:u w:val="none"/>
                <w:lang w:val="en-US" w:eastAsia="zh-CN" w:bidi="ar"/>
              </w:rPr>
              <w:t>序号</w:t>
            </w:r>
          </w:p>
        </w:tc>
        <w:tc>
          <w:tcPr>
            <w:tcW w:w="2012" w:type="dxa"/>
            <w:vMerge w:val="restart"/>
            <w:vAlign w:val="center"/>
          </w:tcPr>
          <w:p>
            <w:pPr>
              <w:jc w:val="center"/>
              <w:rPr>
                <w:sz w:val="32"/>
                <w:szCs w:val="32"/>
                <w:vertAlign w:val="baseline"/>
              </w:rPr>
            </w:pPr>
            <w:r>
              <w:rPr>
                <w:rFonts w:hint="eastAsia" w:ascii="黑体" w:hAnsi="宋体" w:eastAsia="黑体" w:cs="黑体"/>
                <w:i w:val="0"/>
                <w:iCs w:val="0"/>
                <w:color w:val="000000"/>
                <w:kern w:val="0"/>
                <w:sz w:val="32"/>
                <w:szCs w:val="32"/>
                <w:u w:val="none"/>
                <w:lang w:val="en-US" w:eastAsia="zh-CN" w:bidi="ar"/>
              </w:rPr>
              <w:t>主要</w:t>
            </w:r>
            <w:r>
              <w:rPr>
                <w:rFonts w:hint="eastAsia" w:ascii="黑体" w:hAnsi="宋体" w:eastAsia="黑体" w:cs="黑体"/>
                <w:i w:val="0"/>
                <w:iCs w:val="0"/>
                <w:color w:val="000000"/>
                <w:kern w:val="0"/>
                <w:sz w:val="32"/>
                <w:szCs w:val="32"/>
                <w:u w:val="none"/>
                <w:lang w:val="en-US" w:eastAsia="zh-CN" w:bidi="ar"/>
              </w:rPr>
              <w:br w:type="textWrapping"/>
            </w:r>
            <w:r>
              <w:rPr>
                <w:rFonts w:hint="eastAsia" w:ascii="黑体" w:hAnsi="宋体" w:eastAsia="黑体" w:cs="黑体"/>
                <w:i w:val="0"/>
                <w:iCs w:val="0"/>
                <w:color w:val="000000"/>
                <w:kern w:val="0"/>
                <w:sz w:val="32"/>
                <w:szCs w:val="32"/>
                <w:u w:val="none"/>
                <w:lang w:val="en-US" w:eastAsia="zh-CN" w:bidi="ar"/>
              </w:rPr>
              <w:t>职责</w:t>
            </w:r>
          </w:p>
        </w:tc>
        <w:tc>
          <w:tcPr>
            <w:tcW w:w="8083" w:type="dxa"/>
            <w:gridSpan w:val="3"/>
            <w:vAlign w:val="center"/>
          </w:tcPr>
          <w:p>
            <w:pPr>
              <w:jc w:val="center"/>
              <w:rPr>
                <w:sz w:val="32"/>
                <w:szCs w:val="32"/>
                <w:vertAlign w:val="baseline"/>
              </w:rPr>
            </w:pPr>
            <w:r>
              <w:rPr>
                <w:rFonts w:hint="eastAsia" w:ascii="黑体" w:hAnsi="宋体" w:eastAsia="黑体" w:cs="黑体"/>
                <w:i w:val="0"/>
                <w:iCs w:val="0"/>
                <w:color w:val="000000"/>
                <w:kern w:val="0"/>
                <w:sz w:val="32"/>
                <w:szCs w:val="32"/>
                <w:u w:val="none"/>
                <w:lang w:val="en-US" w:eastAsia="zh-CN" w:bidi="ar"/>
              </w:rPr>
              <w:t>职责事项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87" w:type="dxa"/>
            <w:vMerge w:val="continue"/>
            <w:vAlign w:val="center"/>
          </w:tcPr>
          <w:p>
            <w:pPr>
              <w:jc w:val="center"/>
              <w:rPr>
                <w:sz w:val="32"/>
                <w:szCs w:val="32"/>
                <w:vertAlign w:val="baseline"/>
              </w:rPr>
            </w:pPr>
          </w:p>
        </w:tc>
        <w:tc>
          <w:tcPr>
            <w:tcW w:w="2012" w:type="dxa"/>
            <w:vMerge w:val="continue"/>
            <w:vAlign w:val="center"/>
          </w:tcPr>
          <w:p>
            <w:pPr>
              <w:jc w:val="center"/>
              <w:rPr>
                <w:sz w:val="32"/>
                <w:szCs w:val="32"/>
                <w:vertAlign w:val="baseline"/>
              </w:rPr>
            </w:pPr>
          </w:p>
        </w:tc>
        <w:tc>
          <w:tcPr>
            <w:tcW w:w="858" w:type="dxa"/>
            <w:vAlign w:val="center"/>
          </w:tcPr>
          <w:p>
            <w:pPr>
              <w:keepNext w:val="0"/>
              <w:keepLines w:val="0"/>
              <w:widowControl/>
              <w:suppressLineNumbers w:val="0"/>
              <w:jc w:val="center"/>
              <w:textAlignment w:val="center"/>
              <w:rPr>
                <w:sz w:val="32"/>
                <w:szCs w:val="32"/>
                <w:vertAlign w:val="baseline"/>
              </w:rPr>
            </w:pPr>
            <w:r>
              <w:rPr>
                <w:rFonts w:hint="eastAsia" w:ascii="黑体" w:hAnsi="宋体" w:eastAsia="黑体" w:cs="黑体"/>
                <w:i w:val="0"/>
                <w:iCs w:val="0"/>
                <w:color w:val="000000"/>
                <w:kern w:val="0"/>
                <w:sz w:val="32"/>
                <w:szCs w:val="32"/>
                <w:u w:val="none"/>
                <w:lang w:val="en-US" w:eastAsia="zh-CN" w:bidi="ar"/>
              </w:rPr>
              <w:t>序号</w:t>
            </w:r>
          </w:p>
        </w:tc>
        <w:tc>
          <w:tcPr>
            <w:tcW w:w="6130" w:type="dxa"/>
            <w:vAlign w:val="center"/>
          </w:tcPr>
          <w:p>
            <w:pPr>
              <w:keepNext w:val="0"/>
              <w:keepLines w:val="0"/>
              <w:widowControl/>
              <w:suppressLineNumbers w:val="0"/>
              <w:jc w:val="center"/>
              <w:textAlignment w:val="center"/>
              <w:rPr>
                <w:sz w:val="32"/>
                <w:szCs w:val="32"/>
                <w:vertAlign w:val="baseline"/>
              </w:rPr>
            </w:pPr>
            <w:r>
              <w:rPr>
                <w:rFonts w:hint="eastAsia" w:ascii="黑体" w:hAnsi="宋体" w:eastAsia="黑体" w:cs="黑体"/>
                <w:i w:val="0"/>
                <w:iCs w:val="0"/>
                <w:color w:val="000000"/>
                <w:kern w:val="0"/>
                <w:sz w:val="32"/>
                <w:szCs w:val="32"/>
                <w:u w:val="none"/>
                <w:lang w:val="en-US" w:eastAsia="zh-CN" w:bidi="ar"/>
              </w:rPr>
              <w:t>名称</w:t>
            </w:r>
          </w:p>
        </w:tc>
        <w:tc>
          <w:tcPr>
            <w:tcW w:w="1095" w:type="dxa"/>
            <w:vAlign w:val="center"/>
          </w:tcPr>
          <w:p>
            <w:pPr>
              <w:keepNext w:val="0"/>
              <w:keepLines w:val="0"/>
              <w:widowControl/>
              <w:suppressLineNumbers w:val="0"/>
              <w:jc w:val="center"/>
              <w:textAlignment w:val="center"/>
              <w:rPr>
                <w:sz w:val="32"/>
                <w:szCs w:val="32"/>
                <w:vertAlign w:val="baseline"/>
              </w:rPr>
            </w:pPr>
            <w:r>
              <w:rPr>
                <w:rFonts w:hint="eastAsia" w:ascii="黑体" w:hAnsi="宋体" w:eastAsia="黑体" w:cs="黑体"/>
                <w:i w:val="0"/>
                <w:iCs w:val="0"/>
                <w:color w:val="000000"/>
                <w:kern w:val="0"/>
                <w:sz w:val="32"/>
                <w:szCs w:val="32"/>
                <w:u w:val="none"/>
                <w:lang w:val="en-US" w:eastAsia="zh-CN" w:bidi="ar"/>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Merge w:val="restart"/>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cstheme="minorBidi"/>
                <w:kern w:val="2"/>
                <w:sz w:val="28"/>
                <w:szCs w:val="28"/>
                <w:vertAlign w:val="baseline"/>
                <w:lang w:val="en-US" w:eastAsia="zh-CN" w:bidi="ar-SA"/>
              </w:rPr>
              <w:t>1</w:t>
            </w:r>
          </w:p>
        </w:tc>
        <w:tc>
          <w:tcPr>
            <w:tcW w:w="2012"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both"/>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社会保险管理与服务</w:t>
            </w:r>
          </w:p>
        </w:tc>
        <w:tc>
          <w:tcPr>
            <w:tcW w:w="858" w:type="dxa"/>
            <w:vAlign w:val="center"/>
          </w:tcPr>
          <w:p>
            <w:pPr>
              <w:keepNext w:val="0"/>
              <w:keepLines w:val="0"/>
              <w:widowControl/>
              <w:suppressLineNumbers w:val="0"/>
              <w:jc w:val="center"/>
              <w:textAlignment w:val="center"/>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1.1</w:t>
            </w:r>
          </w:p>
        </w:tc>
        <w:tc>
          <w:tcPr>
            <w:tcW w:w="61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000000"/>
                <w:kern w:val="2"/>
                <w:sz w:val="28"/>
                <w:szCs w:val="28"/>
                <w:u w:val="no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城乡居民参加基本医疗保险登记</w:t>
            </w:r>
          </w:p>
        </w:tc>
        <w:tc>
          <w:tcPr>
            <w:tcW w:w="1095" w:type="dxa"/>
            <w:vAlign w:val="center"/>
          </w:tcPr>
          <w:p>
            <w:pPr>
              <w:keepNext w:val="0"/>
              <w:keepLines w:val="0"/>
              <w:widowControl/>
              <w:suppressLineNumbers w:val="0"/>
              <w:jc w:val="center"/>
              <w:textAlignment w:val="center"/>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Merge w:val="continue"/>
            <w:vAlign w:val="center"/>
          </w:tcPr>
          <w:p>
            <w:pPr>
              <w:jc w:val="center"/>
              <w:rPr>
                <w:rFonts w:asciiTheme="minorHAnsi" w:hAnsiTheme="minorHAnsi" w:eastAsiaTheme="minorEastAsia" w:cstheme="minorBidi"/>
                <w:kern w:val="2"/>
                <w:sz w:val="28"/>
                <w:szCs w:val="28"/>
                <w:vertAlign w:val="baseline"/>
                <w:lang w:val="en-US" w:eastAsia="zh-CN" w:bidi="ar-SA"/>
              </w:rPr>
            </w:pPr>
          </w:p>
        </w:tc>
        <w:tc>
          <w:tcPr>
            <w:tcW w:w="2012"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both"/>
              <w:rPr>
                <w:rFonts w:asciiTheme="minorHAnsi" w:hAnsiTheme="minorHAnsi" w:eastAsiaTheme="minorEastAsia" w:cstheme="minorBidi"/>
                <w:kern w:val="2"/>
                <w:sz w:val="28"/>
                <w:szCs w:val="28"/>
                <w:vertAlign w:val="baseline"/>
                <w:lang w:val="en-US" w:eastAsia="zh-CN" w:bidi="ar-SA"/>
              </w:rPr>
            </w:pPr>
          </w:p>
        </w:tc>
        <w:tc>
          <w:tcPr>
            <w:tcW w:w="858" w:type="dxa"/>
            <w:vAlign w:val="center"/>
          </w:tcPr>
          <w:p>
            <w:pPr>
              <w:keepNext w:val="0"/>
              <w:keepLines w:val="0"/>
              <w:widowControl/>
              <w:suppressLineNumbers w:val="0"/>
              <w:jc w:val="center"/>
              <w:textAlignment w:val="center"/>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1.2</w:t>
            </w:r>
          </w:p>
        </w:tc>
        <w:tc>
          <w:tcPr>
            <w:tcW w:w="61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000000"/>
                <w:kern w:val="2"/>
                <w:sz w:val="28"/>
                <w:szCs w:val="28"/>
                <w:u w:val="no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城乡参保居民个人垫付医药费用报销</w:t>
            </w:r>
          </w:p>
        </w:tc>
        <w:tc>
          <w:tcPr>
            <w:tcW w:w="1095" w:type="dxa"/>
            <w:vAlign w:val="center"/>
          </w:tcPr>
          <w:p>
            <w:pPr>
              <w:keepNext w:val="0"/>
              <w:keepLines w:val="0"/>
              <w:widowControl/>
              <w:suppressLineNumbers w:val="0"/>
              <w:jc w:val="center"/>
              <w:textAlignment w:val="center"/>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Merge w:val="continue"/>
            <w:vAlign w:val="center"/>
          </w:tcPr>
          <w:p>
            <w:pPr>
              <w:jc w:val="center"/>
              <w:rPr>
                <w:rFonts w:asciiTheme="minorHAnsi" w:hAnsiTheme="minorHAnsi" w:eastAsiaTheme="minorEastAsia" w:cstheme="minorBidi"/>
                <w:kern w:val="2"/>
                <w:sz w:val="28"/>
                <w:szCs w:val="28"/>
                <w:vertAlign w:val="baseline"/>
                <w:lang w:val="en-US" w:eastAsia="zh-CN" w:bidi="ar-SA"/>
              </w:rPr>
            </w:pPr>
          </w:p>
        </w:tc>
        <w:tc>
          <w:tcPr>
            <w:tcW w:w="2012"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both"/>
              <w:rPr>
                <w:rFonts w:asciiTheme="minorHAnsi" w:hAnsiTheme="minorHAnsi" w:eastAsiaTheme="minorEastAsia" w:cstheme="minorBidi"/>
                <w:kern w:val="2"/>
                <w:sz w:val="28"/>
                <w:szCs w:val="28"/>
                <w:vertAlign w:val="baseline"/>
                <w:lang w:val="en-US" w:eastAsia="zh-CN" w:bidi="ar-SA"/>
              </w:rPr>
            </w:pPr>
          </w:p>
        </w:tc>
        <w:tc>
          <w:tcPr>
            <w:tcW w:w="858" w:type="dxa"/>
            <w:vAlign w:val="center"/>
          </w:tcPr>
          <w:p>
            <w:pPr>
              <w:keepNext w:val="0"/>
              <w:keepLines w:val="0"/>
              <w:widowControl/>
              <w:suppressLineNumbers w:val="0"/>
              <w:jc w:val="center"/>
              <w:textAlignment w:val="center"/>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1.3</w:t>
            </w:r>
          </w:p>
        </w:tc>
        <w:tc>
          <w:tcPr>
            <w:tcW w:w="61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000000"/>
                <w:kern w:val="2"/>
                <w:sz w:val="28"/>
                <w:szCs w:val="28"/>
                <w:u w:val="no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城乡居民参加基本养老保险登记</w:t>
            </w:r>
          </w:p>
        </w:tc>
        <w:tc>
          <w:tcPr>
            <w:tcW w:w="1095" w:type="dxa"/>
            <w:vAlign w:val="center"/>
          </w:tcPr>
          <w:p>
            <w:pPr>
              <w:keepNext w:val="0"/>
              <w:keepLines w:val="0"/>
              <w:widowControl/>
              <w:suppressLineNumbers w:val="0"/>
              <w:jc w:val="center"/>
              <w:textAlignment w:val="center"/>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Merge w:val="continue"/>
            <w:vAlign w:val="center"/>
          </w:tcPr>
          <w:p>
            <w:pPr>
              <w:jc w:val="center"/>
              <w:rPr>
                <w:rFonts w:asciiTheme="minorHAnsi" w:hAnsiTheme="minorHAnsi" w:eastAsiaTheme="minorEastAsia" w:cstheme="minorBidi"/>
                <w:kern w:val="2"/>
                <w:sz w:val="28"/>
                <w:szCs w:val="28"/>
                <w:vertAlign w:val="baseline"/>
                <w:lang w:val="en-US" w:eastAsia="zh-CN" w:bidi="ar-SA"/>
              </w:rPr>
            </w:pPr>
          </w:p>
        </w:tc>
        <w:tc>
          <w:tcPr>
            <w:tcW w:w="2012"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both"/>
              <w:rPr>
                <w:rFonts w:asciiTheme="minorHAnsi" w:hAnsiTheme="minorHAnsi" w:eastAsiaTheme="minorEastAsia" w:cstheme="minorBidi"/>
                <w:kern w:val="2"/>
                <w:sz w:val="28"/>
                <w:szCs w:val="28"/>
                <w:vertAlign w:val="baseline"/>
                <w:lang w:val="en-US" w:eastAsia="zh-CN" w:bidi="ar-SA"/>
              </w:rPr>
            </w:pPr>
          </w:p>
        </w:tc>
        <w:tc>
          <w:tcPr>
            <w:tcW w:w="858" w:type="dxa"/>
            <w:vAlign w:val="center"/>
          </w:tcPr>
          <w:p>
            <w:pPr>
              <w:keepNext w:val="0"/>
              <w:keepLines w:val="0"/>
              <w:widowControl/>
              <w:suppressLineNumbers w:val="0"/>
              <w:jc w:val="center"/>
              <w:textAlignment w:val="center"/>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1.4</w:t>
            </w:r>
          </w:p>
        </w:tc>
        <w:tc>
          <w:tcPr>
            <w:tcW w:w="61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000000"/>
                <w:kern w:val="2"/>
                <w:sz w:val="28"/>
                <w:szCs w:val="28"/>
                <w:u w:val="no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城乡参保居民养老保险待遇审核</w:t>
            </w:r>
          </w:p>
        </w:tc>
        <w:tc>
          <w:tcPr>
            <w:tcW w:w="1095" w:type="dxa"/>
            <w:vAlign w:val="center"/>
          </w:tcPr>
          <w:p>
            <w:pPr>
              <w:keepNext w:val="0"/>
              <w:keepLines w:val="0"/>
              <w:widowControl/>
              <w:suppressLineNumbers w:val="0"/>
              <w:jc w:val="center"/>
              <w:textAlignment w:val="center"/>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Merge w:val="continue"/>
            <w:vAlign w:val="center"/>
          </w:tcPr>
          <w:p>
            <w:pPr>
              <w:jc w:val="center"/>
              <w:rPr>
                <w:rFonts w:asciiTheme="minorHAnsi" w:hAnsiTheme="minorHAnsi" w:eastAsiaTheme="minorEastAsia" w:cstheme="minorBidi"/>
                <w:kern w:val="2"/>
                <w:sz w:val="28"/>
                <w:szCs w:val="28"/>
                <w:vertAlign w:val="baseline"/>
                <w:lang w:val="en-US" w:eastAsia="zh-CN" w:bidi="ar-SA"/>
              </w:rPr>
            </w:pPr>
          </w:p>
        </w:tc>
        <w:tc>
          <w:tcPr>
            <w:tcW w:w="2012"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both"/>
              <w:rPr>
                <w:rFonts w:asciiTheme="minorHAnsi" w:hAnsiTheme="minorHAnsi" w:eastAsiaTheme="minorEastAsia" w:cstheme="minorBidi"/>
                <w:kern w:val="2"/>
                <w:sz w:val="28"/>
                <w:szCs w:val="28"/>
                <w:vertAlign w:val="baseline"/>
                <w:lang w:val="en-US" w:eastAsia="zh-CN" w:bidi="ar-SA"/>
              </w:rPr>
            </w:pPr>
          </w:p>
        </w:tc>
        <w:tc>
          <w:tcPr>
            <w:tcW w:w="858" w:type="dxa"/>
            <w:vAlign w:val="center"/>
          </w:tcPr>
          <w:p>
            <w:pPr>
              <w:keepNext w:val="0"/>
              <w:keepLines w:val="0"/>
              <w:widowControl/>
              <w:suppressLineNumbers w:val="0"/>
              <w:jc w:val="center"/>
              <w:textAlignment w:val="center"/>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1.5</w:t>
            </w:r>
          </w:p>
        </w:tc>
        <w:tc>
          <w:tcPr>
            <w:tcW w:w="61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000000"/>
                <w:kern w:val="2"/>
                <w:sz w:val="28"/>
                <w:szCs w:val="28"/>
                <w:u w:val="no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社会保障卡申办</w:t>
            </w:r>
          </w:p>
        </w:tc>
        <w:tc>
          <w:tcPr>
            <w:tcW w:w="1095" w:type="dxa"/>
            <w:vAlign w:val="center"/>
          </w:tcPr>
          <w:p>
            <w:pPr>
              <w:keepNext w:val="0"/>
              <w:keepLines w:val="0"/>
              <w:widowControl/>
              <w:suppressLineNumbers w:val="0"/>
              <w:jc w:val="center"/>
              <w:textAlignment w:val="center"/>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Merge w:val="continue"/>
            <w:vAlign w:val="center"/>
          </w:tcPr>
          <w:p>
            <w:pPr>
              <w:jc w:val="center"/>
              <w:rPr>
                <w:rFonts w:asciiTheme="minorHAnsi" w:hAnsiTheme="minorHAnsi" w:eastAsiaTheme="minorEastAsia" w:cstheme="minorBidi"/>
                <w:kern w:val="2"/>
                <w:sz w:val="28"/>
                <w:szCs w:val="28"/>
                <w:vertAlign w:val="baseline"/>
                <w:lang w:val="en-US" w:eastAsia="zh-CN" w:bidi="ar-SA"/>
              </w:rPr>
            </w:pPr>
          </w:p>
        </w:tc>
        <w:tc>
          <w:tcPr>
            <w:tcW w:w="2012"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both"/>
              <w:rPr>
                <w:rFonts w:asciiTheme="minorHAnsi" w:hAnsiTheme="minorHAnsi" w:eastAsiaTheme="minorEastAsia" w:cstheme="minorBidi"/>
                <w:kern w:val="2"/>
                <w:sz w:val="28"/>
                <w:szCs w:val="28"/>
                <w:vertAlign w:val="baseline"/>
                <w:lang w:val="en-US" w:eastAsia="zh-CN" w:bidi="ar-SA"/>
              </w:rPr>
            </w:pPr>
          </w:p>
        </w:tc>
        <w:tc>
          <w:tcPr>
            <w:tcW w:w="858" w:type="dxa"/>
            <w:vAlign w:val="center"/>
          </w:tcPr>
          <w:p>
            <w:pPr>
              <w:keepNext w:val="0"/>
              <w:keepLines w:val="0"/>
              <w:widowControl/>
              <w:suppressLineNumbers w:val="0"/>
              <w:jc w:val="center"/>
              <w:textAlignment w:val="center"/>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1.6</w:t>
            </w:r>
          </w:p>
        </w:tc>
        <w:tc>
          <w:tcPr>
            <w:tcW w:w="61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000000"/>
                <w:kern w:val="2"/>
                <w:sz w:val="28"/>
                <w:szCs w:val="28"/>
                <w:u w:val="no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申请灵活就业社会保险补贴</w:t>
            </w:r>
          </w:p>
        </w:tc>
        <w:tc>
          <w:tcPr>
            <w:tcW w:w="1095" w:type="dxa"/>
            <w:vAlign w:val="center"/>
          </w:tcPr>
          <w:p>
            <w:pPr>
              <w:keepNext w:val="0"/>
              <w:keepLines w:val="0"/>
              <w:widowControl/>
              <w:suppressLineNumbers w:val="0"/>
              <w:jc w:val="center"/>
              <w:textAlignment w:val="center"/>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Merge w:val="continue"/>
            <w:vAlign w:val="center"/>
          </w:tcPr>
          <w:p>
            <w:pPr>
              <w:jc w:val="center"/>
              <w:rPr>
                <w:rFonts w:asciiTheme="minorHAnsi" w:hAnsiTheme="minorHAnsi" w:eastAsiaTheme="minorEastAsia" w:cstheme="minorBidi"/>
                <w:kern w:val="2"/>
                <w:sz w:val="28"/>
                <w:szCs w:val="28"/>
                <w:vertAlign w:val="baseline"/>
                <w:lang w:val="en-US" w:eastAsia="zh-CN" w:bidi="ar-SA"/>
              </w:rPr>
            </w:pPr>
          </w:p>
        </w:tc>
        <w:tc>
          <w:tcPr>
            <w:tcW w:w="2012"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both"/>
              <w:rPr>
                <w:rFonts w:asciiTheme="minorHAnsi" w:hAnsiTheme="minorHAnsi" w:eastAsiaTheme="minorEastAsia" w:cstheme="minorBidi"/>
                <w:kern w:val="2"/>
                <w:sz w:val="28"/>
                <w:szCs w:val="28"/>
                <w:vertAlign w:val="baseline"/>
                <w:lang w:val="en-US" w:eastAsia="zh-CN" w:bidi="ar-SA"/>
              </w:rPr>
            </w:pPr>
          </w:p>
        </w:tc>
        <w:tc>
          <w:tcPr>
            <w:tcW w:w="858" w:type="dxa"/>
            <w:vAlign w:val="center"/>
          </w:tcPr>
          <w:p>
            <w:pPr>
              <w:keepNext w:val="0"/>
              <w:keepLines w:val="0"/>
              <w:widowControl/>
              <w:suppressLineNumbers w:val="0"/>
              <w:jc w:val="center"/>
              <w:textAlignment w:val="center"/>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1.7</w:t>
            </w:r>
          </w:p>
        </w:tc>
        <w:tc>
          <w:tcPr>
            <w:tcW w:w="61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000000"/>
                <w:kern w:val="2"/>
                <w:sz w:val="28"/>
                <w:szCs w:val="28"/>
                <w:u w:val="no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城乡居民和灵活就业人员代办征收社会保险费</w:t>
            </w:r>
          </w:p>
        </w:tc>
        <w:tc>
          <w:tcPr>
            <w:tcW w:w="1095" w:type="dxa"/>
            <w:vAlign w:val="center"/>
          </w:tcPr>
          <w:p>
            <w:pPr>
              <w:keepNext w:val="0"/>
              <w:keepLines w:val="0"/>
              <w:widowControl/>
              <w:suppressLineNumbers w:val="0"/>
              <w:jc w:val="center"/>
              <w:textAlignment w:val="center"/>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Merge w:val="continue"/>
            <w:vAlign w:val="center"/>
          </w:tcPr>
          <w:p>
            <w:pPr>
              <w:jc w:val="center"/>
              <w:rPr>
                <w:rFonts w:asciiTheme="minorHAnsi" w:hAnsiTheme="minorHAnsi" w:eastAsiaTheme="minorEastAsia" w:cstheme="minorBidi"/>
                <w:kern w:val="2"/>
                <w:sz w:val="28"/>
                <w:szCs w:val="28"/>
                <w:vertAlign w:val="baseline"/>
                <w:lang w:val="en-US" w:eastAsia="zh-CN" w:bidi="ar-SA"/>
              </w:rPr>
            </w:pPr>
          </w:p>
        </w:tc>
        <w:tc>
          <w:tcPr>
            <w:tcW w:w="2012"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both"/>
              <w:rPr>
                <w:rFonts w:asciiTheme="minorHAnsi" w:hAnsiTheme="minorHAnsi" w:eastAsiaTheme="minorEastAsia" w:cstheme="minorBidi"/>
                <w:kern w:val="2"/>
                <w:sz w:val="28"/>
                <w:szCs w:val="28"/>
                <w:vertAlign w:val="baseline"/>
                <w:lang w:val="en-US" w:eastAsia="zh-CN" w:bidi="ar-SA"/>
              </w:rPr>
            </w:pPr>
          </w:p>
        </w:tc>
        <w:tc>
          <w:tcPr>
            <w:tcW w:w="858" w:type="dxa"/>
            <w:vAlign w:val="center"/>
          </w:tcPr>
          <w:p>
            <w:pPr>
              <w:keepNext w:val="0"/>
              <w:keepLines w:val="0"/>
              <w:widowControl/>
              <w:suppressLineNumbers w:val="0"/>
              <w:jc w:val="center"/>
              <w:textAlignment w:val="center"/>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1.8</w:t>
            </w:r>
          </w:p>
        </w:tc>
        <w:tc>
          <w:tcPr>
            <w:tcW w:w="61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000000"/>
                <w:kern w:val="2"/>
                <w:sz w:val="28"/>
                <w:szCs w:val="28"/>
                <w:u w:val="no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因病支出型困难家庭和重特大疾病医疗救助</w:t>
            </w:r>
          </w:p>
        </w:tc>
        <w:tc>
          <w:tcPr>
            <w:tcW w:w="1095" w:type="dxa"/>
            <w:vAlign w:val="center"/>
          </w:tcPr>
          <w:p>
            <w:pPr>
              <w:keepNext w:val="0"/>
              <w:keepLines w:val="0"/>
              <w:widowControl/>
              <w:suppressLineNumbers w:val="0"/>
              <w:jc w:val="center"/>
              <w:textAlignment w:val="center"/>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Merge w:val="continue"/>
            <w:vAlign w:val="center"/>
          </w:tcPr>
          <w:p>
            <w:pPr>
              <w:jc w:val="center"/>
              <w:rPr>
                <w:rFonts w:asciiTheme="minorHAnsi" w:hAnsiTheme="minorHAnsi" w:eastAsiaTheme="minorEastAsia" w:cstheme="minorBidi"/>
                <w:kern w:val="2"/>
                <w:sz w:val="28"/>
                <w:szCs w:val="28"/>
                <w:vertAlign w:val="baseline"/>
                <w:lang w:val="en-US" w:eastAsia="zh-CN" w:bidi="ar-SA"/>
              </w:rPr>
            </w:pPr>
          </w:p>
        </w:tc>
        <w:tc>
          <w:tcPr>
            <w:tcW w:w="2012"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both"/>
              <w:rPr>
                <w:rFonts w:asciiTheme="minorHAnsi" w:hAnsiTheme="minorHAnsi" w:eastAsiaTheme="minorEastAsia" w:cstheme="minorBidi"/>
                <w:kern w:val="2"/>
                <w:sz w:val="28"/>
                <w:szCs w:val="28"/>
                <w:vertAlign w:val="baseline"/>
                <w:lang w:val="en-US" w:eastAsia="zh-CN" w:bidi="ar-SA"/>
              </w:rPr>
            </w:pPr>
          </w:p>
        </w:tc>
        <w:tc>
          <w:tcPr>
            <w:tcW w:w="858" w:type="dxa"/>
            <w:vAlign w:val="center"/>
          </w:tcPr>
          <w:p>
            <w:pPr>
              <w:keepNext w:val="0"/>
              <w:keepLines w:val="0"/>
              <w:widowControl/>
              <w:suppressLineNumbers w:val="0"/>
              <w:jc w:val="center"/>
              <w:textAlignment w:val="center"/>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1.9</w:t>
            </w:r>
          </w:p>
        </w:tc>
        <w:tc>
          <w:tcPr>
            <w:tcW w:w="61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000000"/>
                <w:kern w:val="2"/>
                <w:sz w:val="28"/>
                <w:szCs w:val="28"/>
                <w:u w:val="no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国有企业退休人员社会化管理</w:t>
            </w:r>
          </w:p>
        </w:tc>
        <w:tc>
          <w:tcPr>
            <w:tcW w:w="1095" w:type="dxa"/>
            <w:vAlign w:val="center"/>
          </w:tcPr>
          <w:p>
            <w:pPr>
              <w:keepNext w:val="0"/>
              <w:keepLines w:val="0"/>
              <w:widowControl/>
              <w:suppressLineNumbers w:val="0"/>
              <w:jc w:val="center"/>
              <w:textAlignment w:val="center"/>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Merge w:val="restart"/>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cstheme="minorBidi"/>
                <w:kern w:val="2"/>
                <w:sz w:val="28"/>
                <w:szCs w:val="28"/>
                <w:vertAlign w:val="baseline"/>
                <w:lang w:val="en-US" w:eastAsia="zh-CN" w:bidi="ar-SA"/>
              </w:rPr>
              <w:t>2</w:t>
            </w:r>
          </w:p>
        </w:tc>
        <w:tc>
          <w:tcPr>
            <w:tcW w:w="2012"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both"/>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就失业管理与服务</w:t>
            </w:r>
          </w:p>
        </w:tc>
        <w:tc>
          <w:tcPr>
            <w:tcW w:w="858" w:type="dxa"/>
            <w:vAlign w:val="center"/>
          </w:tcPr>
          <w:p>
            <w:pPr>
              <w:keepNext w:val="0"/>
              <w:keepLines w:val="0"/>
              <w:widowControl/>
              <w:suppressLineNumbers w:val="0"/>
              <w:jc w:val="center"/>
              <w:textAlignment w:val="center"/>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2.1</w:t>
            </w:r>
          </w:p>
        </w:tc>
        <w:tc>
          <w:tcPr>
            <w:tcW w:w="61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000000"/>
                <w:kern w:val="2"/>
                <w:sz w:val="28"/>
                <w:szCs w:val="28"/>
                <w:u w:val="no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就业援助</w:t>
            </w:r>
          </w:p>
        </w:tc>
        <w:tc>
          <w:tcPr>
            <w:tcW w:w="1095" w:type="dxa"/>
            <w:vAlign w:val="center"/>
          </w:tcPr>
          <w:p>
            <w:pPr>
              <w:keepNext w:val="0"/>
              <w:keepLines w:val="0"/>
              <w:widowControl/>
              <w:suppressLineNumbers w:val="0"/>
              <w:jc w:val="center"/>
              <w:textAlignment w:val="center"/>
              <w:rPr>
                <w:rFonts w:hint="default"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Merge w:val="continue"/>
            <w:vAlign w:val="center"/>
          </w:tcPr>
          <w:p>
            <w:pPr>
              <w:jc w:val="center"/>
              <w:rPr>
                <w:rFonts w:asciiTheme="minorHAnsi" w:hAnsiTheme="minorHAnsi" w:eastAsiaTheme="minorEastAsia" w:cstheme="minorBidi"/>
                <w:kern w:val="2"/>
                <w:sz w:val="28"/>
                <w:szCs w:val="28"/>
                <w:vertAlign w:val="baseline"/>
                <w:lang w:val="en-US" w:eastAsia="zh-CN" w:bidi="ar-SA"/>
              </w:rPr>
            </w:pPr>
          </w:p>
        </w:tc>
        <w:tc>
          <w:tcPr>
            <w:tcW w:w="2012"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both"/>
              <w:rPr>
                <w:rFonts w:asciiTheme="minorHAnsi" w:hAnsiTheme="minorHAnsi" w:eastAsiaTheme="minorEastAsia" w:cstheme="minorBidi"/>
                <w:kern w:val="2"/>
                <w:sz w:val="28"/>
                <w:szCs w:val="28"/>
                <w:vertAlign w:val="baseline"/>
                <w:lang w:val="en-US" w:eastAsia="zh-CN" w:bidi="ar-SA"/>
              </w:rPr>
            </w:pPr>
          </w:p>
        </w:tc>
        <w:tc>
          <w:tcPr>
            <w:tcW w:w="858" w:type="dxa"/>
            <w:vAlign w:val="center"/>
          </w:tcPr>
          <w:p>
            <w:pPr>
              <w:keepNext w:val="0"/>
              <w:keepLines w:val="0"/>
              <w:widowControl/>
              <w:suppressLineNumbers w:val="0"/>
              <w:jc w:val="center"/>
              <w:textAlignment w:val="center"/>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2.2</w:t>
            </w:r>
          </w:p>
        </w:tc>
        <w:tc>
          <w:tcPr>
            <w:tcW w:w="61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000000"/>
                <w:kern w:val="2"/>
                <w:sz w:val="28"/>
                <w:szCs w:val="28"/>
                <w:u w:val="no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失业保险金申领</w:t>
            </w:r>
          </w:p>
        </w:tc>
        <w:tc>
          <w:tcPr>
            <w:tcW w:w="1095" w:type="dxa"/>
            <w:vAlign w:val="center"/>
          </w:tcPr>
          <w:p>
            <w:pPr>
              <w:keepNext w:val="0"/>
              <w:keepLines w:val="0"/>
              <w:widowControl/>
              <w:suppressLineNumbers w:val="0"/>
              <w:jc w:val="center"/>
              <w:textAlignment w:val="center"/>
              <w:rPr>
                <w:rFonts w:hint="default"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Merge w:val="continue"/>
            <w:vAlign w:val="center"/>
          </w:tcPr>
          <w:p>
            <w:pPr>
              <w:jc w:val="center"/>
              <w:rPr>
                <w:rFonts w:asciiTheme="minorHAnsi" w:hAnsiTheme="minorHAnsi" w:eastAsiaTheme="minorEastAsia" w:cstheme="minorBidi"/>
                <w:kern w:val="2"/>
                <w:sz w:val="28"/>
                <w:szCs w:val="28"/>
                <w:vertAlign w:val="baseline"/>
                <w:lang w:val="en-US" w:eastAsia="zh-CN" w:bidi="ar-SA"/>
              </w:rPr>
            </w:pPr>
          </w:p>
        </w:tc>
        <w:tc>
          <w:tcPr>
            <w:tcW w:w="2012"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both"/>
              <w:rPr>
                <w:rFonts w:asciiTheme="minorHAnsi" w:hAnsiTheme="minorHAnsi" w:eastAsiaTheme="minorEastAsia" w:cstheme="minorBidi"/>
                <w:kern w:val="2"/>
                <w:sz w:val="28"/>
                <w:szCs w:val="28"/>
                <w:vertAlign w:val="baseline"/>
                <w:lang w:val="en-US" w:eastAsia="zh-CN" w:bidi="ar-SA"/>
              </w:rPr>
            </w:pPr>
          </w:p>
        </w:tc>
        <w:tc>
          <w:tcPr>
            <w:tcW w:w="858" w:type="dxa"/>
            <w:vAlign w:val="center"/>
          </w:tcPr>
          <w:p>
            <w:pPr>
              <w:keepNext w:val="0"/>
              <w:keepLines w:val="0"/>
              <w:widowControl/>
              <w:suppressLineNumbers w:val="0"/>
              <w:jc w:val="center"/>
              <w:textAlignment w:val="center"/>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2.3</w:t>
            </w:r>
          </w:p>
        </w:tc>
        <w:tc>
          <w:tcPr>
            <w:tcW w:w="61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000000"/>
                <w:kern w:val="2"/>
                <w:sz w:val="28"/>
                <w:szCs w:val="28"/>
                <w:u w:val="no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创业小额担保贷款审查及贴息审核</w:t>
            </w:r>
          </w:p>
        </w:tc>
        <w:tc>
          <w:tcPr>
            <w:tcW w:w="1095" w:type="dxa"/>
            <w:vAlign w:val="center"/>
          </w:tcPr>
          <w:p>
            <w:pPr>
              <w:keepNext w:val="0"/>
              <w:keepLines w:val="0"/>
              <w:widowControl/>
              <w:suppressLineNumbers w:val="0"/>
              <w:jc w:val="center"/>
              <w:textAlignment w:val="center"/>
              <w:rPr>
                <w:rFonts w:hint="default"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Merge w:val="continue"/>
            <w:vAlign w:val="center"/>
          </w:tcPr>
          <w:p>
            <w:pPr>
              <w:jc w:val="center"/>
              <w:rPr>
                <w:rFonts w:asciiTheme="minorHAnsi" w:hAnsiTheme="minorHAnsi" w:eastAsiaTheme="minorEastAsia" w:cstheme="minorBidi"/>
                <w:kern w:val="2"/>
                <w:sz w:val="28"/>
                <w:szCs w:val="28"/>
                <w:vertAlign w:val="baseline"/>
                <w:lang w:val="en-US" w:eastAsia="zh-CN" w:bidi="ar-SA"/>
              </w:rPr>
            </w:pPr>
          </w:p>
        </w:tc>
        <w:tc>
          <w:tcPr>
            <w:tcW w:w="2012"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both"/>
              <w:rPr>
                <w:rFonts w:asciiTheme="minorHAnsi" w:hAnsiTheme="minorHAnsi" w:eastAsiaTheme="minorEastAsia" w:cstheme="minorBidi"/>
                <w:kern w:val="2"/>
                <w:sz w:val="28"/>
                <w:szCs w:val="28"/>
                <w:vertAlign w:val="baseline"/>
                <w:lang w:val="en-US" w:eastAsia="zh-CN" w:bidi="ar-SA"/>
              </w:rPr>
            </w:pPr>
          </w:p>
        </w:tc>
        <w:tc>
          <w:tcPr>
            <w:tcW w:w="858" w:type="dxa"/>
            <w:vAlign w:val="center"/>
          </w:tcPr>
          <w:p>
            <w:pPr>
              <w:keepNext w:val="0"/>
              <w:keepLines w:val="0"/>
              <w:widowControl/>
              <w:suppressLineNumbers w:val="0"/>
              <w:jc w:val="center"/>
              <w:textAlignment w:val="center"/>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2.4</w:t>
            </w:r>
          </w:p>
        </w:tc>
        <w:tc>
          <w:tcPr>
            <w:tcW w:w="61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000000"/>
                <w:kern w:val="2"/>
                <w:sz w:val="28"/>
                <w:szCs w:val="28"/>
                <w:u w:val="no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稳岗补贴</w:t>
            </w:r>
          </w:p>
        </w:tc>
        <w:tc>
          <w:tcPr>
            <w:tcW w:w="1095" w:type="dxa"/>
            <w:vAlign w:val="center"/>
          </w:tcPr>
          <w:p>
            <w:pPr>
              <w:keepNext w:val="0"/>
              <w:keepLines w:val="0"/>
              <w:widowControl/>
              <w:suppressLineNumbers w:val="0"/>
              <w:jc w:val="center"/>
              <w:textAlignment w:val="center"/>
              <w:rPr>
                <w:rFonts w:hint="default"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13、14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Merge w:val="continue"/>
            <w:vAlign w:val="center"/>
          </w:tcPr>
          <w:p>
            <w:pPr>
              <w:jc w:val="center"/>
              <w:rPr>
                <w:rFonts w:asciiTheme="minorHAnsi" w:hAnsiTheme="minorHAnsi" w:eastAsiaTheme="minorEastAsia" w:cstheme="minorBidi"/>
                <w:kern w:val="2"/>
                <w:sz w:val="28"/>
                <w:szCs w:val="28"/>
                <w:vertAlign w:val="baseline"/>
                <w:lang w:val="en-US" w:eastAsia="zh-CN" w:bidi="ar-SA"/>
              </w:rPr>
            </w:pPr>
          </w:p>
        </w:tc>
        <w:tc>
          <w:tcPr>
            <w:tcW w:w="2012"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both"/>
              <w:rPr>
                <w:rFonts w:asciiTheme="minorHAnsi" w:hAnsiTheme="minorHAnsi" w:eastAsiaTheme="minorEastAsia" w:cstheme="minorBidi"/>
                <w:kern w:val="2"/>
                <w:sz w:val="28"/>
                <w:szCs w:val="28"/>
                <w:vertAlign w:val="baseline"/>
                <w:lang w:val="en-US" w:eastAsia="zh-CN" w:bidi="ar-SA"/>
              </w:rPr>
            </w:pPr>
          </w:p>
        </w:tc>
        <w:tc>
          <w:tcPr>
            <w:tcW w:w="858" w:type="dxa"/>
            <w:vAlign w:val="center"/>
          </w:tcPr>
          <w:p>
            <w:pPr>
              <w:keepNext w:val="0"/>
              <w:keepLines w:val="0"/>
              <w:widowControl/>
              <w:suppressLineNumbers w:val="0"/>
              <w:jc w:val="center"/>
              <w:textAlignment w:val="center"/>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2.5</w:t>
            </w:r>
          </w:p>
        </w:tc>
        <w:tc>
          <w:tcPr>
            <w:tcW w:w="61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000000"/>
                <w:kern w:val="2"/>
                <w:sz w:val="28"/>
                <w:szCs w:val="28"/>
                <w:u w:val="no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就业创业证办理</w:t>
            </w:r>
          </w:p>
        </w:tc>
        <w:tc>
          <w:tcPr>
            <w:tcW w:w="1095" w:type="dxa"/>
            <w:vAlign w:val="center"/>
          </w:tcPr>
          <w:p>
            <w:pPr>
              <w:keepNext w:val="0"/>
              <w:keepLines w:val="0"/>
              <w:widowControl/>
              <w:suppressLineNumbers w:val="0"/>
              <w:jc w:val="center"/>
              <w:textAlignment w:val="center"/>
              <w:rPr>
                <w:rFonts w:hint="default"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Merge w:val="restart"/>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cstheme="minorBidi"/>
                <w:kern w:val="2"/>
                <w:sz w:val="28"/>
                <w:szCs w:val="28"/>
                <w:vertAlign w:val="baseline"/>
                <w:lang w:val="en-US" w:eastAsia="zh-CN" w:bidi="ar-SA"/>
              </w:rPr>
              <w:t>3</w:t>
            </w:r>
          </w:p>
        </w:tc>
        <w:tc>
          <w:tcPr>
            <w:tcW w:w="2012"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both"/>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政务服务</w:t>
            </w:r>
          </w:p>
        </w:tc>
        <w:tc>
          <w:tcPr>
            <w:tcW w:w="858" w:type="dxa"/>
            <w:vAlign w:val="center"/>
          </w:tcPr>
          <w:p>
            <w:pPr>
              <w:keepNext w:val="0"/>
              <w:keepLines w:val="0"/>
              <w:widowControl/>
              <w:suppressLineNumbers w:val="0"/>
              <w:jc w:val="center"/>
              <w:textAlignment w:val="center"/>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3.1</w:t>
            </w:r>
          </w:p>
        </w:tc>
        <w:tc>
          <w:tcPr>
            <w:tcW w:w="61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000000"/>
                <w:kern w:val="2"/>
                <w:sz w:val="28"/>
                <w:szCs w:val="28"/>
                <w:u w:val="no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滨海通办</w:t>
            </w:r>
          </w:p>
        </w:tc>
        <w:tc>
          <w:tcPr>
            <w:tcW w:w="1095" w:type="dxa"/>
            <w:vAlign w:val="center"/>
          </w:tcPr>
          <w:p>
            <w:pPr>
              <w:keepNext w:val="0"/>
              <w:keepLines w:val="0"/>
              <w:widowControl/>
              <w:suppressLineNumbers w:val="0"/>
              <w:jc w:val="center"/>
              <w:textAlignment w:val="center"/>
              <w:rPr>
                <w:rFonts w:hint="default"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Merge w:val="continue"/>
            <w:vAlign w:val="center"/>
          </w:tcPr>
          <w:p>
            <w:pPr>
              <w:jc w:val="center"/>
              <w:rPr>
                <w:rFonts w:asciiTheme="minorHAnsi" w:hAnsiTheme="minorHAnsi" w:eastAsiaTheme="minorEastAsia" w:cstheme="minorBidi"/>
                <w:kern w:val="2"/>
                <w:sz w:val="28"/>
                <w:szCs w:val="28"/>
                <w:vertAlign w:val="baseline"/>
                <w:lang w:val="en-US" w:eastAsia="zh-CN" w:bidi="ar-SA"/>
              </w:rPr>
            </w:pPr>
          </w:p>
        </w:tc>
        <w:tc>
          <w:tcPr>
            <w:tcW w:w="2012"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both"/>
              <w:rPr>
                <w:rFonts w:asciiTheme="minorHAnsi" w:hAnsiTheme="minorHAnsi" w:eastAsiaTheme="minorEastAsia" w:cstheme="minorBidi"/>
                <w:kern w:val="2"/>
                <w:sz w:val="28"/>
                <w:szCs w:val="28"/>
                <w:vertAlign w:val="baseline"/>
                <w:lang w:val="en-US" w:eastAsia="zh-CN" w:bidi="ar-SA"/>
              </w:rPr>
            </w:pPr>
          </w:p>
        </w:tc>
        <w:tc>
          <w:tcPr>
            <w:tcW w:w="858" w:type="dxa"/>
            <w:vAlign w:val="center"/>
          </w:tcPr>
          <w:p>
            <w:pPr>
              <w:keepNext w:val="0"/>
              <w:keepLines w:val="0"/>
              <w:widowControl/>
              <w:suppressLineNumbers w:val="0"/>
              <w:jc w:val="center"/>
              <w:textAlignment w:val="center"/>
              <w:rPr>
                <w:rFonts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3.2</w:t>
            </w:r>
          </w:p>
        </w:tc>
        <w:tc>
          <w:tcPr>
            <w:tcW w:w="61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000000"/>
                <w:kern w:val="2"/>
                <w:sz w:val="28"/>
                <w:szCs w:val="28"/>
                <w:u w:val="no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党员组织关系转接</w:t>
            </w:r>
          </w:p>
        </w:tc>
        <w:tc>
          <w:tcPr>
            <w:tcW w:w="1095" w:type="dxa"/>
            <w:vAlign w:val="center"/>
          </w:tcPr>
          <w:p>
            <w:pPr>
              <w:keepNext w:val="0"/>
              <w:keepLines w:val="0"/>
              <w:widowControl/>
              <w:suppressLineNumbers w:val="0"/>
              <w:jc w:val="center"/>
              <w:textAlignment w:val="center"/>
              <w:rPr>
                <w:rFonts w:hint="default" w:asciiTheme="minorHAnsi" w:hAnsiTheme="minorHAnsi" w:eastAsiaTheme="minorEastAsia" w:cstheme="minorBidi"/>
                <w:kern w:val="2"/>
                <w:sz w:val="28"/>
                <w:szCs w:val="28"/>
                <w:vertAlign w:val="baseline"/>
                <w:lang w:val="en-US" w:eastAsia="zh-CN" w:bidi="ar-SA"/>
              </w:rPr>
            </w:pPr>
            <w:r>
              <w:rPr>
                <w:rFonts w:hint="eastAsia" w:ascii="楷体_GB2312" w:hAnsi="宋体" w:eastAsia="楷体_GB2312" w:cs="楷体_GB2312"/>
                <w:i w:val="0"/>
                <w:iCs w:val="0"/>
                <w:color w:val="000000"/>
                <w:kern w:val="0"/>
                <w:sz w:val="28"/>
                <w:szCs w:val="28"/>
                <w:u w:val="none"/>
                <w:lang w:val="en-US" w:eastAsia="zh-CN" w:bidi="ar"/>
              </w:rPr>
              <w:t>17</w:t>
            </w:r>
          </w:p>
        </w:tc>
      </w:tr>
    </w:tbl>
    <w:p/>
    <w:p>
      <w:pPr>
        <w:sectPr>
          <w:pgSz w:w="11906" w:h="16838"/>
          <w:pgMar w:top="720" w:right="720" w:bottom="720" w:left="720" w:header="851" w:footer="992" w:gutter="0"/>
          <w:pgNumType w:fmt="decimal" w:start="1"/>
          <w:cols w:space="425" w:num="1"/>
          <w:docGrid w:type="lines" w:linePitch="312" w:charSpace="0"/>
        </w:sectPr>
      </w:pPr>
    </w:p>
    <w:p/>
    <w:p/>
    <w:p/>
    <w:p>
      <w:pPr>
        <w:ind w:firstLine="880" w:firstLineChars="200"/>
        <w:jc w:val="lef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（城乡居民参加基本医疗保险登记）信息表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8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序号</w:t>
            </w:r>
          </w:p>
        </w:tc>
        <w:tc>
          <w:tcPr>
            <w:tcW w:w="836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名称</w:t>
            </w:r>
          </w:p>
        </w:tc>
        <w:tc>
          <w:tcPr>
            <w:tcW w:w="836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城乡居民参加基本医疗保险登记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法定依据</w:t>
            </w:r>
          </w:p>
        </w:tc>
        <w:tc>
          <w:tcPr>
            <w:tcW w:w="8361" w:type="dxa"/>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1.《天津市基本医疗保险规定》（2012年市人民政府令第49号）第二十七条（五）农村居民以村为单位、其他居民以家庭为单位分别到乡镇、街道劳动保障服务机构办理参保登记。第三十一条 街道、乡镇劳动保障服务机构及其社区、村劳动保障工作机构负责组织居民参保资源调查、参保登记核定及垫付医疗费归集等工作。</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2.《国家医疗保障局财政部国家税务总局关于做好2020年城乡居民基本医疗保障工作的通知》（医保发〔2020〕24号）和《市医保局 市财政局 市人社局 市税务局关于做好2020年城乡居民基本医疗保障工作的通知》（津医保局发〔2020〕69号）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实施机构</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塘沽街党群服务中心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职责边界</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街道办事处权限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运行流程</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受理－审核－打印缴费通知单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运行要件</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1.身份证或户口本</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2.外地人员还需提供天津市居住证原件，儿童提供天津市居住证受理回执</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3.满18岁的在学人员需提供学生证或学籍证明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责任事项</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1.受理居民申请，并接收其报送的相关材料</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2.社区核对申请材料，系统登记居民信息</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3.税务系统缴费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监督方式</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监督电话：022－65771515</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电子邮箱：tgjdqfwzx@tjbh.gov.cn</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来信来访地址：天津市滨海新区塘沽新港港航路21号</w:t>
            </w:r>
          </w:p>
        </w:tc>
      </w:tr>
    </w:tbl>
    <w:p>
      <w:pPr>
        <w:ind w:firstLine="880" w:firstLineChars="200"/>
        <w:jc w:val="lef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（城乡参保居民个人垫付医药费用报销）信息表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8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序号</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名称</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城乡参保居民个人垫付医药费用报销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法定依据</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 天津市人民政府《关于印发天津市城乡居民基本医疗保险规定的通知》（津政发[2009]21号）</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 《国家医疗保障局财政部国家税务总局关于做好2020年城乡居民基本医疗保障工作的通知》（医保发〔2020〕24号）和《市医保局 市财政局 市人社局 市税务局关于做好2020年城乡居民基本医疗保障工作的通知》（津医保局发〔2020〕69号）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实施机构</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天津市社会保险塘沽分中心、塘沽街党群服务中心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职责边界</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天津市社会保险塘沽分中心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运行流程</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受理－录入－上报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运行要件</w:t>
            </w:r>
          </w:p>
        </w:tc>
        <w:tc>
          <w:tcPr>
            <w:tcW w:w="8361" w:type="dxa"/>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1.居民提交报销所需材料</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2.经办人员核对后将票据信息录入系统</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3.上报社险审批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责任事项</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一、急诊留观转住院报销：1.本次留观后的住院票据的复印件；2.连续就医的医保收据（盖现金收讫章、急诊章、门诊全额垫付章）；3.相应的费用明细（药费要有处方）；4.急诊留观的诊断证明（盖医保章，诊断证明章，盖急诊章）。</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二、门(急)诊、门诊特定疾病报销：1.门（急）诊费用收据，明细不全的需补打明细（加盖医院现金收讫章）；2.与票据相对应的费用清单；3.与药费收据相对应的处方底联；4.诊断证明（加盖诊断证明章）（异地急诊人员提供）,必要时提供病历；5.社会保障卡或居民身份证复印件；</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三、住院报销：1.住院收费票据；2.与票据相对应的费用明细清单（不要日清单，要总明细，有红章）；3.住院病案首页、出院记录4.《天津市基本医疗保险转诊转院登记表》（津社保医登字2号）；5.《天津市人力资源和社会保障局转诊转院审核表》；6.必要时提供的相关材料（证明、病历、情况说明等）；7.社会保障卡或居民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监督方式</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监督电话：022－65771515</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电子邮箱：tgjdqfwzx@tjbh.gov.cn</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来信来访地址：天津市滨海新区塘沽新港港航路21号</w:t>
            </w:r>
          </w:p>
        </w:tc>
      </w:tr>
    </w:tbl>
    <w:p>
      <w:pPr>
        <w:ind w:firstLine="880" w:firstLineChars="200"/>
        <w:jc w:val="left"/>
        <w:rPr>
          <w:rFonts w:hint="eastAsia" w:ascii="方正小标宋简体" w:hAnsi="方正小标宋简体" w:eastAsia="方正小标宋简体" w:cs="方正小标宋简体"/>
          <w:sz w:val="44"/>
          <w:szCs w:val="44"/>
        </w:rPr>
      </w:pPr>
    </w:p>
    <w:p>
      <w:pPr>
        <w:ind w:firstLine="880" w:firstLineChars="200"/>
        <w:jc w:val="lef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（城乡居民参加基本养老保险登记）信息表</w:t>
      </w:r>
    </w:p>
    <w:tbl>
      <w:tblPr>
        <w:tblStyle w:val="5"/>
        <w:tblpPr w:leftFromText="180" w:rightFromText="180" w:vertAnchor="text" w:horzAnchor="page" w:tblpX="698" w:tblpY="64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8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序号</w:t>
            </w:r>
          </w:p>
        </w:tc>
        <w:tc>
          <w:tcPr>
            <w:tcW w:w="836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名称</w:t>
            </w:r>
          </w:p>
        </w:tc>
        <w:tc>
          <w:tcPr>
            <w:tcW w:w="836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城乡居民参加基本养老保险登记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法定依据</w:t>
            </w:r>
          </w:p>
        </w:tc>
        <w:tc>
          <w:tcPr>
            <w:tcW w:w="8361"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1.天津市人民政府《关于印发天津市城乡居民基本养老保障规定的通知》（津政发[2009]22号）</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 市人力社保局《关于印发天津市城乡居民基本养老保障经办管理办法的通知》（津人社局发〔2009〕31号）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实施机构</w:t>
            </w:r>
          </w:p>
        </w:tc>
        <w:tc>
          <w:tcPr>
            <w:tcW w:w="8361"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塘沽街党群服务中心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职责边界</w:t>
            </w:r>
          </w:p>
        </w:tc>
        <w:tc>
          <w:tcPr>
            <w:tcW w:w="8361"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街道办事处权限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运行流程</w:t>
            </w:r>
          </w:p>
        </w:tc>
        <w:tc>
          <w:tcPr>
            <w:tcW w:w="8361"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受理－登记－打印缴费通知单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运行要件</w:t>
            </w:r>
          </w:p>
        </w:tc>
        <w:tc>
          <w:tcPr>
            <w:tcW w:w="8361"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身份证或户口本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责任事项</w:t>
            </w:r>
          </w:p>
        </w:tc>
        <w:tc>
          <w:tcPr>
            <w:tcW w:w="8361"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1.申请人携带身份证或户口本到街党群服务中心进行参保登记</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2.通过税务系统打印《天津市社会保险缴费通知单》</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3.申请人到银行缴费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监督方式</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监督电话：022－65771515</w:t>
            </w:r>
          </w:p>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电子邮箱：tgjdqfwzx@tjbh.gov.cn</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来信来访地址：天津市滨海新区塘沽新港港航路21号</w:t>
            </w:r>
          </w:p>
        </w:tc>
      </w:tr>
    </w:tbl>
    <w:p>
      <w:pPr>
        <w:ind w:firstLine="880" w:firstLineChars="200"/>
        <w:jc w:val="left"/>
        <w:rPr>
          <w:rFonts w:hint="eastAsia" w:ascii="方正小标宋简体" w:hAnsi="方正小标宋简体" w:eastAsia="方正小标宋简体" w:cs="方正小标宋简体"/>
          <w:sz w:val="44"/>
          <w:szCs w:val="44"/>
        </w:rPr>
      </w:pPr>
    </w:p>
    <w:p>
      <w:pPr>
        <w:ind w:firstLine="880" w:firstLineChars="200"/>
        <w:jc w:val="left"/>
        <w:rPr>
          <w:rFonts w:hint="eastAsia" w:ascii="方正小标宋简体" w:hAnsi="方正小标宋简体" w:eastAsia="方正小标宋简体" w:cs="方正小标宋简体"/>
          <w:sz w:val="44"/>
          <w:szCs w:val="44"/>
        </w:rPr>
      </w:pPr>
    </w:p>
    <w:p>
      <w:pPr>
        <w:ind w:firstLine="880" w:firstLineChars="200"/>
        <w:jc w:val="left"/>
        <w:rPr>
          <w:rFonts w:hint="eastAsia" w:ascii="方正小标宋简体" w:hAnsi="方正小标宋简体" w:eastAsia="方正小标宋简体" w:cs="方正小标宋简体"/>
          <w:sz w:val="44"/>
          <w:szCs w:val="44"/>
        </w:rPr>
      </w:pPr>
    </w:p>
    <w:p>
      <w:pPr>
        <w:ind w:firstLine="880" w:firstLineChars="200"/>
        <w:jc w:val="lef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（城乡参保居民养老保险待遇审核）信息表</w:t>
      </w:r>
    </w:p>
    <w:p>
      <w:pPr>
        <w:ind w:firstLine="880" w:firstLineChars="200"/>
        <w:jc w:val="left"/>
        <w:rPr>
          <w:rFonts w:hint="eastAsia" w:ascii="方正小标宋简体" w:hAnsi="方正小标宋简体" w:eastAsia="方正小标宋简体" w:cs="方正小标宋简体"/>
          <w:sz w:val="44"/>
          <w:szCs w:val="4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8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序号</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名称</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城乡参保居民养老保险待遇审核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法定依据</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50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1.天津市人民政府《关于印发天津市城乡居民基本养老保障规定的通知》（津政发[2009]22号）</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2.市人力社保局《关于印发天津市城乡居民基本养老保障经办管理办法的通知》（津人社局发〔2009〕31号）</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3.天津市人民政府关于印发天津市城乡居民基本养老保险实施办法的通知（津政发{2014}19号）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实施机构</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50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滨海新区人力资源和社会保障局、天津市社会保险塘沽分中心、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职责边界</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50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塘沽街党群服务中心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运行流程</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50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滨海新区人力资源和社会保障局、天津市社会保险塘沽分中心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运行要件</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500" w:lineRule="exact"/>
              <w:jc w:val="left"/>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受理:申请人年满60周岁当月，且城乡居民养老保险缴费满15年，携带相关材料到街党群服务中心提出申请</w:t>
            </w:r>
          </w:p>
          <w:p>
            <w:pPr>
              <w:keepNext w:val="0"/>
              <w:keepLines w:val="0"/>
              <w:pageBreakBefore w:val="0"/>
              <w:widowControl/>
              <w:suppressLineNumbers w:val="0"/>
              <w:kinsoku/>
              <w:wordWrap/>
              <w:overflowPunct/>
              <w:topLinePunct w:val="0"/>
              <w:autoSpaceDE/>
              <w:autoSpaceDN/>
              <w:bidi w:val="0"/>
              <w:adjustRightInd/>
              <w:snapToGrid w:val="0"/>
              <w:spacing w:line="500" w:lineRule="exact"/>
              <w:jc w:val="left"/>
              <w:textAlignment w:val="center"/>
              <w:rPr>
                <w:rFonts w:hint="default" w:ascii="方正小标宋简体" w:hAnsi="方正小标宋简体" w:eastAsia="方正小标宋简体" w:cs="方正小标宋简体"/>
                <w:sz w:val="32"/>
                <w:szCs w:val="32"/>
                <w:vertAlign w:val="baseline"/>
                <w:lang w:val="en-US"/>
              </w:rPr>
            </w:pPr>
            <w:r>
              <w:rPr>
                <w:rFonts w:hint="eastAsia" w:ascii="仿宋_GB2312" w:hAnsi="宋体" w:eastAsia="仿宋_GB2312" w:cs="仿宋_GB2312"/>
                <w:i w:val="0"/>
                <w:iCs w:val="0"/>
                <w:color w:val="000000"/>
                <w:kern w:val="0"/>
                <w:sz w:val="32"/>
                <w:szCs w:val="32"/>
                <w:u w:val="none"/>
                <w:lang w:val="en-US" w:eastAsia="zh-CN" w:bidi="ar"/>
              </w:rPr>
              <w:t>上报:工作人员核实材料信息齐全无误后到劳动部门和社保经办部门为申请人办理养老保险待遇审核手续，审核合格后由社保经办部门发放养老金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责任事项</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50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1.户口本原件及首页、本人页复印件</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2.身份证原件及复印件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监督方式</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监督电话：022－65771515</w:t>
            </w:r>
          </w:p>
          <w:p>
            <w:pPr>
              <w:keepNext w:val="0"/>
              <w:keepLines w:val="0"/>
              <w:pageBreakBefore w:val="0"/>
              <w:widowControl/>
              <w:suppressLineNumbers w:val="0"/>
              <w:kinsoku/>
              <w:wordWrap/>
              <w:overflowPunct/>
              <w:topLinePunct w:val="0"/>
              <w:autoSpaceDE/>
              <w:autoSpaceDN/>
              <w:bidi w:val="0"/>
              <w:adjustRightInd/>
              <w:snapToGrid w:val="0"/>
              <w:spacing w:line="50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电子邮箱：tgjdqfwzx@tjbh.gov.cn</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来信来访地址：天津市滨海新区塘沽新港港航路21号</w:t>
            </w:r>
          </w:p>
        </w:tc>
      </w:tr>
    </w:tbl>
    <w:p>
      <w:pPr>
        <w:ind w:firstLine="2200" w:firstLineChars="500"/>
        <w:jc w:val="left"/>
        <w:rPr>
          <w:rFonts w:hint="eastAsia" w:ascii="方正小标宋简体" w:hAnsi="方正小标宋简体" w:eastAsia="方正小标宋简体" w:cs="方正小标宋简体"/>
          <w:sz w:val="44"/>
          <w:szCs w:val="44"/>
        </w:rPr>
      </w:pPr>
    </w:p>
    <w:p>
      <w:pPr>
        <w:ind w:firstLine="2200" w:firstLineChars="500"/>
        <w:jc w:val="lef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（社会保障卡申办）信息表</w:t>
      </w:r>
    </w:p>
    <w:p>
      <w:pPr>
        <w:ind w:firstLine="2200" w:firstLineChars="500"/>
        <w:jc w:val="left"/>
        <w:rPr>
          <w:rFonts w:hint="eastAsia" w:ascii="方正小标宋简体" w:hAnsi="方正小标宋简体" w:eastAsia="方正小标宋简体" w:cs="方正小标宋简体"/>
          <w:sz w:val="44"/>
          <w:szCs w:val="4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8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序号</w:t>
            </w:r>
          </w:p>
        </w:tc>
        <w:tc>
          <w:tcPr>
            <w:tcW w:w="836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名称</w:t>
            </w:r>
          </w:p>
        </w:tc>
        <w:tc>
          <w:tcPr>
            <w:tcW w:w="836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社会保障卡申办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法定依据</w:t>
            </w:r>
          </w:p>
        </w:tc>
        <w:tc>
          <w:tcPr>
            <w:tcW w:w="8361"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《关于印发天津市社会保障卡管理试行办法的通知》（津劳社局发【2008】249号）第七条、第八条、第九条、第十条、第十一条、第十二条、第十四条、第十六条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实施机构</w:t>
            </w:r>
          </w:p>
        </w:tc>
        <w:tc>
          <w:tcPr>
            <w:tcW w:w="8361"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塘沽街党群服务中心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职责边界</w:t>
            </w:r>
          </w:p>
        </w:tc>
        <w:tc>
          <w:tcPr>
            <w:tcW w:w="8361"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街道办事处权限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运行流程</w:t>
            </w:r>
          </w:p>
        </w:tc>
        <w:tc>
          <w:tcPr>
            <w:tcW w:w="8361"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受理－登记－提交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运行要件</w:t>
            </w:r>
          </w:p>
        </w:tc>
        <w:tc>
          <w:tcPr>
            <w:tcW w:w="8361"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1.提供本人身份证原件</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2.电子版彩色照片（1寸，JPG格式，90KB以内）</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3.未成年人办理还需提供孩子户口本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责任事项</w:t>
            </w:r>
          </w:p>
        </w:tc>
        <w:tc>
          <w:tcPr>
            <w:tcW w:w="8361"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1.持身份证或户口本进行社保卡信息采集录入</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2.开具即时发卡领取单</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3.银行网点即时制卡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监督方式</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监督电话：022－65771515</w:t>
            </w:r>
          </w:p>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电子邮箱：tgjdqfwzx@tjbh.gov.cn</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来信来访地址：天津市滨海新区塘沽新港港航路21号</w:t>
            </w:r>
          </w:p>
        </w:tc>
      </w:tr>
    </w:tbl>
    <w:p>
      <w:pPr>
        <w:ind w:firstLine="2200" w:firstLineChars="500"/>
        <w:jc w:val="left"/>
        <w:rPr>
          <w:rFonts w:hint="eastAsia" w:ascii="方正小标宋简体" w:hAnsi="方正小标宋简体" w:eastAsia="方正小标宋简体" w:cs="方正小标宋简体"/>
          <w:sz w:val="44"/>
          <w:szCs w:val="44"/>
        </w:rPr>
      </w:pPr>
    </w:p>
    <w:p>
      <w:pPr>
        <w:ind w:firstLine="2200" w:firstLineChars="500"/>
        <w:jc w:val="left"/>
        <w:rPr>
          <w:rFonts w:hint="eastAsia" w:ascii="方正小标宋简体" w:hAnsi="方正小标宋简体" w:eastAsia="方正小标宋简体" w:cs="方正小标宋简体"/>
          <w:sz w:val="44"/>
          <w:szCs w:val="44"/>
        </w:rPr>
      </w:pPr>
    </w:p>
    <w:p>
      <w:pPr>
        <w:ind w:firstLine="1320" w:firstLineChars="300"/>
        <w:jc w:val="lef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（申请灵活就业社会保险补贴）信息表</w:t>
      </w:r>
    </w:p>
    <w:p>
      <w:pPr>
        <w:ind w:firstLine="1320" w:firstLineChars="300"/>
        <w:jc w:val="left"/>
        <w:rPr>
          <w:rFonts w:hint="eastAsia" w:ascii="方正小标宋简体" w:hAnsi="方正小标宋简体" w:eastAsia="方正小标宋简体" w:cs="方正小标宋简体"/>
          <w:sz w:val="44"/>
          <w:szCs w:val="4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8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序号</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名称</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申请灵活就业社会保险补贴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法定依据</w:t>
            </w:r>
          </w:p>
        </w:tc>
        <w:tc>
          <w:tcPr>
            <w:tcW w:w="8361" w:type="dxa"/>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top"/>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市人社局关于做好就业困难人员灵活就业社会保险补贴有关工作的通知（津人社规字〔2020〕89号），街道党群服务中心对申请人的基本情况进行核实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实施机构</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滨海新区人力资源和社会保障局、塘沽街党群服务中心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职责边界</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滨海新区人力资源和社会保障局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运行流程</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受理－核查－上报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运行要件</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1.《天津市困难人员情况认定表》；</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 xml:space="preserve">2.身份证复印件  </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3.户口本首页和本人页复印件</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4.《就业失业登记证》的原件</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5.《灵活就业证明》、营业执照复印件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责任事项</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1.市区认定为困难人员后，街党群服务中心做帮扶</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2.社区工作人员通知失业人员填写灵活就业登记表和帮扶表，并携带相关材料来街党群服务中心做灵活就业登记，并上报区人社局审批</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3.审批合格后，由街劳动保障服务中心工作人员按照相关政策做好灵活就业补贴，通知失业人员并帮其做好后续工作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监督方式</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监督电话：022－65771515</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电子邮箱：tgjdqfwzx@tjbh.gov.cn</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来信来访地址：天津市滨海新区塘沽新港港航路21号</w:t>
            </w:r>
          </w:p>
        </w:tc>
      </w:tr>
    </w:tbl>
    <w:p>
      <w:pPr>
        <w:keepNext w:val="0"/>
        <w:keepLines w:val="0"/>
        <w:pageBreakBefore w:val="0"/>
        <w:widowControl w:val="0"/>
        <w:kinsoku/>
        <w:wordWrap/>
        <w:overflowPunct/>
        <w:topLinePunct w:val="0"/>
        <w:autoSpaceDE/>
        <w:autoSpaceDN/>
        <w:bidi w:val="0"/>
        <w:adjustRightInd/>
        <w:snapToGrid/>
        <w:spacing w:line="640" w:lineRule="exact"/>
        <w:ind w:left="3957" w:leftChars="627" w:hanging="2640" w:hangingChars="600"/>
        <w:jc w:val="left"/>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（城乡居民和灵活就业人员代办征收社会</w:t>
      </w:r>
    </w:p>
    <w:p>
      <w:pPr>
        <w:keepNext w:val="0"/>
        <w:keepLines w:val="0"/>
        <w:pageBreakBefore w:val="0"/>
        <w:widowControl w:val="0"/>
        <w:kinsoku/>
        <w:wordWrap/>
        <w:overflowPunct/>
        <w:topLinePunct w:val="0"/>
        <w:autoSpaceDE/>
        <w:autoSpaceDN/>
        <w:bidi w:val="0"/>
        <w:adjustRightInd/>
        <w:snapToGrid/>
        <w:spacing w:line="640" w:lineRule="exact"/>
        <w:ind w:left="3950" w:leftChars="1881" w:firstLine="0" w:firstLineChars="0"/>
        <w:jc w:val="left"/>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保险费）信息表</w:t>
      </w:r>
    </w:p>
    <w:p>
      <w:pPr>
        <w:keepNext w:val="0"/>
        <w:keepLines w:val="0"/>
        <w:pageBreakBefore w:val="0"/>
        <w:widowControl w:val="0"/>
        <w:kinsoku/>
        <w:wordWrap/>
        <w:overflowPunct/>
        <w:topLinePunct w:val="0"/>
        <w:autoSpaceDE/>
        <w:autoSpaceDN/>
        <w:bidi w:val="0"/>
        <w:adjustRightInd/>
        <w:snapToGrid/>
        <w:spacing w:line="640" w:lineRule="exact"/>
        <w:ind w:left="3950" w:leftChars="1881" w:firstLine="0" w:firstLineChars="0"/>
        <w:jc w:val="left"/>
        <w:textAlignment w:val="auto"/>
        <w:rPr>
          <w:rFonts w:hint="eastAsia" w:ascii="方正小标宋简体" w:hAnsi="方正小标宋简体" w:eastAsia="方正小标宋简体" w:cs="方正小标宋简体"/>
          <w:sz w:val="44"/>
          <w:szCs w:val="4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8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序号</w:t>
            </w:r>
          </w:p>
        </w:tc>
        <w:tc>
          <w:tcPr>
            <w:tcW w:w="836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名称</w:t>
            </w:r>
          </w:p>
        </w:tc>
        <w:tc>
          <w:tcPr>
            <w:tcW w:w="836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城乡居民和灵活就业人员代办征收社会保险费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法定依据</w:t>
            </w:r>
          </w:p>
        </w:tc>
        <w:tc>
          <w:tcPr>
            <w:tcW w:w="8361"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 《市人力社保局关于社会保险经办业务下沉街道（乡镇）有关问题的通知》（津人社办发[2016]179号）</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2.国家税务总局天津市税务局 天津市人力资源和社会保障局 天津市医疗保障局关于城乡居民社会保险费交由税务机关征收的公告（2018年第29号）</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3.天津市人力资源和社会保障局 国家税务局总局天津市税务局 天津市医疗保障局 天津市财政局关于企业社会保险交由税务部门征收（津人社局发（2020）23号）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实施机构</w:t>
            </w:r>
          </w:p>
        </w:tc>
        <w:tc>
          <w:tcPr>
            <w:tcW w:w="8361"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塘沽街党群服务中心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职责边界</w:t>
            </w:r>
          </w:p>
        </w:tc>
        <w:tc>
          <w:tcPr>
            <w:tcW w:w="8361"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街道办事处权限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运行流程</w:t>
            </w:r>
          </w:p>
        </w:tc>
        <w:tc>
          <w:tcPr>
            <w:tcW w:w="8361"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受理－核查－打印缴费通知单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运行要件</w:t>
            </w:r>
          </w:p>
        </w:tc>
        <w:tc>
          <w:tcPr>
            <w:tcW w:w="8361"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责任事项</w:t>
            </w:r>
          </w:p>
        </w:tc>
        <w:tc>
          <w:tcPr>
            <w:tcW w:w="8361"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1.携带身份证原件到街党群服务中心打印《天津市社会保险缴费通知单》</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2.参保人到银行缴费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监督方式</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监督电话：022－65771515</w:t>
            </w:r>
          </w:p>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电子邮箱：tgjdqfwzx@tjbh.gov.cn</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来信来访地址：天津市滨海新区塘沽新港港航路21号</w:t>
            </w:r>
          </w:p>
        </w:tc>
      </w:tr>
    </w:tbl>
    <w:p>
      <w:pPr>
        <w:jc w:val="lef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（因病支出型困难家庭和重特大疾病医疗救助）信息表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8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序号</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名称</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因病支出型困难家庭和重特大疾病医疗救助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法定依据</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1.《市医保局市民政局市财政局关于完善因病支出型困难家庭医疗救助有关问题的通知》（津医保局发〔2019〕73号）</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2.《市医保局等五部门关于做好重特大疾病医疗救助有关工作的通知》（津医保局发〔2020〕47号）</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3.《市医保局等七部门关于进一步做好职能划转后医疗救助有关工作的通知》（津医保发〔2019〕29号）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实施机构</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区医保局、区民政局、区财政局、塘沽街党群服务中心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职责边界</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区医保局、区民政局、区财政局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运行流程</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受理－录入-上报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运行要件</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1.因病支出型困难家庭医疗救助：1）天津市社会救助家庭经济状况核对报告 2）申请 3）情况说明 4）申请人身份证正反复印件 5）户口本首页、户主页、本人页、申请人子女页 6）就失业证复印件 7）离婚协议/民事调解书 8）银行卡的复印件</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 重特大疾病医疗救助：根据上级部门下发数据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责任事项</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1.因病支出型困难家庭医疗救助：相关业务人员经过核查平台系统的核查之后，由居民所在社区相关业务窗口提交到街道，核查无误后进行平台信息录入，报医保局审批。</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2.重特大疾病医疗救助：由医保局下发数据至街道，再由街道相关业务人员经过核查平台系统的核查之后，进行平台信息录入，报医保局审批。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监督方式</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监督电话：022－65771515</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电子邮箱：tgjdqfwzx@tjbh.gov.cn</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来信来访地址：天津市滨海新区塘沽新港港航路21号</w:t>
            </w:r>
          </w:p>
        </w:tc>
      </w:tr>
    </w:tbl>
    <w:p>
      <w:pPr>
        <w:ind w:firstLine="1320" w:firstLineChars="300"/>
        <w:jc w:val="lef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（国有企业退休人员社会化管理）信息表</w:t>
      </w:r>
    </w:p>
    <w:tbl>
      <w:tblPr>
        <w:tblStyle w:val="5"/>
        <w:tblpPr w:leftFromText="180" w:rightFromText="180" w:vertAnchor="text" w:horzAnchor="page" w:tblpX="724" w:tblpY="46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8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序号</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名称</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国有企业退休人员社会化管理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法定依据</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1.《中共天津市委 天津市人民政府关于进一步深化国有企业改革的实施意见》（津党发〔2017〕5号）《天津市国有企业退休人员档案转移接受办法》（津人社发〔2019〕35号）《关于做好国企退休人员常态化移交社会化管理工作的通知》（津国企退休办〔2021〕1号）《解决突出问题扎实做好国企退休人员社会化管理工作整改方案》（津国企退休办〔2021〕2号）《滨海新区国有企业退休人员社会化管理工作指引》（津滨国资发〔2021〕6号）</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2.《关于做好国企退休人员常态化移交社会化管理工作的通知》（津国企退休办〔2021〕1号）《滨海新区国有企业退休人员社会化管理工作指引》（津滨国资发〔2021〕6号）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实施机构</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塘沽社保分中心、塘沽街党群服务中心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职责边界</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塘沽社保分中心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运行流程</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受理－录入－上报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运行要件</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1、医保   （1）住院：1）收据 ；2）住院病案首页；3）出院记录/出院小结；4）明细</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（2）门诊：1）收据及明细；2）药品费的处方笺；3）必要时需要诊断证明</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2、社保     （1）身份证原件复印件；（2）户口本原件复印件；（3）死亡凭证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责任事项</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1、医保：1）垫付药费报销：由国有企业退休人员申报材料-二期网登记-查询医保卡状态-收件-录入-上报塘沽社险分中心；</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 xml:space="preserve">2、社保：1）查询退休人员相关保险信息；2）退休人员去世领取丧葬费的申报。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监督方式</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监督电话：022－65771515</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电子邮箱：tgjdqfwzx@tjbh.gov.cn</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来信来访地址：天津市滨海新区塘沽新港港航路21号</w:t>
            </w:r>
          </w:p>
        </w:tc>
      </w:tr>
    </w:tbl>
    <w:p>
      <w:pPr>
        <w:ind w:firstLine="3520" w:firstLineChars="800"/>
        <w:jc w:val="lef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（就业援助）信息表</w:t>
      </w:r>
    </w:p>
    <w:tbl>
      <w:tblPr>
        <w:tblStyle w:val="5"/>
        <w:tblpPr w:leftFromText="180" w:rightFromText="180" w:vertAnchor="text" w:horzAnchor="page" w:tblpX="780" w:tblpY="39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8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序号</w:t>
            </w:r>
          </w:p>
        </w:tc>
        <w:tc>
          <w:tcPr>
            <w:tcW w:w="836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名称</w:t>
            </w:r>
          </w:p>
        </w:tc>
        <w:tc>
          <w:tcPr>
            <w:tcW w:w="836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就业援助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法定依据</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市人社局关于印发《天津市就业困难人员认定办法（试行）》的通知（津人社规字〔2020〕1号）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实施机构</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滨海新区人力资源和社会保障局、塘沽街党群服务中心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职责边界</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天津市人力资源和社会保障局、滨海新区人力资源和社会保障局、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运行流程</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受理－核查－上报－认定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运行要件</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1.登记申请：《职业介绍登记表》、申请人的相关证件复印件等材料、营业执照副本复印件等</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2.公示材料：《天津市就业困难人员认定公示单》、公示照片远景、近景照片</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3.认定审批材料：《天津市就业困难人员认定情况表》、《申请认定就业困难人员承诺书》、《就失业证》、申请人的相关证件复印件等材料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责任事项</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1.申请人携带相关材料到居住地社区提出申请</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2.社区初审上报街党群服务中心</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3.街党群服务中心网上做登记，上报区人社局</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4.市人社局审批下发街党群服务中心并做就业帮扶。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监督方式</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监督电话：022－65771515</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电子邮箱：tgjdqfwzx@tjbh.gov.cn</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来信来访地址：天津市滨海新区塘沽新港港航路21号</w:t>
            </w:r>
          </w:p>
        </w:tc>
      </w:tr>
    </w:tbl>
    <w:p>
      <w:pPr>
        <w:ind w:firstLine="3520" w:firstLineChars="800"/>
        <w:jc w:val="left"/>
        <w:rPr>
          <w:rFonts w:hint="eastAsia" w:ascii="方正小标宋简体" w:hAnsi="方正小标宋简体" w:eastAsia="方正小标宋简体" w:cs="方正小标宋简体"/>
          <w:sz w:val="44"/>
          <w:szCs w:val="44"/>
        </w:rPr>
      </w:pPr>
    </w:p>
    <w:p>
      <w:pPr>
        <w:ind w:firstLine="3520" w:firstLineChars="800"/>
        <w:jc w:val="left"/>
        <w:rPr>
          <w:rFonts w:hint="eastAsia" w:ascii="方正小标宋简体" w:hAnsi="方正小标宋简体" w:eastAsia="方正小标宋简体" w:cs="方正小标宋简体"/>
          <w:sz w:val="44"/>
          <w:szCs w:val="44"/>
        </w:rPr>
      </w:pPr>
    </w:p>
    <w:p>
      <w:pPr>
        <w:ind w:firstLine="2640" w:firstLineChars="600"/>
        <w:jc w:val="lef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（失业保险金申领）信息表</w:t>
      </w:r>
    </w:p>
    <w:tbl>
      <w:tblPr>
        <w:tblStyle w:val="5"/>
        <w:tblpPr w:leftFromText="180" w:rightFromText="180" w:vertAnchor="text" w:horzAnchor="page" w:tblpX="698" w:tblpY="36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8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序号</w:t>
            </w:r>
          </w:p>
        </w:tc>
        <w:tc>
          <w:tcPr>
            <w:tcW w:w="836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名称</w:t>
            </w:r>
          </w:p>
        </w:tc>
        <w:tc>
          <w:tcPr>
            <w:tcW w:w="836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失业保险金申领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法定依据</w:t>
            </w:r>
          </w:p>
        </w:tc>
        <w:tc>
          <w:tcPr>
            <w:tcW w:w="8361"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天津市失业保险条例》第十六条，失业人员应自终止或解除劳动合同之日起60日内持《就失业证》、身份证和《失业保险申领资格确认通知》到户籍所在地的区（县）失业保险管理部门办理申领失业保险金手续</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2.《中华人民共和国劳动和社会保障部令【第8号】》之《失业保险金申领发放办法》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实施机构</w:t>
            </w:r>
          </w:p>
        </w:tc>
        <w:tc>
          <w:tcPr>
            <w:tcW w:w="8361"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滨海新区人力资源和社会保障局、塘沽街党群服务中心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职责边界</w:t>
            </w:r>
          </w:p>
        </w:tc>
        <w:tc>
          <w:tcPr>
            <w:tcW w:w="8361"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滨海新区人力资源和社会保障局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运行流程</w:t>
            </w:r>
          </w:p>
        </w:tc>
        <w:tc>
          <w:tcPr>
            <w:tcW w:w="8361"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受理－登记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运行要件</w:t>
            </w:r>
          </w:p>
        </w:tc>
        <w:tc>
          <w:tcPr>
            <w:tcW w:w="8361"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1.就失业证</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责任事项</w:t>
            </w:r>
          </w:p>
        </w:tc>
        <w:tc>
          <w:tcPr>
            <w:tcW w:w="8361"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两种领取方式：</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1.每月5-25日期间使用天津人力社保APP进行申领</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2.每月5-20日之间当事人持本人身份证就失业证前往大厅业务窗口签字申领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监督方式</w:t>
            </w:r>
          </w:p>
        </w:tc>
        <w:tc>
          <w:tcPr>
            <w:tcW w:w="8361"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监督电话：022－65771515</w:t>
            </w:r>
          </w:p>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电子邮箱：tgjdqfwzx@tjbh.gov.cn</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来信来访地址：天津市滨海新区塘沽新港港航路21号</w:t>
            </w:r>
          </w:p>
        </w:tc>
      </w:tr>
    </w:tbl>
    <w:p>
      <w:pPr>
        <w:ind w:firstLine="2640" w:firstLineChars="600"/>
        <w:jc w:val="left"/>
        <w:rPr>
          <w:rFonts w:hint="eastAsia" w:ascii="方正小标宋简体" w:hAnsi="方正小标宋简体" w:eastAsia="方正小标宋简体" w:cs="方正小标宋简体"/>
          <w:sz w:val="44"/>
          <w:szCs w:val="44"/>
        </w:rPr>
      </w:pPr>
    </w:p>
    <w:p>
      <w:pPr>
        <w:ind w:firstLine="2640" w:firstLineChars="600"/>
        <w:jc w:val="lef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（创业小额担保贷款）信息表</w:t>
      </w:r>
    </w:p>
    <w:tbl>
      <w:tblPr>
        <w:tblStyle w:val="5"/>
        <w:tblpPr w:leftFromText="180" w:rightFromText="180" w:vertAnchor="text" w:horzAnchor="page" w:tblpX="758" w:tblpY="4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2"/>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序号</w:t>
            </w:r>
          </w:p>
        </w:tc>
        <w:tc>
          <w:tcPr>
            <w:tcW w:w="876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名称</w:t>
            </w:r>
          </w:p>
        </w:tc>
        <w:tc>
          <w:tcPr>
            <w:tcW w:w="8760"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创业小额担保贷款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法定依据</w:t>
            </w:r>
          </w:p>
        </w:tc>
        <w:tc>
          <w:tcPr>
            <w:tcW w:w="876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1.《就业促进法》第十五条国家实行有利于促进就业的财政政策，加大资金投入，改善就业环境，扩大就业</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2.《关于进一步改进小额担保贷款管理积极推动创业带动就业的意见》（津银发【2013】93号）</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3.《天津市滨海新区自主创业小额担保贷款实施方案》（津滨政办发【2014】103号）</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4.津滨人社发【2020】4号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实施机构</w:t>
            </w:r>
          </w:p>
        </w:tc>
        <w:tc>
          <w:tcPr>
            <w:tcW w:w="876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滨海新区人力资源和社会保障局、塘沽街党群服务中心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职责边界</w:t>
            </w:r>
          </w:p>
        </w:tc>
        <w:tc>
          <w:tcPr>
            <w:tcW w:w="876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滨海新区人力资源和社会保障局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运行流程</w:t>
            </w:r>
          </w:p>
        </w:tc>
        <w:tc>
          <w:tcPr>
            <w:tcW w:w="876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受理－核查－上报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运行要件</w:t>
            </w:r>
          </w:p>
        </w:tc>
        <w:tc>
          <w:tcPr>
            <w:tcW w:w="876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填写《天津市滨海新区小额担保贷款申请审批表》，贷款人及其配偶提供：身份证、户口本（外地人居住证）、营业执照、双方结婚证（离婚证和离婚协议或法院判决书）、实际经营地点产权证明（原件或复印件）和租赁合同、就失业证</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2.贷款人年龄要求：法定劳动年龄内，且未办理领取养老金手续。</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3.担保人：身份证、户口本（本市户籍）、单位证明、连续一年以上公积金流水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责任事项</w:t>
            </w:r>
          </w:p>
        </w:tc>
        <w:tc>
          <w:tcPr>
            <w:tcW w:w="876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1.申请人向经营地所属街镇人力社保业务经办部门提出申请</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2.街镇人力社保经办部门工作人员收取相关材料并核实</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3.核实后出具《小额担保贷款项目审查报告》,报送至滨海新区公共就业服务中心创业担保窗口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监督方式</w:t>
            </w:r>
          </w:p>
        </w:tc>
        <w:tc>
          <w:tcPr>
            <w:tcW w:w="876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监督电话：022－65771515</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电子邮箱：tgjdqfwzx@tjbh.gov.cn</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来信来访地址：天津市滨海新区塘沽新港港航路21号</w:t>
            </w:r>
          </w:p>
        </w:tc>
      </w:tr>
    </w:tbl>
    <w:p>
      <w:pPr>
        <w:ind w:firstLine="2640" w:firstLineChars="600"/>
        <w:jc w:val="lef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（稳岗补贴）信息表</w:t>
      </w:r>
    </w:p>
    <w:tbl>
      <w:tblPr>
        <w:tblStyle w:val="5"/>
        <w:tblpPr w:leftFromText="180" w:rightFromText="180" w:vertAnchor="text" w:horzAnchor="page" w:tblpX="758" w:tblpY="4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2"/>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序号</w:t>
            </w:r>
          </w:p>
        </w:tc>
        <w:tc>
          <w:tcPr>
            <w:tcW w:w="8760"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名称</w:t>
            </w:r>
          </w:p>
        </w:tc>
        <w:tc>
          <w:tcPr>
            <w:tcW w:w="8760"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稳岗补贴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法定依据</w:t>
            </w:r>
          </w:p>
        </w:tc>
        <w:tc>
          <w:tcPr>
            <w:tcW w:w="876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津人社局发【2020】6号、津就组字[2020]2号、津人社办发[2020]73号、津人社办发【2020】57号、津人社办发【2020】42号、《市人力社保局财政局关于印发促进大学生就业创业扶持政策的通知》（津人社规字〔2018〕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实施机构</w:t>
            </w:r>
          </w:p>
        </w:tc>
        <w:tc>
          <w:tcPr>
            <w:tcW w:w="876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滨海新区人力资源和社会保障局、塘沽街党群服务中心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职责边界</w:t>
            </w:r>
          </w:p>
        </w:tc>
        <w:tc>
          <w:tcPr>
            <w:tcW w:w="876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滨海新区人力资源和社会保障局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运行流程</w:t>
            </w:r>
          </w:p>
        </w:tc>
        <w:tc>
          <w:tcPr>
            <w:tcW w:w="876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受理－核查－上报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运行要件</w:t>
            </w:r>
          </w:p>
        </w:tc>
        <w:tc>
          <w:tcPr>
            <w:tcW w:w="876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 企业吸纳高校毕业生社补、岗补申报：企业：营业执照复印件（副本）、《小微企业划型承诺书》、上一年度财务报表、《社保、岗位补贴申报表》、《申报花名册》、体现社保缴费比例的《天津市社会保险综合业务处理单》、工资发放明细（享受岗位补贴期间提供）、《基本存款账户信息》。吸纳人员：教育部学籍在线验证报告（学信网）、毕业证书复印件、身份证复印件、户口本首页及本人页复印件（外省市高校毕业提供）等。</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2.企业一次性吸纳高校毕业生就业补贴申报：申请表、营业执照复印件、法人身份证复印件、吸纳人员身份证复印件、学历证书复印件及教育部学籍/学历在线验证报告。</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3.企业一次性吸纳农民工就业补贴申报：申请表、明细表、营业执照复印件、法人身份证复印件、农民工身份证明（身份证、户口本复印件或土地承包证明）。</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4.大学生创业房租补贴：教育部学籍在线验证报告、毕业证书复印件、法定代表人（个体工商户经营者）身份证复印件营业执照复印件（副本）、房屋租赁合同、房屋产权证（所有权证）复印、《天津市创业房租补贴资格登记表》、《天津市创业房租补贴申请表》、房屋租赁费发票、生产经营凭证、纳税证明等。</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5.大学生、农籍一次性创业补贴申报：《创业人员一次性创业补贴申请表》、企业营业执照复印件、大学生创业证需提供教育部学籍在线验证报告复印件。</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6.高校毕业生灵活就业补贴：《高校毕业生灵活就业社会保险补贴申请表》、申请人身份证复印件、灵活就业在职证明（个体工商户营业执照）、毕业证书及学位证书复印件、教育部学籍/学历在线验证报告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责任事项</w:t>
            </w:r>
          </w:p>
        </w:tc>
        <w:tc>
          <w:tcPr>
            <w:tcW w:w="876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1.企业吸纳高校毕业生社补、岗补申报：企业向经营地所在街镇人力社保业务经办部门提出申请，街镇人社人社部门初审，出具审核意见上报区人社部门，经审符合条件的，区人社局将资金拨付到企业。</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2.企业一次性吸纳高校毕业生就业补贴申报：街道初审材料合格后盖章上报区人力资源部门。</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3.企业一次性吸纳农民工就业补贴申报：街道初审材料合格后盖章上报区人力资源部门。</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4.大学生创业房租补贴：创业资格确认后向租赁房屋坐落地所属街镇人力社保业务经办部门申请资格确认，街镇人力社保业务员经办部门对材料进行审查核实，核查合格的，区人社局经办部门进行公式。补贴申报：创业者进行房租补贴申报。区人社局经办部门核定补贴标准，将资金拨付到企业银行账户。</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5.大学生、农籍一次性创业补贴申报：符合条件的创业人员向注册地所在街镇人力社保业务经办部门提出申请，街镇人力社保业务经办部门进行材料核查，报区人社局经办部门并告知申请人，经审符合条件的，区人社局将资金拨付到企业。</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6.高校毕业生灵活就业补贴：登记申请--认定--灵活就业--通知申请人领取《补贴证明》--缴费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监督方式</w:t>
            </w:r>
          </w:p>
        </w:tc>
        <w:tc>
          <w:tcPr>
            <w:tcW w:w="8760"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监督电话：022－65771515</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电子邮箱：tgjdqfwzx@tjbh.gov.cn</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来信来访地址：天津市滨海新区塘沽新港港航路21号</w:t>
            </w:r>
          </w:p>
        </w:tc>
      </w:tr>
    </w:tbl>
    <w:p>
      <w:pPr>
        <w:ind w:firstLine="2640" w:firstLineChars="600"/>
        <w:jc w:val="lef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（就业创业证办理）信息表</w:t>
      </w:r>
    </w:p>
    <w:tbl>
      <w:tblPr>
        <w:tblStyle w:val="5"/>
        <w:tblpPr w:leftFromText="180" w:rightFromText="180" w:vertAnchor="text" w:horzAnchor="page" w:tblpX="668" w:tblpY="4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2"/>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序号</w:t>
            </w:r>
          </w:p>
        </w:tc>
        <w:tc>
          <w:tcPr>
            <w:tcW w:w="876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名称</w:t>
            </w:r>
          </w:p>
        </w:tc>
        <w:tc>
          <w:tcPr>
            <w:tcW w:w="876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就业创业证办理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法定依据</w:t>
            </w:r>
          </w:p>
        </w:tc>
        <w:tc>
          <w:tcPr>
            <w:tcW w:w="8760"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 xml:space="preserve">1.《就业促进条例》第19条规定：劳动行政部门应当建立健全就业登记和失业登记制度，完善就业管理和失业管理。公共就业服务机构负责就业登记和失业登记工作，向劳动者免费发放就失业证。      </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2.《市人社局关于规范就失业登记管理有关问题的通知》津人社发【2020】91号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实施机构</w:t>
            </w:r>
          </w:p>
        </w:tc>
        <w:tc>
          <w:tcPr>
            <w:tcW w:w="8760"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滨海新区人力资源和社会保障局、塘沽街党群服务中心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职责边界</w:t>
            </w:r>
          </w:p>
        </w:tc>
        <w:tc>
          <w:tcPr>
            <w:tcW w:w="8760"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滨海新区人力资源和社会保障局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运行流程</w:t>
            </w:r>
          </w:p>
        </w:tc>
        <w:tc>
          <w:tcPr>
            <w:tcW w:w="8760"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受理－录入－提交－发放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运行要件</w:t>
            </w:r>
          </w:p>
        </w:tc>
        <w:tc>
          <w:tcPr>
            <w:tcW w:w="8760"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 身份证、户口本、学历证原件</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 外地人需提供天津市居住证或居住证回执</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3.2寸彩色照片1张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责任事项</w:t>
            </w:r>
          </w:p>
        </w:tc>
        <w:tc>
          <w:tcPr>
            <w:tcW w:w="8760"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 持有效身份证件到户籍地或常驻地的街道党群服务中心填写《失业人员登记表》</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 审核相关材料</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3. 录入系统，打印《就业失业登记证》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监督方式</w:t>
            </w:r>
          </w:p>
        </w:tc>
        <w:tc>
          <w:tcPr>
            <w:tcW w:w="8760"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监督电话：022－65771515</w:t>
            </w:r>
          </w:p>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电子邮箱：tgjdqfwzx@tjbh.gov.cn</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来信来访地址：天津市滨海新区塘沽新港港航路21号</w:t>
            </w:r>
          </w:p>
        </w:tc>
      </w:tr>
    </w:tbl>
    <w:p>
      <w:pPr>
        <w:ind w:firstLine="2640" w:firstLineChars="600"/>
        <w:jc w:val="left"/>
        <w:rPr>
          <w:rFonts w:hint="eastAsia" w:ascii="方正小标宋简体" w:hAnsi="方正小标宋简体" w:eastAsia="方正小标宋简体" w:cs="方正小标宋简体"/>
          <w:sz w:val="44"/>
          <w:szCs w:val="44"/>
        </w:rPr>
      </w:pPr>
    </w:p>
    <w:p>
      <w:pPr>
        <w:ind w:firstLine="3520" w:firstLineChars="800"/>
        <w:jc w:val="lef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（滨海通办）信息表</w:t>
      </w:r>
    </w:p>
    <w:tbl>
      <w:tblPr>
        <w:tblStyle w:val="5"/>
        <w:tblpPr w:leftFromText="180" w:rightFromText="180" w:vertAnchor="text" w:horzAnchor="page" w:tblpX="698" w:tblpY="5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2"/>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序号</w:t>
            </w:r>
          </w:p>
        </w:tc>
        <w:tc>
          <w:tcPr>
            <w:tcW w:w="876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名称</w:t>
            </w:r>
          </w:p>
        </w:tc>
        <w:tc>
          <w:tcPr>
            <w:tcW w:w="876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滨海通办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法定依据</w:t>
            </w:r>
          </w:p>
        </w:tc>
        <w:tc>
          <w:tcPr>
            <w:tcW w:w="8760"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《区政务服务办区委组织部区委街镇工委关于印发便民服务事项滨海通办实施方案的通知》津滨政务发【2020】20号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实施机构</w:t>
            </w:r>
          </w:p>
        </w:tc>
        <w:tc>
          <w:tcPr>
            <w:tcW w:w="8760"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滨海新区政务服务办、塘沽街党群服务中心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职责边界</w:t>
            </w:r>
          </w:p>
        </w:tc>
        <w:tc>
          <w:tcPr>
            <w:tcW w:w="8760"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滨海新区政务服务办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运行流程</w:t>
            </w:r>
          </w:p>
        </w:tc>
        <w:tc>
          <w:tcPr>
            <w:tcW w:w="8760"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受理－录入－提交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运行要件</w:t>
            </w:r>
          </w:p>
        </w:tc>
        <w:tc>
          <w:tcPr>
            <w:tcW w:w="8760"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身份证、户口本、照片等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责任事项</w:t>
            </w:r>
          </w:p>
        </w:tc>
        <w:tc>
          <w:tcPr>
            <w:tcW w:w="8760"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1.申请人登录天津政务帮办平台填写个人信息并上传附件</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2.工作人员核查后给予办理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监督方式</w:t>
            </w:r>
          </w:p>
        </w:tc>
        <w:tc>
          <w:tcPr>
            <w:tcW w:w="8760"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监督电话：022－65771515</w:t>
            </w:r>
          </w:p>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电子邮箱：tgjdqfwzx@tjbh.gov.cn</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来信来访地址：天津市滨海新区塘沽新港港航路21号</w:t>
            </w:r>
          </w:p>
        </w:tc>
      </w:tr>
    </w:tbl>
    <w:p>
      <w:pPr>
        <w:ind w:firstLine="3520" w:firstLineChars="800"/>
        <w:jc w:val="left"/>
        <w:rPr>
          <w:rFonts w:hint="eastAsia" w:ascii="方正小标宋简体" w:hAnsi="方正小标宋简体" w:eastAsia="方正小标宋简体" w:cs="方正小标宋简体"/>
          <w:sz w:val="44"/>
          <w:szCs w:val="44"/>
        </w:rPr>
      </w:pPr>
    </w:p>
    <w:p>
      <w:pPr>
        <w:ind w:firstLine="2640" w:firstLineChars="600"/>
        <w:jc w:val="left"/>
        <w:rPr>
          <w:rFonts w:hint="eastAsia" w:ascii="方正小标宋简体" w:hAnsi="方正小标宋简体" w:eastAsia="方正小标宋简体" w:cs="方正小标宋简体"/>
          <w:sz w:val="44"/>
          <w:szCs w:val="44"/>
        </w:rPr>
      </w:pPr>
    </w:p>
    <w:p>
      <w:pPr>
        <w:ind w:firstLine="2640" w:firstLineChars="600"/>
        <w:jc w:val="left"/>
        <w:rPr>
          <w:rFonts w:hint="eastAsia" w:ascii="方正小标宋简体" w:hAnsi="方正小标宋简体" w:eastAsia="方正小标宋简体" w:cs="方正小标宋简体"/>
          <w:sz w:val="44"/>
          <w:szCs w:val="44"/>
        </w:rPr>
      </w:pPr>
    </w:p>
    <w:p>
      <w:pPr>
        <w:ind w:firstLine="2640" w:firstLineChars="600"/>
        <w:jc w:val="left"/>
        <w:rPr>
          <w:rFonts w:hint="eastAsia" w:ascii="方正小标宋简体" w:hAnsi="方正小标宋简体" w:eastAsia="方正小标宋简体" w:cs="方正小标宋简体"/>
          <w:sz w:val="44"/>
          <w:szCs w:val="44"/>
        </w:rPr>
      </w:pPr>
    </w:p>
    <w:p>
      <w:pPr>
        <w:ind w:firstLine="2640" w:firstLineChars="600"/>
        <w:jc w:val="lef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（党员组织关系转接）信息表</w:t>
      </w:r>
    </w:p>
    <w:tbl>
      <w:tblPr>
        <w:tblStyle w:val="5"/>
        <w:tblpPr w:leftFromText="180" w:rightFromText="180" w:vertAnchor="text" w:horzAnchor="page" w:tblpX="698" w:tblpY="54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2"/>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序号</w:t>
            </w:r>
          </w:p>
        </w:tc>
        <w:tc>
          <w:tcPr>
            <w:tcW w:w="876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名称</w:t>
            </w:r>
          </w:p>
        </w:tc>
        <w:tc>
          <w:tcPr>
            <w:tcW w:w="876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党员组织关系转接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法定依据</w:t>
            </w:r>
          </w:p>
        </w:tc>
        <w:tc>
          <w:tcPr>
            <w:tcW w:w="8760"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中共中央关于印发《中国共产党党员教育管理工作条例》的通知[2019.5.6]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实施机构</w:t>
            </w:r>
          </w:p>
        </w:tc>
        <w:tc>
          <w:tcPr>
            <w:tcW w:w="8760"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区委组织部、塘沽街党群服务中心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职责边界</w:t>
            </w:r>
          </w:p>
        </w:tc>
        <w:tc>
          <w:tcPr>
            <w:tcW w:w="8760"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区委组织部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运行流程</w:t>
            </w:r>
          </w:p>
        </w:tc>
        <w:tc>
          <w:tcPr>
            <w:tcW w:w="8760"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受理－核实－转接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运行要件</w:t>
            </w:r>
          </w:p>
        </w:tc>
        <w:tc>
          <w:tcPr>
            <w:tcW w:w="8760"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1.党员关系转入：介绍信</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2.党员关系转出：提供接收党组织的基本信息、所在党支部提供转出介绍信。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责任事项</w:t>
            </w:r>
          </w:p>
        </w:tc>
        <w:tc>
          <w:tcPr>
            <w:tcW w:w="8760"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1.党员关系转入：核实是否为常住户或辖区企业正式员工（企业是否真实存在，是否正常营业）—核实材料—接收介绍信并填写回执—告知到党组织报道。</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2.党员关系转出：提供接收党组织的基本信息—核实党费缴至时间—市内转出直接开信去对方党组织，市外转出的先往组织部换信再去对方党组织办理转接手续。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sz w:val="32"/>
                <w:szCs w:val="32"/>
                <w:vertAlign w:val="baseline"/>
              </w:rPr>
            </w:pPr>
            <w:r>
              <w:rPr>
                <w:rFonts w:hint="eastAsia" w:ascii="黑体" w:hAnsi="宋体" w:eastAsia="黑体" w:cs="黑体"/>
                <w:i w:val="0"/>
                <w:iCs w:val="0"/>
                <w:color w:val="000000"/>
                <w:kern w:val="0"/>
                <w:sz w:val="32"/>
                <w:szCs w:val="32"/>
                <w:u w:val="none"/>
                <w:lang w:val="en-US" w:eastAsia="zh-CN" w:bidi="ar"/>
              </w:rPr>
              <w:t>监督方式</w:t>
            </w:r>
          </w:p>
        </w:tc>
        <w:tc>
          <w:tcPr>
            <w:tcW w:w="8760"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监督电话：022－65771515</w:t>
            </w:r>
          </w:p>
          <w:p>
            <w:pPr>
              <w:keepNext w:val="0"/>
              <w:keepLines w:val="0"/>
              <w:widowControl/>
              <w:suppressLineNumbers w:val="0"/>
              <w:jc w:val="left"/>
              <w:textAlignment w:val="center"/>
              <w:rPr>
                <w:rFonts w:hint="eastAsia" w:ascii="方正小标宋简体" w:hAnsi="方正小标宋简体" w:eastAsia="方正小标宋简体" w:cs="方正小标宋简体"/>
                <w:sz w:val="32"/>
                <w:szCs w:val="32"/>
                <w:vertAlign w:val="baseline"/>
              </w:rPr>
            </w:pPr>
            <w:r>
              <w:rPr>
                <w:rFonts w:hint="eastAsia" w:ascii="仿宋_GB2312" w:hAnsi="宋体" w:eastAsia="仿宋_GB2312" w:cs="仿宋_GB2312"/>
                <w:i w:val="0"/>
                <w:iCs w:val="0"/>
                <w:color w:val="000000"/>
                <w:kern w:val="0"/>
                <w:sz w:val="32"/>
                <w:szCs w:val="32"/>
                <w:u w:val="none"/>
                <w:lang w:val="en-US" w:eastAsia="zh-CN" w:bidi="ar"/>
              </w:rPr>
              <w:t>电子邮箱：tgjdqfwzx@tjbh.gov.cn</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来信来访地址：天津市滨海新区塘沽新港港航路21号</w:t>
            </w:r>
          </w:p>
        </w:tc>
      </w:tr>
    </w:tbl>
    <w:p>
      <w:pPr>
        <w:jc w:val="left"/>
        <w:rPr>
          <w:rFonts w:hint="eastAsia" w:ascii="方正小标宋简体" w:hAnsi="方正小标宋简体" w:eastAsia="方正小标宋简体" w:cs="方正小标宋简体"/>
          <w:sz w:val="44"/>
          <w:szCs w:val="44"/>
        </w:rPr>
      </w:pPr>
    </w:p>
    <w:sectPr>
      <w:footerReference r:id="rId3" w:type="default"/>
      <w:pgSz w:w="11906" w:h="16838"/>
      <w:pgMar w:top="720" w:right="720" w:bottom="720" w:left="72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11CF2"/>
    <w:rsid w:val="006066D1"/>
    <w:rsid w:val="006D7E5D"/>
    <w:rsid w:val="00860063"/>
    <w:rsid w:val="008D7A1E"/>
    <w:rsid w:val="00D45E2A"/>
    <w:rsid w:val="00E15FDF"/>
    <w:rsid w:val="010D6855"/>
    <w:rsid w:val="018A5AD7"/>
    <w:rsid w:val="019179FD"/>
    <w:rsid w:val="01E82444"/>
    <w:rsid w:val="022B5A7F"/>
    <w:rsid w:val="02317D24"/>
    <w:rsid w:val="02702D20"/>
    <w:rsid w:val="03202767"/>
    <w:rsid w:val="03397AB5"/>
    <w:rsid w:val="039462E0"/>
    <w:rsid w:val="03BB4F57"/>
    <w:rsid w:val="0432015F"/>
    <w:rsid w:val="044A1D3C"/>
    <w:rsid w:val="046C6DEA"/>
    <w:rsid w:val="05226756"/>
    <w:rsid w:val="05401687"/>
    <w:rsid w:val="05511E69"/>
    <w:rsid w:val="05A6564B"/>
    <w:rsid w:val="06320C9F"/>
    <w:rsid w:val="063B7FA9"/>
    <w:rsid w:val="06516B9C"/>
    <w:rsid w:val="06886A8E"/>
    <w:rsid w:val="0690626A"/>
    <w:rsid w:val="069349DA"/>
    <w:rsid w:val="06AF1E9A"/>
    <w:rsid w:val="06C65BDC"/>
    <w:rsid w:val="06F8658A"/>
    <w:rsid w:val="071B7103"/>
    <w:rsid w:val="08260D4D"/>
    <w:rsid w:val="08385EEF"/>
    <w:rsid w:val="08EF3588"/>
    <w:rsid w:val="097C0345"/>
    <w:rsid w:val="0AA44161"/>
    <w:rsid w:val="0AD96811"/>
    <w:rsid w:val="0AF150F4"/>
    <w:rsid w:val="0B24392A"/>
    <w:rsid w:val="0BD05E90"/>
    <w:rsid w:val="0C2657AE"/>
    <w:rsid w:val="0D064053"/>
    <w:rsid w:val="0D40279F"/>
    <w:rsid w:val="0D961399"/>
    <w:rsid w:val="0DB839EE"/>
    <w:rsid w:val="0E5F1CEE"/>
    <w:rsid w:val="0E883536"/>
    <w:rsid w:val="0EA954F4"/>
    <w:rsid w:val="0ED15E0F"/>
    <w:rsid w:val="0EF9163C"/>
    <w:rsid w:val="0F2A1DC5"/>
    <w:rsid w:val="0F3D4555"/>
    <w:rsid w:val="0F7D7DF4"/>
    <w:rsid w:val="0FB3405B"/>
    <w:rsid w:val="10425B48"/>
    <w:rsid w:val="104E0B90"/>
    <w:rsid w:val="10766E26"/>
    <w:rsid w:val="1124560B"/>
    <w:rsid w:val="11321ED6"/>
    <w:rsid w:val="11373ED0"/>
    <w:rsid w:val="113C1CB6"/>
    <w:rsid w:val="115A075B"/>
    <w:rsid w:val="11FC5448"/>
    <w:rsid w:val="120D18C3"/>
    <w:rsid w:val="121B2E19"/>
    <w:rsid w:val="12381CFB"/>
    <w:rsid w:val="12833DFE"/>
    <w:rsid w:val="13071417"/>
    <w:rsid w:val="131361D8"/>
    <w:rsid w:val="13286E35"/>
    <w:rsid w:val="13477470"/>
    <w:rsid w:val="13905A6F"/>
    <w:rsid w:val="145A479D"/>
    <w:rsid w:val="14834CB1"/>
    <w:rsid w:val="14D42CFC"/>
    <w:rsid w:val="15251E97"/>
    <w:rsid w:val="156C7AC8"/>
    <w:rsid w:val="15AD6D6F"/>
    <w:rsid w:val="16023BB1"/>
    <w:rsid w:val="167F4FC6"/>
    <w:rsid w:val="1692220C"/>
    <w:rsid w:val="17125DC1"/>
    <w:rsid w:val="174E7324"/>
    <w:rsid w:val="17501390"/>
    <w:rsid w:val="179C5C1B"/>
    <w:rsid w:val="17DF40C6"/>
    <w:rsid w:val="18347834"/>
    <w:rsid w:val="187712B5"/>
    <w:rsid w:val="18C73D83"/>
    <w:rsid w:val="192672DC"/>
    <w:rsid w:val="192E25DB"/>
    <w:rsid w:val="198E401B"/>
    <w:rsid w:val="1A0D1564"/>
    <w:rsid w:val="1A7539DC"/>
    <w:rsid w:val="1AB64BC2"/>
    <w:rsid w:val="1AC033A7"/>
    <w:rsid w:val="1AE200E2"/>
    <w:rsid w:val="1BC915D7"/>
    <w:rsid w:val="1C184791"/>
    <w:rsid w:val="1C4951A5"/>
    <w:rsid w:val="1D132009"/>
    <w:rsid w:val="1D3C58B0"/>
    <w:rsid w:val="1D41737C"/>
    <w:rsid w:val="1D475E7F"/>
    <w:rsid w:val="1D4E63A8"/>
    <w:rsid w:val="1E0B0DA9"/>
    <w:rsid w:val="1E4A0C7D"/>
    <w:rsid w:val="1F07396F"/>
    <w:rsid w:val="1F42195B"/>
    <w:rsid w:val="200569B6"/>
    <w:rsid w:val="202C3EF5"/>
    <w:rsid w:val="20BB5C49"/>
    <w:rsid w:val="20CE0691"/>
    <w:rsid w:val="20FC4082"/>
    <w:rsid w:val="210E4CDD"/>
    <w:rsid w:val="21353D9A"/>
    <w:rsid w:val="214503D8"/>
    <w:rsid w:val="21543CC4"/>
    <w:rsid w:val="2269038E"/>
    <w:rsid w:val="229023F3"/>
    <w:rsid w:val="22C022C2"/>
    <w:rsid w:val="22E43679"/>
    <w:rsid w:val="22E562FD"/>
    <w:rsid w:val="23247379"/>
    <w:rsid w:val="23314F6B"/>
    <w:rsid w:val="23861139"/>
    <w:rsid w:val="23CC2370"/>
    <w:rsid w:val="241570E9"/>
    <w:rsid w:val="24442FB0"/>
    <w:rsid w:val="2469401B"/>
    <w:rsid w:val="247933D7"/>
    <w:rsid w:val="253B2671"/>
    <w:rsid w:val="25716C41"/>
    <w:rsid w:val="26015C20"/>
    <w:rsid w:val="264905D8"/>
    <w:rsid w:val="26560CB5"/>
    <w:rsid w:val="26CA13C7"/>
    <w:rsid w:val="27034570"/>
    <w:rsid w:val="276C15E9"/>
    <w:rsid w:val="2786555C"/>
    <w:rsid w:val="279B6EAC"/>
    <w:rsid w:val="27E652D8"/>
    <w:rsid w:val="27F435A1"/>
    <w:rsid w:val="28920431"/>
    <w:rsid w:val="28A37355"/>
    <w:rsid w:val="28F839EB"/>
    <w:rsid w:val="293C1A64"/>
    <w:rsid w:val="29AD60CA"/>
    <w:rsid w:val="29DD0DBF"/>
    <w:rsid w:val="2A2D7998"/>
    <w:rsid w:val="2A73385D"/>
    <w:rsid w:val="2A973082"/>
    <w:rsid w:val="2A9839EE"/>
    <w:rsid w:val="2AA07633"/>
    <w:rsid w:val="2ABB499A"/>
    <w:rsid w:val="2ABB4A6D"/>
    <w:rsid w:val="2AC27595"/>
    <w:rsid w:val="2AEA73EF"/>
    <w:rsid w:val="2AEF4FE7"/>
    <w:rsid w:val="2B422F49"/>
    <w:rsid w:val="2B8B12A9"/>
    <w:rsid w:val="2BDF66D2"/>
    <w:rsid w:val="2BEE53CC"/>
    <w:rsid w:val="2C762039"/>
    <w:rsid w:val="2CC363E9"/>
    <w:rsid w:val="2D184E68"/>
    <w:rsid w:val="2D243881"/>
    <w:rsid w:val="2D6847CD"/>
    <w:rsid w:val="2DC47C31"/>
    <w:rsid w:val="2DF670BE"/>
    <w:rsid w:val="2E896835"/>
    <w:rsid w:val="2EB76BBC"/>
    <w:rsid w:val="2EF57E39"/>
    <w:rsid w:val="2F4537EA"/>
    <w:rsid w:val="2F8E7A6E"/>
    <w:rsid w:val="2FA52930"/>
    <w:rsid w:val="2FA65796"/>
    <w:rsid w:val="302C6F4A"/>
    <w:rsid w:val="30796D5A"/>
    <w:rsid w:val="3092081A"/>
    <w:rsid w:val="30D47F99"/>
    <w:rsid w:val="3102649C"/>
    <w:rsid w:val="310C38C7"/>
    <w:rsid w:val="31315786"/>
    <w:rsid w:val="313A0AE4"/>
    <w:rsid w:val="31443C1A"/>
    <w:rsid w:val="32353086"/>
    <w:rsid w:val="33AD2B39"/>
    <w:rsid w:val="33B30679"/>
    <w:rsid w:val="34F40D56"/>
    <w:rsid w:val="358437D3"/>
    <w:rsid w:val="35DF2CF0"/>
    <w:rsid w:val="35FF2BBE"/>
    <w:rsid w:val="361154F6"/>
    <w:rsid w:val="36865710"/>
    <w:rsid w:val="370535B4"/>
    <w:rsid w:val="3741261F"/>
    <w:rsid w:val="378662F9"/>
    <w:rsid w:val="37AE1269"/>
    <w:rsid w:val="37B34CAF"/>
    <w:rsid w:val="37E95A3D"/>
    <w:rsid w:val="384B3066"/>
    <w:rsid w:val="385E3F8C"/>
    <w:rsid w:val="386B3BA2"/>
    <w:rsid w:val="387C55B1"/>
    <w:rsid w:val="38812961"/>
    <w:rsid w:val="38A456C0"/>
    <w:rsid w:val="38C875D5"/>
    <w:rsid w:val="38D2638E"/>
    <w:rsid w:val="38D27C2D"/>
    <w:rsid w:val="38D55D3F"/>
    <w:rsid w:val="394866D5"/>
    <w:rsid w:val="39DE51EB"/>
    <w:rsid w:val="39F9479E"/>
    <w:rsid w:val="3A1C36B2"/>
    <w:rsid w:val="3AE42A01"/>
    <w:rsid w:val="3B8D19BF"/>
    <w:rsid w:val="3BAE3D74"/>
    <w:rsid w:val="3BC215C9"/>
    <w:rsid w:val="3BE42FAE"/>
    <w:rsid w:val="3BF22E1E"/>
    <w:rsid w:val="3C151CA0"/>
    <w:rsid w:val="3CBE0899"/>
    <w:rsid w:val="3D131DE5"/>
    <w:rsid w:val="3D394A6A"/>
    <w:rsid w:val="3ED74A2D"/>
    <w:rsid w:val="3F2A70B5"/>
    <w:rsid w:val="3F6D6755"/>
    <w:rsid w:val="3FB13495"/>
    <w:rsid w:val="3FC878FB"/>
    <w:rsid w:val="3FE37C70"/>
    <w:rsid w:val="40066297"/>
    <w:rsid w:val="400C5B4E"/>
    <w:rsid w:val="400E27DE"/>
    <w:rsid w:val="40D52EE2"/>
    <w:rsid w:val="40D97BBC"/>
    <w:rsid w:val="41B7650A"/>
    <w:rsid w:val="41C218C3"/>
    <w:rsid w:val="41DA0D91"/>
    <w:rsid w:val="41E3644E"/>
    <w:rsid w:val="42B83CB4"/>
    <w:rsid w:val="433D353D"/>
    <w:rsid w:val="43983697"/>
    <w:rsid w:val="43C917C2"/>
    <w:rsid w:val="44175C00"/>
    <w:rsid w:val="441F4A27"/>
    <w:rsid w:val="447D1C81"/>
    <w:rsid w:val="44F71CF8"/>
    <w:rsid w:val="45551E24"/>
    <w:rsid w:val="455A12AE"/>
    <w:rsid w:val="45EE079C"/>
    <w:rsid w:val="46135959"/>
    <w:rsid w:val="4636628A"/>
    <w:rsid w:val="46776367"/>
    <w:rsid w:val="4732413C"/>
    <w:rsid w:val="479E5637"/>
    <w:rsid w:val="482656E1"/>
    <w:rsid w:val="48360BE7"/>
    <w:rsid w:val="484A5976"/>
    <w:rsid w:val="487E2E3D"/>
    <w:rsid w:val="48886107"/>
    <w:rsid w:val="48DD22D2"/>
    <w:rsid w:val="48E16242"/>
    <w:rsid w:val="49223CAC"/>
    <w:rsid w:val="495162C9"/>
    <w:rsid w:val="49BB18FB"/>
    <w:rsid w:val="49C520A0"/>
    <w:rsid w:val="49CA3D48"/>
    <w:rsid w:val="4A483CC5"/>
    <w:rsid w:val="4A59382D"/>
    <w:rsid w:val="4B1C402D"/>
    <w:rsid w:val="4B4C7AF2"/>
    <w:rsid w:val="4B4E7196"/>
    <w:rsid w:val="4BA22A1F"/>
    <w:rsid w:val="4CB95F75"/>
    <w:rsid w:val="4D2E57CB"/>
    <w:rsid w:val="4D411807"/>
    <w:rsid w:val="4D585947"/>
    <w:rsid w:val="4D9664D9"/>
    <w:rsid w:val="4DA20FA1"/>
    <w:rsid w:val="4DE63FE8"/>
    <w:rsid w:val="4DE75325"/>
    <w:rsid w:val="4E34244A"/>
    <w:rsid w:val="4E5374A5"/>
    <w:rsid w:val="4E772B4E"/>
    <w:rsid w:val="4EB21472"/>
    <w:rsid w:val="4EC84B21"/>
    <w:rsid w:val="4EDF05FA"/>
    <w:rsid w:val="4F2E472B"/>
    <w:rsid w:val="4F476894"/>
    <w:rsid w:val="4F612F56"/>
    <w:rsid w:val="4F9F5DD8"/>
    <w:rsid w:val="4FAF22D0"/>
    <w:rsid w:val="4FBB220C"/>
    <w:rsid w:val="4FEC3F2E"/>
    <w:rsid w:val="507E1915"/>
    <w:rsid w:val="509F79FC"/>
    <w:rsid w:val="50B21C4E"/>
    <w:rsid w:val="50F55EAA"/>
    <w:rsid w:val="51993F4F"/>
    <w:rsid w:val="51AF3042"/>
    <w:rsid w:val="51DA3CDC"/>
    <w:rsid w:val="523752DE"/>
    <w:rsid w:val="52582F92"/>
    <w:rsid w:val="52EE1898"/>
    <w:rsid w:val="52F3551E"/>
    <w:rsid w:val="52F64C87"/>
    <w:rsid w:val="53050221"/>
    <w:rsid w:val="53235968"/>
    <w:rsid w:val="53287401"/>
    <w:rsid w:val="53421822"/>
    <w:rsid w:val="536832B1"/>
    <w:rsid w:val="53941D9C"/>
    <w:rsid w:val="53A15AA7"/>
    <w:rsid w:val="53BE124D"/>
    <w:rsid w:val="53CA2AF3"/>
    <w:rsid w:val="53CB17F2"/>
    <w:rsid w:val="54845A6D"/>
    <w:rsid w:val="54B239CF"/>
    <w:rsid w:val="54DD415E"/>
    <w:rsid w:val="551D40A7"/>
    <w:rsid w:val="557F00B6"/>
    <w:rsid w:val="55854584"/>
    <w:rsid w:val="560B66FA"/>
    <w:rsid w:val="56127085"/>
    <w:rsid w:val="5646757B"/>
    <w:rsid w:val="564D5BC4"/>
    <w:rsid w:val="56B919D5"/>
    <w:rsid w:val="56D147AD"/>
    <w:rsid w:val="573C29FB"/>
    <w:rsid w:val="57E93482"/>
    <w:rsid w:val="58465BFD"/>
    <w:rsid w:val="58A50721"/>
    <w:rsid w:val="58B53FCF"/>
    <w:rsid w:val="58DE5CEF"/>
    <w:rsid w:val="590B4644"/>
    <w:rsid w:val="59307965"/>
    <w:rsid w:val="593149A0"/>
    <w:rsid w:val="5966736A"/>
    <w:rsid w:val="599D6749"/>
    <w:rsid w:val="59AF07B1"/>
    <w:rsid w:val="59B47AF7"/>
    <w:rsid w:val="59D508F8"/>
    <w:rsid w:val="5A102BF8"/>
    <w:rsid w:val="5A265969"/>
    <w:rsid w:val="5A337247"/>
    <w:rsid w:val="5A500D0F"/>
    <w:rsid w:val="5A724E3D"/>
    <w:rsid w:val="5A963FE3"/>
    <w:rsid w:val="5AC1074E"/>
    <w:rsid w:val="5B033DD8"/>
    <w:rsid w:val="5B1511CF"/>
    <w:rsid w:val="5B91375C"/>
    <w:rsid w:val="5C6276ED"/>
    <w:rsid w:val="5CB118E9"/>
    <w:rsid w:val="5D3904DD"/>
    <w:rsid w:val="5D3E2986"/>
    <w:rsid w:val="5D8543C2"/>
    <w:rsid w:val="5D8E0EF8"/>
    <w:rsid w:val="5DD4443F"/>
    <w:rsid w:val="5E1370BD"/>
    <w:rsid w:val="5E243FF0"/>
    <w:rsid w:val="5E3D72A8"/>
    <w:rsid w:val="5EB17D56"/>
    <w:rsid w:val="5EB62411"/>
    <w:rsid w:val="5F7911F3"/>
    <w:rsid w:val="5F946163"/>
    <w:rsid w:val="5FA274EF"/>
    <w:rsid w:val="6003087B"/>
    <w:rsid w:val="6043544C"/>
    <w:rsid w:val="6090514E"/>
    <w:rsid w:val="60FA63E9"/>
    <w:rsid w:val="61042C05"/>
    <w:rsid w:val="611D17B0"/>
    <w:rsid w:val="61363F4D"/>
    <w:rsid w:val="618F184F"/>
    <w:rsid w:val="61B008DA"/>
    <w:rsid w:val="61B77E92"/>
    <w:rsid w:val="61D347E5"/>
    <w:rsid w:val="61D45FD9"/>
    <w:rsid w:val="61E54E27"/>
    <w:rsid w:val="622A4E90"/>
    <w:rsid w:val="62534935"/>
    <w:rsid w:val="62E83EA3"/>
    <w:rsid w:val="630F1AF7"/>
    <w:rsid w:val="63713FB4"/>
    <w:rsid w:val="63AA4BDB"/>
    <w:rsid w:val="63BE124E"/>
    <w:rsid w:val="63F30B75"/>
    <w:rsid w:val="64B17705"/>
    <w:rsid w:val="654A4FC7"/>
    <w:rsid w:val="65A75438"/>
    <w:rsid w:val="65B44CFA"/>
    <w:rsid w:val="65E40AE5"/>
    <w:rsid w:val="661C503A"/>
    <w:rsid w:val="66215C58"/>
    <w:rsid w:val="667B548C"/>
    <w:rsid w:val="671456EF"/>
    <w:rsid w:val="672275FB"/>
    <w:rsid w:val="6778023E"/>
    <w:rsid w:val="679C5014"/>
    <w:rsid w:val="67CD0949"/>
    <w:rsid w:val="68997FFA"/>
    <w:rsid w:val="68A73387"/>
    <w:rsid w:val="68C37C27"/>
    <w:rsid w:val="68EC6EEF"/>
    <w:rsid w:val="696C5D29"/>
    <w:rsid w:val="69B4502F"/>
    <w:rsid w:val="69D2396E"/>
    <w:rsid w:val="69F643AC"/>
    <w:rsid w:val="6A975E12"/>
    <w:rsid w:val="6B15368E"/>
    <w:rsid w:val="6BB33A11"/>
    <w:rsid w:val="6BB90172"/>
    <w:rsid w:val="6BBC0F4B"/>
    <w:rsid w:val="6C060F2D"/>
    <w:rsid w:val="6C341B02"/>
    <w:rsid w:val="6C3B472C"/>
    <w:rsid w:val="6C473143"/>
    <w:rsid w:val="6C560BD5"/>
    <w:rsid w:val="6C5D2AA1"/>
    <w:rsid w:val="6C662637"/>
    <w:rsid w:val="6C713F17"/>
    <w:rsid w:val="6CA418D5"/>
    <w:rsid w:val="6CD24AE4"/>
    <w:rsid w:val="6D62064C"/>
    <w:rsid w:val="6DA94FEA"/>
    <w:rsid w:val="6E47795E"/>
    <w:rsid w:val="6E7A4A3D"/>
    <w:rsid w:val="6EEB7C06"/>
    <w:rsid w:val="6F91268C"/>
    <w:rsid w:val="6FAD10F1"/>
    <w:rsid w:val="70735004"/>
    <w:rsid w:val="70AC0BC0"/>
    <w:rsid w:val="70B02569"/>
    <w:rsid w:val="70D76730"/>
    <w:rsid w:val="71737415"/>
    <w:rsid w:val="72061C92"/>
    <w:rsid w:val="721E51BE"/>
    <w:rsid w:val="722A10A9"/>
    <w:rsid w:val="72574AF5"/>
    <w:rsid w:val="725770C4"/>
    <w:rsid w:val="728F2560"/>
    <w:rsid w:val="72A06DCE"/>
    <w:rsid w:val="72AE72BF"/>
    <w:rsid w:val="73981D9C"/>
    <w:rsid w:val="739A7EA6"/>
    <w:rsid w:val="73CD259E"/>
    <w:rsid w:val="7415252B"/>
    <w:rsid w:val="742428DE"/>
    <w:rsid w:val="74792E21"/>
    <w:rsid w:val="74841A82"/>
    <w:rsid w:val="74947EA3"/>
    <w:rsid w:val="74C13D7B"/>
    <w:rsid w:val="74F962B3"/>
    <w:rsid w:val="74FB08F2"/>
    <w:rsid w:val="750D21F0"/>
    <w:rsid w:val="752113D8"/>
    <w:rsid w:val="75F95565"/>
    <w:rsid w:val="76144E14"/>
    <w:rsid w:val="765E6EC5"/>
    <w:rsid w:val="76886C1D"/>
    <w:rsid w:val="768A7CD4"/>
    <w:rsid w:val="76CB2235"/>
    <w:rsid w:val="76D87268"/>
    <w:rsid w:val="76F674B8"/>
    <w:rsid w:val="770048A1"/>
    <w:rsid w:val="770A5384"/>
    <w:rsid w:val="776C1CAB"/>
    <w:rsid w:val="77B612C5"/>
    <w:rsid w:val="77B91E8F"/>
    <w:rsid w:val="78300F2E"/>
    <w:rsid w:val="78CC6235"/>
    <w:rsid w:val="797A2706"/>
    <w:rsid w:val="798E3D0F"/>
    <w:rsid w:val="79C741E7"/>
    <w:rsid w:val="79E81E8F"/>
    <w:rsid w:val="7A280CB7"/>
    <w:rsid w:val="7B2F20A8"/>
    <w:rsid w:val="7B6B548B"/>
    <w:rsid w:val="7B9D1DCC"/>
    <w:rsid w:val="7BAA08AD"/>
    <w:rsid w:val="7BAB0E75"/>
    <w:rsid w:val="7BD50753"/>
    <w:rsid w:val="7BFE626A"/>
    <w:rsid w:val="7C4649C4"/>
    <w:rsid w:val="7C621A0D"/>
    <w:rsid w:val="7CAB11E6"/>
    <w:rsid w:val="7CF06BE7"/>
    <w:rsid w:val="7D0C2832"/>
    <w:rsid w:val="7D3B5694"/>
    <w:rsid w:val="7DD775C1"/>
    <w:rsid w:val="7DE570DB"/>
    <w:rsid w:val="7E024FCE"/>
    <w:rsid w:val="7E1F29E1"/>
    <w:rsid w:val="7E8F1680"/>
    <w:rsid w:val="7FB63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李梦</cp:lastModifiedBy>
  <dcterms:modified xsi:type="dcterms:W3CDTF">2021-08-18T01:28:02Z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A4F8FC8CF1F9472A94C02722DA76011F</vt:lpwstr>
  </property>
</Properties>
</file>