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天津市滨海新区塘沽大梁子小学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按照规定配备教学资源和教学设施设备，加强管理，提高使用效益</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jc w:val="left"/>
              <w:rPr>
                <w:rFonts w:hint="eastAsia" w:ascii="仿宋_GB2312" w:hAnsi="宋体" w:eastAsia="仿宋_GB2312" w:cs="宋体"/>
                <w:kern w:val="0"/>
                <w:sz w:val="28"/>
                <w:szCs w:val="28"/>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25234579</w:t>
            </w:r>
            <w:r>
              <w:rPr>
                <w:rFonts w:hint="eastAsia" w:asciiTheme="majorEastAsia" w:hAnsiTheme="majorEastAsia" w:eastAsiaTheme="majorEastAsia" w:cstheme="majorEastAsia"/>
                <w:kern w:val="0"/>
                <w:sz w:val="24"/>
              </w:rPr>
              <w:t>（2</w:t>
            </w:r>
            <w:r>
              <w:rPr>
                <w:rFonts w:asciiTheme="majorEastAsia" w:hAnsiTheme="majorEastAsia" w:eastAsiaTheme="majorEastAsia" w:cstheme="majorEastAsia"/>
                <w:kern w:val="0"/>
                <w:sz w:val="24"/>
              </w:rPr>
              <w:t>5234575</w:t>
            </w:r>
            <w:r>
              <w:rPr>
                <w:rFonts w:hint="eastAsia" w:asciiTheme="majorEastAsia" w:hAnsiTheme="majorEastAsia" w:eastAsiaTheme="majorEastAsia" w:cstheme="majorEastAsia"/>
                <w:kern w:val="0"/>
                <w:sz w:val="24"/>
              </w:rPr>
              <w:t xml:space="preserve">） </w:t>
            </w:r>
            <w:r>
              <w:rPr>
                <w:rFonts w:asciiTheme="majorEastAsia" w:hAnsiTheme="majorEastAsia" w:eastAsiaTheme="majorEastAsia" w:cstheme="majorEastAsia"/>
                <w:kern w:val="0"/>
                <w:sz w:val="24"/>
              </w:rPr>
              <w:t>300455</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来信来访地址：天津市滨海新区大梁子曙光道</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25234579</w:t>
            </w:r>
            <w:r>
              <w:rPr>
                <w:rFonts w:hint="eastAsia" w:asciiTheme="majorEastAsia" w:hAnsiTheme="majorEastAsia" w:eastAsiaTheme="majorEastAsia" w:cstheme="majorEastAsia"/>
                <w:kern w:val="0"/>
                <w:sz w:val="24"/>
              </w:rPr>
              <w:t>（2</w:t>
            </w:r>
            <w:r>
              <w:rPr>
                <w:rFonts w:asciiTheme="majorEastAsia" w:hAnsiTheme="majorEastAsia" w:eastAsiaTheme="majorEastAsia" w:cstheme="majorEastAsia"/>
                <w:kern w:val="0"/>
                <w:sz w:val="24"/>
              </w:rPr>
              <w:t>5234575</w:t>
            </w:r>
            <w:r>
              <w:rPr>
                <w:rFonts w:hint="eastAsia" w:asciiTheme="majorEastAsia" w:hAnsiTheme="majorEastAsia" w:eastAsiaTheme="majorEastAsia" w:cstheme="majorEastAsia"/>
                <w:kern w:val="0"/>
                <w:sz w:val="24"/>
              </w:rPr>
              <w:t xml:space="preserve">） </w:t>
            </w:r>
            <w:r>
              <w:rPr>
                <w:rFonts w:asciiTheme="majorEastAsia" w:hAnsiTheme="majorEastAsia" w:eastAsiaTheme="majorEastAsia" w:cstheme="majorEastAsia"/>
                <w:kern w:val="0"/>
                <w:sz w:val="24"/>
              </w:rPr>
              <w:t>300455</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来信来访地址：天津市滨海新区大梁子曙光道</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4C0F0B"/>
    <w:rsid w:val="00587923"/>
    <w:rsid w:val="006436C1"/>
    <w:rsid w:val="006453AD"/>
    <w:rsid w:val="0068525F"/>
    <w:rsid w:val="006D4D8D"/>
    <w:rsid w:val="00716945"/>
    <w:rsid w:val="00765032"/>
    <w:rsid w:val="00773E10"/>
    <w:rsid w:val="00787D23"/>
    <w:rsid w:val="007D7C77"/>
    <w:rsid w:val="007E414C"/>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A7B056E"/>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95B3E-6773-4891-84DC-A916E5BC6D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13928</Words>
  <Characters>15303</Characters>
  <Lines>123</Lines>
  <Paragraphs>34</Paragraphs>
  <TotalTime>2</TotalTime>
  <ScaleCrop>false</ScaleCrop>
  <LinksUpToDate>false</LinksUpToDate>
  <CharactersWithSpaces>16130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2021-08-19T09:35:00Z</dcterms:created>
  <dc:creator>微软用户</dc:creator>
  <cp:lastModifiedBy>小风筝_薇</cp:lastModifiedBy>
  <dcterms:modified xsi:type="dcterms:W3CDTF">2024-06-26T02:14:58Z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19BAEF930A9241FDA283C83D23AB516A_12</vt:lpwstr>
  </property>
</Properties>
</file>