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古林街综合治理中心职责目录</w:t>
      </w:r>
    </w:p>
    <w:tbl>
      <w:tblPr>
        <w:tblStyle w:val="5"/>
        <w:tblW w:w="92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5"/>
        <w:gridCol w:w="1637"/>
        <w:gridCol w:w="779"/>
        <w:gridCol w:w="5033"/>
        <w:gridCol w:w="9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1637" w:type="dxa"/>
            <w:vMerge w:val="restart"/>
            <w:vAlign w:val="center"/>
          </w:tcPr>
          <w:p>
            <w:pPr>
              <w:jc w:val="center"/>
              <w:rPr>
                <w:rFonts w:asciiTheme="minorEastAsia" w:hAnsiTheme="minorEastAsia"/>
                <w:sz w:val="28"/>
                <w:szCs w:val="28"/>
              </w:rPr>
            </w:pPr>
            <w:r>
              <w:rPr>
                <w:rFonts w:hint="eastAsia" w:asciiTheme="minorEastAsia" w:hAnsiTheme="minorEastAsia"/>
                <w:sz w:val="28"/>
                <w:szCs w:val="28"/>
              </w:rPr>
              <w:t>主要职责</w:t>
            </w:r>
          </w:p>
        </w:tc>
        <w:tc>
          <w:tcPr>
            <w:tcW w:w="6732" w:type="dxa"/>
            <w:gridSpan w:val="3"/>
            <w:vAlign w:val="center"/>
          </w:tcPr>
          <w:p>
            <w:pPr>
              <w:jc w:val="center"/>
              <w:rPr>
                <w:rFonts w:asciiTheme="minorEastAsia" w:hAnsiTheme="minorEastAsia"/>
                <w:sz w:val="28"/>
                <w:szCs w:val="28"/>
              </w:rPr>
            </w:pPr>
            <w:r>
              <w:rPr>
                <w:rFonts w:hint="eastAsia" w:asciiTheme="minorEastAsia" w:hAnsiTheme="minorEastAsia"/>
                <w:sz w:val="28"/>
                <w:szCs w:val="28"/>
              </w:rPr>
              <w:t>职责事项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方正小标宋简体" w:eastAsia="方正小标宋简体"/>
                <w:sz w:val="44"/>
                <w:szCs w:val="44"/>
              </w:rPr>
            </w:pPr>
          </w:p>
        </w:tc>
        <w:tc>
          <w:tcPr>
            <w:tcW w:w="1637" w:type="dxa"/>
            <w:vMerge w:val="continue"/>
            <w:vAlign w:val="center"/>
          </w:tcPr>
          <w:p>
            <w:pPr>
              <w:jc w:val="center"/>
              <w:rPr>
                <w:rFonts w:asciiTheme="minorEastAsia" w:hAnsiTheme="minorEastAsia"/>
                <w:sz w:val="28"/>
                <w:szCs w:val="28"/>
              </w:rPr>
            </w:pPr>
          </w:p>
        </w:tc>
        <w:tc>
          <w:tcPr>
            <w:tcW w:w="779" w:type="dxa"/>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5033" w:type="dxa"/>
            <w:vAlign w:val="center"/>
          </w:tcPr>
          <w:p>
            <w:pPr>
              <w:jc w:val="center"/>
              <w:rPr>
                <w:rFonts w:asciiTheme="minorEastAsia" w:hAnsiTheme="minorEastAsia"/>
                <w:sz w:val="28"/>
                <w:szCs w:val="28"/>
              </w:rPr>
            </w:pPr>
            <w:r>
              <w:rPr>
                <w:rFonts w:hint="eastAsia" w:asciiTheme="minorEastAsia" w:hAnsiTheme="minorEastAsia"/>
                <w:sz w:val="28"/>
                <w:szCs w:val="28"/>
              </w:rPr>
              <w:t>名称</w:t>
            </w:r>
          </w:p>
        </w:tc>
        <w:tc>
          <w:tcPr>
            <w:tcW w:w="920" w:type="dxa"/>
            <w:vAlign w:val="center"/>
          </w:tcPr>
          <w:p>
            <w:pPr>
              <w:jc w:val="center"/>
              <w:rPr>
                <w:rFonts w:asciiTheme="minorEastAsia" w:hAnsiTheme="minorEastAsia"/>
                <w:sz w:val="28"/>
                <w:szCs w:val="28"/>
              </w:rPr>
            </w:pPr>
            <w:r>
              <w:rPr>
                <w:rFonts w:hint="eastAsia" w:asciiTheme="minorEastAsia" w:hAnsiTheme="minorEastAsia"/>
                <w:sz w:val="28"/>
                <w:szCs w:val="28"/>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jc w:val="center"/>
        </w:trPr>
        <w:tc>
          <w:tcPr>
            <w:tcW w:w="915" w:type="dxa"/>
            <w:vAlign w:val="center"/>
          </w:tcPr>
          <w:p>
            <w:pPr>
              <w:jc w:val="center"/>
              <w:rPr>
                <w:rFonts w:ascii="宋体" w:hAnsi="宋体" w:eastAsia="宋体" w:cs="宋体"/>
                <w:color w:val="000000"/>
                <w:sz w:val="28"/>
                <w:szCs w:val="28"/>
              </w:rPr>
            </w:pPr>
            <w:r>
              <w:rPr>
                <w:rFonts w:hint="eastAsia"/>
                <w:color w:val="000000"/>
                <w:sz w:val="28"/>
                <w:szCs w:val="28"/>
              </w:rPr>
              <w:t>1</w:t>
            </w:r>
          </w:p>
        </w:tc>
        <w:tc>
          <w:tcPr>
            <w:tcW w:w="1637" w:type="dxa"/>
            <w:vAlign w:val="center"/>
          </w:tcPr>
          <w:p>
            <w:pPr>
              <w:jc w:val="center"/>
              <w:rPr>
                <w:rFonts w:ascii="宋体" w:hAnsi="宋体" w:eastAsia="宋体" w:cs="宋体"/>
                <w:color w:val="000000"/>
                <w:sz w:val="28"/>
                <w:szCs w:val="28"/>
              </w:rPr>
            </w:pPr>
            <w:r>
              <w:rPr>
                <w:rFonts w:hint="eastAsia"/>
                <w:color w:val="000000"/>
                <w:sz w:val="28"/>
                <w:szCs w:val="28"/>
              </w:rPr>
              <w:t>便民服务</w:t>
            </w:r>
          </w:p>
        </w:tc>
        <w:tc>
          <w:tcPr>
            <w:tcW w:w="779" w:type="dxa"/>
            <w:vAlign w:val="center"/>
          </w:tcPr>
          <w:p>
            <w:pPr>
              <w:jc w:val="center"/>
              <w:rPr>
                <w:rFonts w:ascii="宋体" w:hAnsi="宋体" w:eastAsia="宋体" w:cs="宋体"/>
                <w:color w:val="000000"/>
                <w:sz w:val="28"/>
                <w:szCs w:val="28"/>
              </w:rPr>
            </w:pPr>
            <w:r>
              <w:rPr>
                <w:rFonts w:hint="eastAsia"/>
                <w:color w:val="000000"/>
                <w:sz w:val="28"/>
                <w:szCs w:val="28"/>
              </w:rPr>
              <w:t>1.1</w:t>
            </w:r>
          </w:p>
        </w:tc>
        <w:tc>
          <w:tcPr>
            <w:tcW w:w="5033" w:type="dxa"/>
            <w:vAlign w:val="center"/>
          </w:tcPr>
          <w:p>
            <w:pPr>
              <w:rPr>
                <w:rFonts w:ascii="宋体" w:hAnsi="宋体" w:eastAsia="宋体" w:cs="宋体"/>
                <w:color w:val="000000"/>
                <w:sz w:val="28"/>
                <w:szCs w:val="28"/>
              </w:rPr>
            </w:pPr>
            <w:r>
              <w:rPr>
                <w:rFonts w:hint="eastAsia"/>
                <w:color w:val="000000"/>
                <w:sz w:val="28"/>
                <w:szCs w:val="28"/>
              </w:rPr>
              <w:t>“12345”便民服务平台案件转办</w:t>
            </w:r>
          </w:p>
        </w:tc>
        <w:tc>
          <w:tcPr>
            <w:tcW w:w="920" w:type="dxa"/>
            <w:vAlign w:val="center"/>
          </w:tcPr>
          <w:p>
            <w:pPr>
              <w:jc w:val="center"/>
              <w:rPr>
                <w:rFonts w:ascii="宋体" w:hAnsi="宋体" w:eastAsia="宋体" w:cs="宋体"/>
                <w:color w:val="000000"/>
                <w:sz w:val="28"/>
                <w:szCs w:val="28"/>
              </w:rPr>
            </w:pPr>
            <w:r>
              <w:rPr>
                <w:rFonts w:hint="eastAsia"/>
                <w:color w:val="000000"/>
                <w:sz w:val="28"/>
                <w:szCs w:val="28"/>
              </w:rPr>
              <w:t>1</w:t>
            </w:r>
          </w:p>
        </w:tc>
      </w:tr>
    </w:tbl>
    <w:p>
      <w:pPr>
        <w:jc w:val="center"/>
        <w:rPr>
          <w:rFonts w:ascii="方正小标宋简体" w:eastAsia="方正小标宋简体"/>
          <w:sz w:val="44"/>
          <w:szCs w:val="44"/>
        </w:rPr>
      </w:pPr>
    </w:p>
    <w:p>
      <w:pPr>
        <w:widowControl/>
        <w:ind w:firstLine="1100" w:firstLineChars="250"/>
        <w:rPr>
          <w:rFonts w:hint="eastAsia" w:ascii="方正小标宋简体" w:hAnsi="宋体" w:eastAsia="方正小标宋简体" w:cs="宋体"/>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4"/>
        <w:tblW w:w="9620" w:type="dxa"/>
        <w:tblInd w:w="0" w:type="dxa"/>
        <w:tblLayout w:type="autofit"/>
        <w:tblCellMar>
          <w:top w:w="0" w:type="dxa"/>
          <w:left w:w="108" w:type="dxa"/>
          <w:bottom w:w="0" w:type="dxa"/>
          <w:right w:w="108" w:type="dxa"/>
        </w:tblCellMar>
      </w:tblPr>
      <w:tblGrid>
        <w:gridCol w:w="1334"/>
        <w:gridCol w:w="7446"/>
        <w:gridCol w:w="840"/>
      </w:tblGrid>
      <w:tr>
        <w:tblPrEx>
          <w:tblCellMar>
            <w:top w:w="0" w:type="dxa"/>
            <w:left w:w="108" w:type="dxa"/>
            <w:bottom w:w="0" w:type="dxa"/>
            <w:right w:w="108" w:type="dxa"/>
          </w:tblCellMar>
        </w:tblPrEx>
        <w:trPr>
          <w:trHeight w:val="960" w:hRule="atLeast"/>
        </w:trPr>
        <w:tc>
          <w:tcPr>
            <w:tcW w:w="9620" w:type="dxa"/>
            <w:gridSpan w:val="3"/>
            <w:tcBorders>
              <w:top w:val="nil"/>
              <w:left w:val="nil"/>
              <w:bottom w:val="nil"/>
              <w:right w:val="nil"/>
            </w:tcBorders>
            <w:shd w:val="clear" w:color="auto" w:fill="auto"/>
            <w:noWrap/>
            <w:vAlign w:val="center"/>
          </w:tcPr>
          <w:p>
            <w:pPr>
              <w:widowControl/>
              <w:ind w:firstLine="1100" w:firstLineChars="250"/>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“12345”便民服务平台案件转办</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74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1.1</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74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“12345”便民服务平台案件转办</w:t>
            </w:r>
          </w:p>
        </w:tc>
      </w:tr>
      <w:tr>
        <w:tblPrEx>
          <w:tblCellMar>
            <w:top w:w="0" w:type="dxa"/>
            <w:left w:w="108" w:type="dxa"/>
            <w:bottom w:w="0" w:type="dxa"/>
            <w:right w:w="108" w:type="dxa"/>
          </w:tblCellMar>
        </w:tblPrEx>
        <w:trPr>
          <w:gridAfter w:val="1"/>
          <w:wAfter w:w="840" w:type="dxa"/>
          <w:trHeight w:val="2310" w:hRule="atLeast"/>
        </w:trPr>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法定依据</w:t>
            </w:r>
          </w:p>
        </w:tc>
        <w:tc>
          <w:tcPr>
            <w:tcW w:w="74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天津市人民政府办公厅关于印发天津市进一步优化政务服务便民热线工作方案的通知》（津政办发〔2021〕19号）、《天津市滨海新区人民政府办公室关于印发滨海新区便民服务响应工作规则的通知》（津滨政办发〔2020〕10号）</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第一章 总则</w:t>
            </w:r>
          </w:p>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第五条 各开发区、职能部门、街镇、提供公共服务的企事业单位等是滨海便民服务响应工作的具体承办单位。</w:t>
            </w:r>
          </w:p>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第二章 工作职责</w:t>
            </w:r>
          </w:p>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第八条 网格中心主要承担下列工作职责：</w:t>
            </w:r>
          </w:p>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（一）负责便民响应系统的建设、运行和管理；</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实施机构</w:t>
            </w:r>
          </w:p>
        </w:tc>
        <w:tc>
          <w:tcPr>
            <w:tcW w:w="74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综合治理中心</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职责边界</w:t>
            </w:r>
          </w:p>
        </w:tc>
        <w:tc>
          <w:tcPr>
            <w:tcW w:w="74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街道职权</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运行流程</w:t>
            </w:r>
          </w:p>
        </w:tc>
        <w:tc>
          <w:tcPr>
            <w:tcW w:w="74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接收-分类-转办-反馈</w:t>
            </w:r>
          </w:p>
        </w:tc>
      </w:tr>
      <w:tr>
        <w:tblPrEx>
          <w:tblCellMar>
            <w:top w:w="0" w:type="dxa"/>
            <w:left w:w="108" w:type="dxa"/>
            <w:bottom w:w="0" w:type="dxa"/>
            <w:right w:w="108" w:type="dxa"/>
          </w:tblCellMar>
        </w:tblPrEx>
        <w:trPr>
          <w:gridAfter w:val="1"/>
          <w:wAfter w:w="840" w:type="dxa"/>
          <w:trHeight w:val="750" w:hRule="atLeast"/>
        </w:trPr>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运行要件</w:t>
            </w:r>
          </w:p>
        </w:tc>
        <w:tc>
          <w:tcPr>
            <w:tcW w:w="74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案件信息</w:t>
            </w:r>
            <w:r>
              <w:rPr>
                <w:rFonts w:ascii="宋体" w:hAnsi="宋体" w:eastAsia="宋体" w:cs="宋体"/>
                <w:color w:val="000000"/>
                <w:kern w:val="0"/>
                <w:sz w:val="22"/>
              </w:rPr>
              <w:t xml:space="preserve"> </w:t>
            </w:r>
          </w:p>
        </w:tc>
      </w:tr>
      <w:tr>
        <w:tblPrEx>
          <w:tblCellMar>
            <w:top w:w="0" w:type="dxa"/>
            <w:left w:w="108" w:type="dxa"/>
            <w:bottom w:w="0" w:type="dxa"/>
            <w:right w:w="108" w:type="dxa"/>
          </w:tblCellMar>
        </w:tblPrEx>
        <w:trPr>
          <w:gridAfter w:val="1"/>
          <w:wAfter w:w="840" w:type="dxa"/>
          <w:trHeight w:val="2205" w:hRule="atLeast"/>
        </w:trPr>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责任事项</w:t>
            </w:r>
          </w:p>
        </w:tc>
        <w:tc>
          <w:tcPr>
            <w:tcW w:w="74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1.接收区网格中心转派案件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2.分拨案件类型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3.转派相关职能部门办理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4.接收相关职能部门处理信息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5.上报区网格中心案件处理结果</w:t>
            </w:r>
          </w:p>
        </w:tc>
      </w:tr>
      <w:tr>
        <w:tblPrEx>
          <w:tblCellMar>
            <w:top w:w="0" w:type="dxa"/>
            <w:left w:w="108" w:type="dxa"/>
            <w:bottom w:w="0" w:type="dxa"/>
            <w:right w:w="108" w:type="dxa"/>
          </w:tblCellMar>
        </w:tblPrEx>
        <w:trPr>
          <w:gridAfter w:val="1"/>
          <w:wAfter w:w="840" w:type="dxa"/>
          <w:trHeight w:val="1410" w:hRule="atLeast"/>
        </w:trPr>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监督方式</w:t>
            </w:r>
          </w:p>
        </w:tc>
        <w:tc>
          <w:tcPr>
            <w:tcW w:w="74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业务咨询电话：60733307  监督电话：60907120</w:t>
            </w:r>
            <w:bookmarkStart w:id="0" w:name="_GoBack"/>
            <w:bookmarkEnd w:id="0"/>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来信来访地址：天津市滨海新区古林街港东六道560号古林街道办事处</w:t>
            </w:r>
          </w:p>
        </w:tc>
      </w:tr>
    </w:tbl>
    <w:p>
      <w:pPr>
        <w:widowControl/>
        <w:jc w:val="left"/>
        <w:rPr>
          <w:rFonts w:ascii="方正小标宋简体" w:eastAsia="方正小标宋简体"/>
          <w:sz w:val="44"/>
          <w:szCs w:val="4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F34002"/>
    <w:rsid w:val="000548A3"/>
    <w:rsid w:val="0009783F"/>
    <w:rsid w:val="001744F2"/>
    <w:rsid w:val="00221857"/>
    <w:rsid w:val="002F46A2"/>
    <w:rsid w:val="00302A95"/>
    <w:rsid w:val="00326779"/>
    <w:rsid w:val="003F351C"/>
    <w:rsid w:val="00404DBA"/>
    <w:rsid w:val="00434202"/>
    <w:rsid w:val="004A35E9"/>
    <w:rsid w:val="0059318B"/>
    <w:rsid w:val="005F4C8E"/>
    <w:rsid w:val="00607BAE"/>
    <w:rsid w:val="006111E5"/>
    <w:rsid w:val="00637798"/>
    <w:rsid w:val="0075562E"/>
    <w:rsid w:val="009E6658"/>
    <w:rsid w:val="00A06D48"/>
    <w:rsid w:val="00A1226C"/>
    <w:rsid w:val="00C73752"/>
    <w:rsid w:val="00D11624"/>
    <w:rsid w:val="00DF1339"/>
    <w:rsid w:val="00EE002D"/>
    <w:rsid w:val="00F34002"/>
    <w:rsid w:val="00F5750E"/>
    <w:rsid w:val="031B2596"/>
    <w:rsid w:val="44C8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439</Words>
  <Characters>502</Characters>
  <Lines>4</Lines>
  <Paragraphs>1</Paragraphs>
  <TotalTime>0</TotalTime>
  <ScaleCrop>false</ScaleCrop>
  <LinksUpToDate>false</LinksUpToDate>
  <CharactersWithSpaces>513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2021-08-25T02:54:00Z</dcterms:created>
  <dc:creator>lenovo</dc:creator>
  <cp:lastModifiedBy>小风筝_薇</cp:lastModifiedBy>
  <cp:lastPrinted>2021-08-25T08:22:00Z</cp:lastPrinted>
  <dcterms:modified xsi:type="dcterms:W3CDTF">2024-06-19T08:38:21Z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B7BC7A984BAC4753ADCB68367E347E4B</vt:lpwstr>
  </property>
</Properties>
</file>