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743" w:type="dxa"/>
        <w:tblInd w:w="0" w:type="dxa"/>
        <w:shd w:val="clear" w:color="auto" w:fill="auto"/>
        <w:tblLayout w:type="fixed"/>
        <w:tblCellMar>
          <w:top w:w="0" w:type="dxa"/>
          <w:left w:w="0" w:type="dxa"/>
          <w:bottom w:w="0" w:type="dxa"/>
          <w:right w:w="0" w:type="dxa"/>
        </w:tblCellMar>
      </w:tblPr>
      <w:tblGrid>
        <w:gridCol w:w="645"/>
        <w:gridCol w:w="2038"/>
        <w:gridCol w:w="959"/>
        <w:gridCol w:w="3916"/>
        <w:gridCol w:w="1185"/>
      </w:tblGrid>
      <w:tr>
        <w:tblPrEx>
          <w:tblCellMar>
            <w:top w:w="0" w:type="dxa"/>
            <w:left w:w="0" w:type="dxa"/>
            <w:bottom w:w="0" w:type="dxa"/>
            <w:right w:w="0" w:type="dxa"/>
          </w:tblCellMar>
        </w:tblPrEx>
        <w:trPr>
          <w:trHeight w:val="720" w:hRule="atLeast"/>
        </w:trPr>
        <w:tc>
          <w:tcPr>
            <w:tcW w:w="8743"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default" w:ascii="方正小标宋简体" w:hAnsi="方正小标宋简体" w:eastAsia="方正小标宋简体" w:cs="方正小标宋简体"/>
                <w:i w:val="0"/>
                <w:color w:val="000000"/>
                <w:kern w:val="0"/>
                <w:sz w:val="40"/>
                <w:szCs w:val="40"/>
                <w:u w:val="none"/>
                <w:lang w:val="en-US" w:eastAsia="zh-CN" w:bidi="ar"/>
              </w:rPr>
              <w:t>天津市滨海新区人防指挥信息保障中心职责目录</w:t>
            </w:r>
          </w:p>
        </w:tc>
      </w:tr>
      <w:tr>
        <w:tblPrEx>
          <w:tblCellMar>
            <w:top w:w="0" w:type="dxa"/>
            <w:left w:w="0" w:type="dxa"/>
            <w:bottom w:w="0" w:type="dxa"/>
            <w:right w:w="0" w:type="dxa"/>
          </w:tblCellMar>
        </w:tblPrEx>
        <w:trPr>
          <w:trHeight w:val="6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简体" w:hAnsi="方正黑体简体" w:eastAsia="方正黑体简体" w:cs="方正黑体简体"/>
                <w:i w:val="0"/>
                <w:color w:val="000000"/>
                <w:sz w:val="30"/>
                <w:szCs w:val="30"/>
                <w:u w:val="none"/>
              </w:rPr>
            </w:pPr>
            <w:r>
              <w:rPr>
                <w:rFonts w:hint="default" w:ascii="方正黑体简体" w:hAnsi="方正黑体简体" w:eastAsia="方正黑体简体" w:cs="方正黑体简体"/>
                <w:i w:val="0"/>
                <w:color w:val="000000"/>
                <w:kern w:val="0"/>
                <w:sz w:val="30"/>
                <w:szCs w:val="30"/>
                <w:u w:val="none"/>
                <w:lang w:val="en-US" w:eastAsia="zh-CN" w:bidi="ar"/>
              </w:rPr>
              <w:t>序号</w:t>
            </w: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30"/>
                <w:szCs w:val="30"/>
                <w:u w:val="none"/>
              </w:rPr>
            </w:pPr>
            <w:r>
              <w:rPr>
                <w:rFonts w:hint="default" w:ascii="方正黑体简体" w:hAnsi="方正黑体简体" w:eastAsia="方正黑体简体" w:cs="方正黑体简体"/>
                <w:i w:val="0"/>
                <w:color w:val="000000"/>
                <w:kern w:val="0"/>
                <w:sz w:val="30"/>
                <w:szCs w:val="30"/>
                <w:u w:val="none"/>
                <w:lang w:val="en-US" w:eastAsia="zh-CN" w:bidi="ar"/>
              </w:rPr>
              <w:t>主要职责</w:t>
            </w:r>
          </w:p>
        </w:tc>
        <w:tc>
          <w:tcPr>
            <w:tcW w:w="60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30"/>
                <w:szCs w:val="30"/>
                <w:u w:val="none"/>
              </w:rPr>
            </w:pPr>
            <w:r>
              <w:rPr>
                <w:rFonts w:hint="default" w:ascii="方正黑体简体" w:hAnsi="方正黑体简体" w:eastAsia="方正黑体简体" w:cs="方正黑体简体"/>
                <w:i w:val="0"/>
                <w:color w:val="000000"/>
                <w:kern w:val="0"/>
                <w:sz w:val="30"/>
                <w:szCs w:val="30"/>
                <w:u w:val="none"/>
                <w:lang w:val="en-US" w:eastAsia="zh-CN" w:bidi="ar"/>
              </w:rPr>
              <w:t>职责事项</w:t>
            </w:r>
          </w:p>
        </w:tc>
      </w:tr>
      <w:tr>
        <w:tblPrEx>
          <w:tblCellMar>
            <w:top w:w="0" w:type="dxa"/>
            <w:left w:w="0" w:type="dxa"/>
            <w:bottom w:w="0" w:type="dxa"/>
            <w:right w:w="0" w:type="dxa"/>
          </w:tblCellMar>
        </w:tblPrEx>
        <w:trPr>
          <w:trHeight w:val="6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黑体简体" w:hAnsi="方正黑体简体" w:eastAsia="方正黑体简体" w:cs="方正黑体简体"/>
                <w:i w:val="0"/>
                <w:color w:val="000000"/>
                <w:sz w:val="30"/>
                <w:szCs w:val="30"/>
                <w:u w:val="none"/>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方正黑体简体" w:hAnsi="方正黑体简体" w:eastAsia="方正黑体简体" w:cs="方正黑体简体"/>
                <w:i w:val="0"/>
                <w:color w:val="000000"/>
                <w:sz w:val="30"/>
                <w:szCs w:val="3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30"/>
                <w:szCs w:val="30"/>
                <w:u w:val="none"/>
              </w:rPr>
            </w:pPr>
            <w:r>
              <w:rPr>
                <w:rFonts w:hint="default" w:ascii="方正黑体简体" w:hAnsi="方正黑体简体" w:eastAsia="方正黑体简体" w:cs="方正黑体简体"/>
                <w:i w:val="0"/>
                <w:color w:val="000000"/>
                <w:kern w:val="0"/>
                <w:sz w:val="30"/>
                <w:szCs w:val="30"/>
                <w:u w:val="none"/>
                <w:lang w:val="en-US" w:eastAsia="zh-CN" w:bidi="ar"/>
              </w:rPr>
              <w:t>序号</w:t>
            </w:r>
          </w:p>
        </w:tc>
        <w:tc>
          <w:tcPr>
            <w:tcW w:w="3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30"/>
                <w:szCs w:val="30"/>
                <w:u w:val="none"/>
              </w:rPr>
            </w:pPr>
            <w:r>
              <w:rPr>
                <w:rFonts w:hint="default" w:ascii="方正黑体简体" w:hAnsi="方正黑体简体" w:eastAsia="方正黑体简体" w:cs="方正黑体简体"/>
                <w:i w:val="0"/>
                <w:color w:val="000000"/>
                <w:kern w:val="0"/>
                <w:sz w:val="30"/>
                <w:szCs w:val="30"/>
                <w:u w:val="none"/>
                <w:lang w:val="en-US" w:eastAsia="zh-CN" w:bidi="ar"/>
              </w:rPr>
              <w:t>名称</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30"/>
                <w:szCs w:val="30"/>
                <w:u w:val="none"/>
              </w:rPr>
            </w:pPr>
            <w:r>
              <w:rPr>
                <w:rFonts w:hint="default" w:ascii="方正黑体简体" w:hAnsi="方正黑体简体" w:eastAsia="方正黑体简体" w:cs="方正黑体简体"/>
                <w:i w:val="0"/>
                <w:color w:val="000000"/>
                <w:kern w:val="0"/>
                <w:sz w:val="30"/>
                <w:szCs w:val="30"/>
                <w:u w:val="none"/>
                <w:lang w:val="en-US" w:eastAsia="zh-CN" w:bidi="ar"/>
              </w:rPr>
              <w:t>页码</w:t>
            </w:r>
          </w:p>
        </w:tc>
      </w:tr>
      <w:tr>
        <w:tblPrEx>
          <w:shd w:val="clear" w:color="auto" w:fill="auto"/>
          <w:tblCellMar>
            <w:top w:w="0" w:type="dxa"/>
            <w:left w:w="0" w:type="dxa"/>
            <w:bottom w:w="0" w:type="dxa"/>
            <w:right w:w="0" w:type="dxa"/>
          </w:tblCellMar>
        </w:tblPrEx>
        <w:trPr>
          <w:trHeight w:val="17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保障区领导实施防空应急指挥</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人防指挥保障</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CellMar>
            <w:top w:w="0" w:type="dxa"/>
            <w:left w:w="0" w:type="dxa"/>
            <w:bottom w:w="0" w:type="dxa"/>
            <w:right w:w="0" w:type="dxa"/>
          </w:tblCellMar>
        </w:tblPrEx>
        <w:trPr>
          <w:trHeight w:val="1900" w:hRule="atLeast"/>
        </w:trPr>
        <w:tc>
          <w:tcPr>
            <w:tcW w:w="645"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承担本区战时防空、平时防灾的应急和人防系统日常通信保障任务</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39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人防通信保障</w:t>
            </w:r>
          </w:p>
        </w:tc>
        <w:tc>
          <w:tcPr>
            <w:tcW w:w="118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CellMar>
            <w:top w:w="0" w:type="dxa"/>
            <w:left w:w="0" w:type="dxa"/>
            <w:bottom w:w="0" w:type="dxa"/>
            <w:right w:w="0" w:type="dxa"/>
          </w:tblCellMar>
        </w:tblPrEx>
        <w:trPr>
          <w:trHeight w:val="2100" w:hRule="atLeast"/>
        </w:trPr>
        <w:tc>
          <w:tcPr>
            <w:tcW w:w="6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39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18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4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承担本区人防通信和警报设施设备，人防指挥所维护管理的事务性工作</w:t>
            </w: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3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人防通信和警报设施设备，人防指挥所维护管理</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bl>
    <w:p/>
    <w:p/>
    <w:p/>
    <w:p/>
    <w:p/>
    <w:p/>
    <w:p/>
    <w:p>
      <w:pPr>
        <w:keepNext w:val="0"/>
        <w:keepLines w:val="0"/>
        <w:widowControl/>
        <w:suppressLineNumbers w:val="0"/>
        <w:jc w:val="center"/>
        <w:textAlignment w:val="center"/>
        <w:rPr>
          <w:rFonts w:hint="default" w:ascii="微软简标宋" w:hAnsi="微软简标宋" w:eastAsia="微软简标宋" w:cs="微软简标宋"/>
          <w:i w:val="0"/>
          <w:color w:val="000000"/>
          <w:kern w:val="0"/>
          <w:sz w:val="32"/>
          <w:szCs w:val="32"/>
          <w:u w:val="none"/>
          <w:lang w:val="en-US" w:eastAsia="zh-CN" w:bidi="ar"/>
        </w:rPr>
        <w:sectPr>
          <w:footerReference r:id="rId3" w:type="default"/>
          <w:pgSz w:w="11906" w:h="16838"/>
          <w:pgMar w:top="1440" w:right="1800" w:bottom="1440" w:left="1800" w:header="851" w:footer="992" w:gutter="0"/>
          <w:cols w:space="425" w:num="1"/>
          <w:docGrid w:type="lines" w:linePitch="312" w:charSpace="0"/>
        </w:sectPr>
      </w:pPr>
    </w:p>
    <w:tbl>
      <w:tblPr>
        <w:tblStyle w:val="4"/>
        <w:tblW w:w="8805" w:type="dxa"/>
        <w:tblInd w:w="0" w:type="dxa"/>
        <w:shd w:val="clear" w:color="auto" w:fill="auto"/>
        <w:tblLayout w:type="autofit"/>
        <w:tblCellMar>
          <w:top w:w="0" w:type="dxa"/>
          <w:left w:w="0" w:type="dxa"/>
          <w:bottom w:w="0" w:type="dxa"/>
          <w:right w:w="0" w:type="dxa"/>
        </w:tblCellMar>
      </w:tblPr>
      <w:tblGrid>
        <w:gridCol w:w="2065"/>
        <w:gridCol w:w="6740"/>
      </w:tblGrid>
      <w:tr>
        <w:tblPrEx>
          <w:shd w:val="clear" w:color="auto" w:fill="auto"/>
        </w:tblPrEx>
        <w:trPr>
          <w:trHeight w:val="680" w:hRule="atLeast"/>
        </w:trPr>
        <w:tc>
          <w:tcPr>
            <w:tcW w:w="8805" w:type="dxa"/>
            <w:gridSpan w:val="2"/>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简标宋" w:hAnsi="微软简标宋" w:eastAsia="微软简标宋" w:cs="微软简标宋"/>
                <w:i w:val="0"/>
                <w:color w:val="000000"/>
                <w:sz w:val="32"/>
                <w:szCs w:val="32"/>
                <w:u w:val="none"/>
              </w:rPr>
            </w:pPr>
            <w:bookmarkStart w:id="0" w:name="_GoBack"/>
            <w:bookmarkEnd w:id="0"/>
            <w:r>
              <w:rPr>
                <w:rFonts w:hint="default" w:ascii="微软简标宋" w:hAnsi="微软简标宋" w:eastAsia="微软简标宋" w:cs="微软简标宋"/>
                <w:i w:val="0"/>
                <w:color w:val="000000"/>
                <w:kern w:val="0"/>
                <w:sz w:val="32"/>
                <w:szCs w:val="32"/>
                <w:u w:val="none"/>
                <w:lang w:val="en-US" w:eastAsia="zh-CN" w:bidi="ar"/>
              </w:rPr>
              <w:t>人防指挥保障信息表</w:t>
            </w:r>
          </w:p>
        </w:tc>
      </w:tr>
      <w:tr>
        <w:tblPrEx>
          <w:shd w:val="clear" w:color="auto" w:fill="auto"/>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i w:val="0"/>
                <w:color w:val="000000"/>
                <w:sz w:val="28"/>
                <w:szCs w:val="28"/>
                <w:u w:val="none"/>
              </w:rPr>
            </w:pPr>
            <w:r>
              <w:rPr>
                <w:rFonts w:hint="default" w:ascii="Times New Roman" w:hAnsi="Times New Roman" w:eastAsia="宋体" w:cs="Times New Roman"/>
                <w:i w:val="0"/>
                <w:color w:val="000000"/>
                <w:kern w:val="0"/>
                <w:sz w:val="28"/>
                <w:szCs w:val="28"/>
                <w:u w:val="none"/>
                <w:lang w:val="en-US" w:eastAsia="zh-CN" w:bidi="ar"/>
              </w:rPr>
              <w:t>1.1</w:t>
            </w:r>
          </w:p>
        </w:tc>
      </w:tr>
      <w:tr>
        <w:tblPrEx>
          <w:shd w:val="clear" w:color="auto" w:fill="auto"/>
          <w:tblCellMar>
            <w:top w:w="0" w:type="dxa"/>
            <w:left w:w="0" w:type="dxa"/>
            <w:bottom w:w="0" w:type="dxa"/>
            <w:right w:w="0" w:type="dxa"/>
          </w:tblCellMar>
        </w:tblPrEx>
        <w:trPr>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名称</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人防指挥保障</w:t>
            </w:r>
          </w:p>
        </w:tc>
      </w:tr>
      <w:tr>
        <w:tblPrEx>
          <w:shd w:val="clear" w:color="auto" w:fill="auto"/>
          <w:tblCellMar>
            <w:top w:w="0" w:type="dxa"/>
            <w:left w:w="0" w:type="dxa"/>
            <w:bottom w:w="0" w:type="dxa"/>
            <w:right w:w="0"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法定依据</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t xml:space="preserve">  《中华人民共和国人民防空法》第二十九条，国家保障人民防空通信、警报的畅通，以迅速准确地传递、发放防空警报信号、有效地组织、指挥人民防空。</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实施机构</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color w:val="000000"/>
                <w:kern w:val="0"/>
                <w:sz w:val="24"/>
                <w:szCs w:val="24"/>
                <w:u w:val="none"/>
                <w:lang w:val="en-US" w:eastAsia="zh-CN" w:bidi="ar"/>
              </w:rPr>
              <w:t>天津市滨海新区人防指挥信息保障中心</w:t>
            </w:r>
          </w:p>
        </w:tc>
      </w:tr>
      <w:tr>
        <w:tblPrEx>
          <w:shd w:val="clear" w:color="auto" w:fill="auto"/>
          <w:tblCellMar>
            <w:top w:w="0" w:type="dxa"/>
            <w:left w:w="0" w:type="dxa"/>
            <w:bottom w:w="0" w:type="dxa"/>
            <w:right w:w="0"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职责边界</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sz w:val="24"/>
                <w:szCs w:val="24"/>
                <w:u w:val="none"/>
              </w:rPr>
            </w:pPr>
            <w:r>
              <w:rPr>
                <w:rFonts w:hint="eastAsia" w:asciiTheme="majorEastAsia" w:hAnsiTheme="majorEastAsia" w:eastAsiaTheme="majorEastAsia" w:cstheme="majorEastAsia"/>
                <w:i w:val="0"/>
                <w:color w:val="000000"/>
                <w:kern w:val="0"/>
                <w:sz w:val="24"/>
                <w:szCs w:val="24"/>
                <w:u w:val="none"/>
                <w:lang w:val="en-US" w:eastAsia="zh-CN" w:bidi="ar"/>
              </w:rPr>
              <w:br w:type="textWrapping"/>
            </w:r>
            <w:r>
              <w:rPr>
                <w:rFonts w:hint="eastAsia" w:asciiTheme="majorEastAsia" w:hAnsiTheme="majorEastAsia" w:eastAsiaTheme="majorEastAsia" w:cstheme="majorEastAsia"/>
                <w:i w:val="0"/>
                <w:color w:val="000000"/>
                <w:kern w:val="0"/>
                <w:sz w:val="24"/>
                <w:szCs w:val="24"/>
                <w:u w:val="none"/>
                <w:lang w:val="en-US" w:eastAsia="zh-CN" w:bidi="ar"/>
              </w:rPr>
              <w:t xml:space="preserve">  天津市滨海新区人防指挥信息保障中心按照《滨海新区防空袭预案》负责组织人防指挥通信保障。</w:t>
            </w:r>
          </w:p>
        </w:tc>
      </w:tr>
      <w:tr>
        <w:tblPrEx>
          <w:shd w:val="clear" w:color="auto" w:fill="auto"/>
          <w:tblCellMar>
            <w:top w:w="0" w:type="dxa"/>
            <w:left w:w="0" w:type="dxa"/>
            <w:bottom w:w="0" w:type="dxa"/>
            <w:right w:w="0"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运行流程</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简体" w:hAnsi="方正仿宋简体" w:eastAsia="方正仿宋简体" w:cs="方正仿宋简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制定方案—组织实施</w:t>
            </w:r>
          </w:p>
        </w:tc>
      </w:tr>
      <w:tr>
        <w:tblPrEx>
          <w:shd w:val="clear" w:color="auto" w:fill="auto"/>
          <w:tblCellMar>
            <w:top w:w="0" w:type="dxa"/>
            <w:left w:w="0" w:type="dxa"/>
            <w:bottom w:w="0" w:type="dxa"/>
            <w:right w:w="0"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运行要件</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受过培训的人防指挥通信保障人员</w:t>
            </w:r>
          </w:p>
        </w:tc>
      </w:tr>
      <w:tr>
        <w:tblPrEx>
          <w:shd w:val="clear" w:color="auto" w:fill="auto"/>
          <w:tblCellMar>
            <w:top w:w="0" w:type="dxa"/>
            <w:left w:w="0" w:type="dxa"/>
            <w:bottom w:w="0" w:type="dxa"/>
            <w:right w:w="0" w:type="dxa"/>
          </w:tblCellMar>
        </w:tblPrEx>
        <w:trPr>
          <w:trHeight w:val="2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责任事项</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负责人防指挥通信设备操作和技术保障</w:t>
            </w:r>
          </w:p>
        </w:tc>
      </w:tr>
      <w:tr>
        <w:tblPrEx>
          <w:shd w:val="clear" w:color="auto" w:fill="auto"/>
          <w:tblCellMar>
            <w:top w:w="0" w:type="dxa"/>
            <w:left w:w="0" w:type="dxa"/>
            <w:bottom w:w="0" w:type="dxa"/>
            <w:right w:w="0"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方正黑体简体" w:hAnsi="方正黑体简体" w:eastAsia="方正黑体简体" w:cs="方正黑体简体"/>
                <w:i w:val="0"/>
                <w:color w:val="000000"/>
                <w:sz w:val="28"/>
                <w:szCs w:val="28"/>
                <w:u w:val="none"/>
              </w:rPr>
            </w:pPr>
            <w:r>
              <w:rPr>
                <w:rFonts w:hint="default" w:ascii="方正黑体简体" w:hAnsi="方正黑体简体" w:eastAsia="方正黑体简体" w:cs="方正黑体简体"/>
                <w:i w:val="0"/>
                <w:color w:val="000000"/>
                <w:kern w:val="0"/>
                <w:sz w:val="28"/>
                <w:szCs w:val="28"/>
                <w:u w:val="none"/>
                <w:lang w:val="en-US" w:eastAsia="zh-CN" w:bidi="ar"/>
              </w:rPr>
              <w:t>监督方式</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 xml:space="preserve">部门举报电话：022-25861571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电子邮箱：bhxqrfzx@163.com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来电来访地址：天津市滨海新区大连道1678号</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70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r>
      <w:tr>
        <w:tblPrEx>
          <w:shd w:val="clear" w:color="auto" w:fill="auto"/>
          <w:tblCellMar>
            <w:top w:w="0" w:type="dxa"/>
            <w:left w:w="0" w:type="dxa"/>
            <w:bottom w:w="0" w:type="dxa"/>
            <w:right w:w="0" w:type="dxa"/>
          </w:tblCellMar>
        </w:tblPrEx>
        <w:trPr>
          <w:trHeight w:val="85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人防通信保障</w:t>
            </w:r>
          </w:p>
        </w:tc>
      </w:tr>
      <w:tr>
        <w:tblPrEx>
          <w:shd w:val="clear" w:color="auto" w:fill="auto"/>
          <w:tblCellMar>
            <w:top w:w="0" w:type="dxa"/>
            <w:left w:w="0" w:type="dxa"/>
            <w:bottom w:w="0" w:type="dxa"/>
            <w:right w:w="0" w:type="dxa"/>
          </w:tblCellMar>
        </w:tblPrEx>
        <w:trPr>
          <w:trHeight w:val="312" w:hRule="atLeast"/>
        </w:trPr>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法定依据</w:t>
            </w:r>
          </w:p>
        </w:tc>
        <w:tc>
          <w:tcPr>
            <w:tcW w:w="6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《中华人民共和国人民防空法》第二十九条，国家保障人民防空通信、警报的畅通，以迅速准确地传递、发放防空警报信号、有效地组织、指挥人民防空。</w:t>
            </w:r>
          </w:p>
        </w:tc>
      </w:tr>
      <w:tr>
        <w:tblPrEx>
          <w:shd w:val="clear" w:color="auto" w:fill="auto"/>
          <w:tblCellMar>
            <w:top w:w="0" w:type="dxa"/>
            <w:left w:w="0" w:type="dxa"/>
            <w:bottom w:w="0" w:type="dxa"/>
            <w:right w:w="0" w:type="dxa"/>
          </w:tblCellMar>
        </w:tblPrEx>
        <w:trPr>
          <w:trHeight w:val="1800"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36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实施机构</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天津市滨海新区人防指挥信息保障中心</w:t>
            </w:r>
          </w:p>
        </w:tc>
      </w:tr>
      <w:tr>
        <w:tblPrEx>
          <w:shd w:val="clear" w:color="auto" w:fill="auto"/>
          <w:tblCellMar>
            <w:top w:w="0" w:type="dxa"/>
            <w:left w:w="0" w:type="dxa"/>
            <w:bottom w:w="0" w:type="dxa"/>
            <w:right w:w="0" w:type="dxa"/>
          </w:tblCellMar>
        </w:tblPrEx>
        <w:trPr>
          <w:trHeight w:val="120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职责边界</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天津市滨海新区人防指挥信息保障中心按照《滨海新区防空袭预案》负责组织通信、警报保障。</w:t>
            </w:r>
          </w:p>
        </w:tc>
      </w:tr>
      <w:tr>
        <w:tblPrEx>
          <w:shd w:val="clear" w:color="auto" w:fill="auto"/>
          <w:tblCellMar>
            <w:top w:w="0" w:type="dxa"/>
            <w:left w:w="0" w:type="dxa"/>
            <w:bottom w:w="0" w:type="dxa"/>
            <w:right w:w="0" w:type="dxa"/>
          </w:tblCellMar>
        </w:tblPrEx>
        <w:trPr>
          <w:trHeight w:val="86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运行流程</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制定方案—组织实施</w:t>
            </w:r>
          </w:p>
        </w:tc>
      </w:tr>
      <w:tr>
        <w:tblPrEx>
          <w:shd w:val="clear" w:color="auto" w:fill="auto"/>
          <w:tblCellMar>
            <w:top w:w="0" w:type="dxa"/>
            <w:left w:w="0" w:type="dxa"/>
            <w:bottom w:w="0" w:type="dxa"/>
            <w:right w:w="0" w:type="dxa"/>
          </w:tblCellMar>
        </w:tblPrEx>
        <w:trPr>
          <w:trHeight w:val="86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运行要件</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受过培训的人防指挥通信保障人员</w:t>
            </w:r>
          </w:p>
        </w:tc>
      </w:tr>
      <w:tr>
        <w:tblPrEx>
          <w:shd w:val="clear" w:color="auto" w:fill="auto"/>
          <w:tblCellMar>
            <w:top w:w="0" w:type="dxa"/>
            <w:left w:w="0" w:type="dxa"/>
            <w:bottom w:w="0" w:type="dxa"/>
            <w:right w:w="0" w:type="dxa"/>
          </w:tblCellMar>
        </w:tblPrEx>
        <w:trPr>
          <w:trHeight w:val="158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责任事项</w:t>
            </w:r>
          </w:p>
        </w:tc>
        <w:tc>
          <w:tcPr>
            <w:tcW w:w="6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负责人防通信、警报设备操作和技术保障</w:t>
            </w:r>
          </w:p>
        </w:tc>
      </w:tr>
      <w:tr>
        <w:tblPrEx>
          <w:shd w:val="clear" w:color="auto" w:fill="auto"/>
          <w:tblCellMar>
            <w:top w:w="0" w:type="dxa"/>
            <w:left w:w="0" w:type="dxa"/>
            <w:bottom w:w="0" w:type="dxa"/>
            <w:right w:w="0" w:type="dxa"/>
          </w:tblCellMar>
        </w:tblPrEx>
        <w:trPr>
          <w:trHeight w:val="480" w:hRule="atLeast"/>
        </w:trPr>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监督方式</w:t>
            </w:r>
          </w:p>
        </w:tc>
        <w:tc>
          <w:tcPr>
            <w:tcW w:w="67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部门举报电话：022-25861571 </w:t>
            </w:r>
          </w:p>
        </w:tc>
      </w:tr>
      <w:tr>
        <w:tblPrEx>
          <w:shd w:val="clear" w:color="auto" w:fill="auto"/>
          <w:tblCellMar>
            <w:top w:w="0" w:type="dxa"/>
            <w:left w:w="0" w:type="dxa"/>
            <w:bottom w:w="0" w:type="dxa"/>
            <w:right w:w="0" w:type="dxa"/>
          </w:tblCellMar>
        </w:tblPrEx>
        <w:trPr>
          <w:trHeight w:val="600"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4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电子邮箱：bhxqrfzx@163.com  </w:t>
            </w:r>
          </w:p>
        </w:tc>
      </w:tr>
      <w:tr>
        <w:tblPrEx>
          <w:shd w:val="clear" w:color="auto" w:fill="auto"/>
          <w:tblCellMar>
            <w:top w:w="0" w:type="dxa"/>
            <w:left w:w="0" w:type="dxa"/>
            <w:bottom w:w="0" w:type="dxa"/>
            <w:right w:w="0" w:type="dxa"/>
          </w:tblCellMar>
        </w:tblPrEx>
        <w:trPr>
          <w:trHeight w:val="800"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来电来访地址：天津市滨海新区大连道1678号</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88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r>
      <w:tr>
        <w:tblPrEx>
          <w:shd w:val="clear" w:color="auto" w:fill="auto"/>
          <w:tblCellMar>
            <w:top w:w="0" w:type="dxa"/>
            <w:left w:w="0" w:type="dxa"/>
            <w:bottom w:w="0" w:type="dxa"/>
            <w:right w:w="0" w:type="dxa"/>
          </w:tblCellMar>
        </w:tblPrEx>
        <w:trPr>
          <w:trHeight w:val="124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人防通信和警报设施设备，人防指挥</w:t>
            </w:r>
            <w:r>
              <w:rPr>
                <w:rStyle w:val="7"/>
                <w:lang w:val="en-US" w:eastAsia="zh-CN" w:bidi="ar"/>
              </w:rPr>
              <w:t>所维护管理</w:t>
            </w:r>
          </w:p>
        </w:tc>
      </w:tr>
      <w:tr>
        <w:tblPrEx>
          <w:shd w:val="clear" w:color="auto" w:fill="auto"/>
          <w:tblCellMar>
            <w:top w:w="0" w:type="dxa"/>
            <w:left w:w="0" w:type="dxa"/>
            <w:bottom w:w="0" w:type="dxa"/>
            <w:right w:w="0" w:type="dxa"/>
          </w:tblCellMar>
        </w:tblPrEx>
        <w:trPr>
          <w:trHeight w:val="128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法定依据</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《中华人民共和国人民防空法》第三十五条，人民防空通信、警报设施必须保持良好使用状态。</w:t>
            </w:r>
          </w:p>
        </w:tc>
      </w:tr>
      <w:tr>
        <w:tblPrEx>
          <w:shd w:val="clear" w:color="auto" w:fill="auto"/>
          <w:tblCellMar>
            <w:top w:w="0" w:type="dxa"/>
            <w:left w:w="0" w:type="dxa"/>
            <w:bottom w:w="0" w:type="dxa"/>
            <w:right w:w="0" w:type="dxa"/>
          </w:tblCellMar>
        </w:tblPrEx>
        <w:trPr>
          <w:trHeight w:val="88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实施机构</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天津市滨海新区人防指挥信息保障中心</w:t>
            </w:r>
          </w:p>
        </w:tc>
      </w:tr>
      <w:tr>
        <w:tblPrEx>
          <w:shd w:val="clear" w:color="auto" w:fill="auto"/>
          <w:tblCellMar>
            <w:top w:w="0" w:type="dxa"/>
            <w:left w:w="0" w:type="dxa"/>
            <w:bottom w:w="0" w:type="dxa"/>
            <w:right w:w="0" w:type="dxa"/>
          </w:tblCellMar>
        </w:tblPrEx>
        <w:trPr>
          <w:trHeight w:val="312" w:hRule="atLeast"/>
        </w:trPr>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职责边界</w:t>
            </w:r>
          </w:p>
        </w:tc>
        <w:tc>
          <w:tcPr>
            <w:tcW w:w="6740" w:type="dxa"/>
            <w:vMerge w:val="restart"/>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天津市滨海新区人防指挥信息保障中心负责组织人防通信和警报设施、设备，人防指挥所维护管理、维护经费使用。</w:t>
            </w:r>
          </w:p>
        </w:tc>
      </w:tr>
      <w:tr>
        <w:tblPrEx>
          <w:shd w:val="clear" w:color="auto" w:fill="auto"/>
          <w:tblCellMar>
            <w:top w:w="0" w:type="dxa"/>
            <w:left w:w="0" w:type="dxa"/>
            <w:bottom w:w="0" w:type="dxa"/>
            <w:right w:w="0" w:type="dxa"/>
          </w:tblCellMar>
        </w:tblPrEx>
        <w:trPr>
          <w:trHeight w:val="1320"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40" w:type="dxa"/>
            <w:vMerge w:val="continue"/>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124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运行流程</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制定维护计划</w:t>
            </w:r>
            <w:r>
              <w:rPr>
                <w:rStyle w:val="7"/>
                <w:lang w:val="en-US" w:eastAsia="zh-CN" w:bidi="ar"/>
              </w:rPr>
              <w:t>—招投标—组织项目施工—竣工验收—使用管理</w:t>
            </w:r>
          </w:p>
        </w:tc>
      </w:tr>
      <w:tr>
        <w:tblPrEx>
          <w:shd w:val="clear" w:color="auto" w:fill="auto"/>
          <w:tblCellMar>
            <w:top w:w="0" w:type="dxa"/>
            <w:left w:w="0" w:type="dxa"/>
            <w:bottom w:w="0" w:type="dxa"/>
            <w:right w:w="0" w:type="dxa"/>
          </w:tblCellMar>
        </w:tblPrEx>
        <w:trPr>
          <w:trHeight w:val="160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运行要件</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市政公用工程专业承包贰级，钢结构工程专业承包贰级，建筑机电安装工程专业承包叁级，建筑工程施工总承包贰级，电力工程施工总承包叁级。</w:t>
            </w:r>
          </w:p>
        </w:tc>
      </w:tr>
      <w:tr>
        <w:tblPrEx>
          <w:tblCellMar>
            <w:top w:w="0" w:type="dxa"/>
            <w:left w:w="0" w:type="dxa"/>
            <w:bottom w:w="0" w:type="dxa"/>
            <w:right w:w="0" w:type="dxa"/>
          </w:tblCellMar>
        </w:tblPrEx>
        <w:trPr>
          <w:trHeight w:val="1540" w:hRule="atLeast"/>
        </w:trPr>
        <w:tc>
          <w:tcPr>
            <w:tcW w:w="2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责任事项</w:t>
            </w:r>
          </w:p>
        </w:tc>
        <w:tc>
          <w:tcPr>
            <w:tcW w:w="6740"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负责组织设备、设施维修监督和使用管理</w:t>
            </w:r>
          </w:p>
        </w:tc>
      </w:tr>
      <w:tr>
        <w:tblPrEx>
          <w:tblCellMar>
            <w:top w:w="0" w:type="dxa"/>
            <w:left w:w="0" w:type="dxa"/>
            <w:bottom w:w="0" w:type="dxa"/>
            <w:right w:w="0" w:type="dxa"/>
          </w:tblCellMar>
        </w:tblPrEx>
        <w:trPr>
          <w:trHeight w:val="600" w:hRule="atLeast"/>
        </w:trPr>
        <w:tc>
          <w:tcPr>
            <w:tcW w:w="2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监督方式</w:t>
            </w:r>
          </w:p>
        </w:tc>
        <w:tc>
          <w:tcPr>
            <w:tcW w:w="6740" w:type="dxa"/>
            <w:tcBorders>
              <w:top w:val="single" w:color="000000" w:sz="4" w:space="0"/>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部门举报电话：022-25861571</w:t>
            </w:r>
            <w:r>
              <w:rPr>
                <w:rStyle w:val="7"/>
                <w:lang w:val="en-US" w:eastAsia="zh-CN" w:bidi="ar"/>
              </w:rPr>
              <w:t xml:space="preserve"> </w:t>
            </w:r>
          </w:p>
        </w:tc>
      </w:tr>
      <w:tr>
        <w:tblPrEx>
          <w:tblCellMar>
            <w:top w:w="0" w:type="dxa"/>
            <w:left w:w="0" w:type="dxa"/>
            <w:bottom w:w="0" w:type="dxa"/>
            <w:right w:w="0" w:type="dxa"/>
          </w:tblCellMar>
        </w:tblPrEx>
        <w:trPr>
          <w:trHeight w:val="590"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40" w:type="dxa"/>
            <w:tcBorders>
              <w:top w:val="nil"/>
              <w:left w:val="single" w:color="000000"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电子邮箱：bhxqrfzx@163.com  </w:t>
            </w:r>
          </w:p>
        </w:tc>
      </w:tr>
      <w:tr>
        <w:tblPrEx>
          <w:shd w:val="clear" w:color="auto" w:fill="auto"/>
        </w:tblPrEx>
        <w:trPr>
          <w:trHeight w:val="710"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6740" w:type="dxa"/>
            <w:tcBorders>
              <w:top w:val="nil"/>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来电来访地址：天津市滨海新区大连道1678</w:t>
            </w:r>
            <w:r>
              <w:rPr>
                <w:rStyle w:val="7"/>
                <w:lang w:val="en-US" w:eastAsia="zh-CN" w:bidi="ar"/>
              </w:rPr>
              <w:t>号</w:t>
            </w: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简标宋">
    <w:altName w:val="宋体"/>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黑体简体">
    <w:altName w:val="Arial Unicode MS"/>
    <w:panose1 w:val="00000000000000000000"/>
    <w:charset w:val="00"/>
    <w:family w:val="auto"/>
    <w:pitch w:val="default"/>
    <w:sig w:usb0="00000000" w:usb1="00000000" w:usb2="00000000" w:usb3="00000000" w:csb0="00000000" w:csb1="00000000"/>
  </w:font>
  <w:font w:name="方正仿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B140BF"/>
    <w:rsid w:val="6A9D6680"/>
    <w:rsid w:val="772A001F"/>
    <w:rsid w:val="FFB39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91"/>
    <w:basedOn w:val="5"/>
    <w:qFormat/>
    <w:uiPriority w:val="0"/>
    <w:rPr>
      <w:rFonts w:hint="default" w:ascii="微软简标宋" w:hAnsi="微软简标宋" w:eastAsia="微软简标宋" w:cs="微软简标宋"/>
      <w:b/>
      <w:color w:val="000000"/>
      <w:sz w:val="32"/>
      <w:szCs w:val="32"/>
      <w:u w:val="none"/>
    </w:rPr>
  </w:style>
  <w:style w:type="character" w:customStyle="1" w:styleId="7">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2021-08-17T17:13:00Z</dcterms:created>
  <dc:creator>lenovo</dc:creator>
  <cp:lastModifiedBy>小风筝_薇</cp:lastModifiedBy>
  <cp:lastPrinted>2021-08-20T11:28:00Z</cp:lastPrinted>
  <dcterms:modified xsi:type="dcterms:W3CDTF">2021-11-22T08:41:16Z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A54D1713D12D4C0C9DE4CBC10CAF22C1</vt:lpwstr>
  </property>
</Properties>
</file>