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  <w:rPr>
          <w:b/>
          <w:bCs/>
        </w:rPr>
      </w:pPr>
      <w:bookmarkStart w:id="0" w:name="_Toc67696073"/>
      <w:bookmarkStart w:id="1" w:name="_Toc67389205"/>
      <w:bookmarkStart w:id="2" w:name="_Toc66209339"/>
      <w:bookmarkStart w:id="3" w:name="_Toc66209403"/>
      <w:bookmarkStart w:id="4" w:name="_Toc66209472"/>
      <w:r>
        <w:rPr>
          <w:rFonts w:hint="eastAsia"/>
        </w:rPr>
        <w:t>天津市滨海新区殡葬服务设施专项规划</w:t>
      </w:r>
      <w:bookmarkEnd w:id="0"/>
      <w:bookmarkEnd w:id="1"/>
      <w:bookmarkEnd w:id="2"/>
      <w:bookmarkEnd w:id="3"/>
      <w:bookmarkEnd w:id="4"/>
    </w:p>
    <w:p>
      <w:pPr>
        <w:pStyle w:val="8"/>
        <w:rPr>
          <w:b/>
          <w:bCs/>
        </w:rPr>
      </w:pPr>
      <w:bookmarkStart w:id="5" w:name="_Toc67389206"/>
      <w:bookmarkStart w:id="6" w:name="_Toc66209340"/>
      <w:bookmarkStart w:id="7" w:name="_Toc67696074"/>
      <w:bookmarkStart w:id="8" w:name="_Toc66209473"/>
      <w:bookmarkStart w:id="9" w:name="_Toc66209404"/>
      <w:r>
        <w:rPr>
          <w:rFonts w:hint="eastAsia"/>
        </w:rPr>
        <w:t>（2</w:t>
      </w:r>
      <w:r>
        <w:t>02</w:t>
      </w:r>
      <w:r>
        <w:rPr>
          <w:rFonts w:hint="eastAsia"/>
        </w:rPr>
        <w:t>1</w:t>
      </w:r>
      <w:r>
        <w:t>-2035</w:t>
      </w:r>
      <w:r>
        <w:rPr>
          <w:rFonts w:hint="eastAsia"/>
        </w:rPr>
        <w:t>年）</w:t>
      </w:r>
      <w:bookmarkEnd w:id="5"/>
      <w:bookmarkEnd w:id="6"/>
      <w:bookmarkEnd w:id="7"/>
      <w:bookmarkEnd w:id="8"/>
      <w:bookmarkEnd w:id="9"/>
    </w:p>
    <w:p>
      <w:pPr>
        <w:pStyle w:val="8"/>
      </w:pPr>
    </w:p>
    <w:p>
      <w:pPr>
        <w:pStyle w:val="8"/>
        <w:rPr>
          <w:b/>
          <w:bCs/>
          <w:sz w:val="36"/>
          <w:szCs w:val="36"/>
        </w:rPr>
      </w:pPr>
      <w:bookmarkStart w:id="10" w:name="_Toc66209405"/>
      <w:bookmarkStart w:id="11" w:name="_Toc66209474"/>
      <w:bookmarkStart w:id="12" w:name="_Toc67696075"/>
      <w:bookmarkStart w:id="13" w:name="_Toc67389207"/>
      <w:bookmarkStart w:id="14" w:name="_Toc66209341"/>
      <w:r>
        <w:rPr>
          <w:rFonts w:hint="eastAsia"/>
          <w:sz w:val="36"/>
          <w:szCs w:val="36"/>
        </w:rPr>
        <w:t>（征求意见稿）</w:t>
      </w:r>
      <w:bookmarkEnd w:id="10"/>
      <w:bookmarkEnd w:id="11"/>
      <w:bookmarkEnd w:id="12"/>
      <w:bookmarkEnd w:id="13"/>
      <w:bookmarkEnd w:id="14"/>
    </w:p>
    <w:p/>
    <w:p/>
    <w:p/>
    <w:p>
      <w:pPr>
        <w:ind w:firstLine="0" w:firstLineChars="0"/>
      </w:pPr>
    </w:p>
    <w:p>
      <w:pPr>
        <w:ind w:firstLine="0" w:firstLineChars="0"/>
      </w:pPr>
    </w:p>
    <w:p/>
    <w:p/>
    <w:p>
      <w:pPr>
        <w:pStyle w:val="8"/>
        <w:rPr>
          <w:sz w:val="32"/>
          <w:szCs w:val="32"/>
        </w:rPr>
      </w:pPr>
      <w:bookmarkStart w:id="15" w:name="_Toc66209475"/>
      <w:bookmarkStart w:id="16" w:name="_Toc66209342"/>
      <w:bookmarkStart w:id="17" w:name="_Toc67696076"/>
      <w:bookmarkStart w:id="18" w:name="_Toc66209406"/>
      <w:bookmarkStart w:id="19" w:name="_Toc67389208"/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021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12</w:t>
      </w:r>
      <w:r>
        <w:rPr>
          <w:rFonts w:hint="eastAsia"/>
          <w:sz w:val="32"/>
          <w:szCs w:val="32"/>
        </w:rPr>
        <w:t>月</w:t>
      </w:r>
      <w:bookmarkEnd w:id="15"/>
      <w:bookmarkEnd w:id="16"/>
      <w:bookmarkEnd w:id="17"/>
      <w:bookmarkEnd w:id="18"/>
      <w:bookmarkEnd w:id="19"/>
    </w:p>
    <w:p>
      <w:pPr>
        <w:ind w:firstLine="558" w:firstLineChars="186"/>
        <w:rPr>
          <w:rFonts w:ascii="仿宋" w:hAnsi="仿宋" w:eastAsia="仿宋"/>
          <w:sz w:val="30"/>
          <w:szCs w:val="30"/>
        </w:rPr>
      </w:pPr>
    </w:p>
    <w:p>
      <w:pPr>
        <w:ind w:firstLine="558" w:firstLineChars="186"/>
        <w:rPr>
          <w:rFonts w:ascii="仿宋" w:hAnsi="仿宋" w:eastAsia="仿宋"/>
          <w:sz w:val="30"/>
          <w:szCs w:val="30"/>
        </w:rPr>
        <w:sectPr>
          <w:headerReference r:id="rId6" w:type="first"/>
          <w:footerReference r:id="rId9" w:type="first"/>
          <w:footerReference r:id="rId7" w:type="default"/>
          <w:headerReference r:id="rId5" w:type="even"/>
          <w:footerReference r:id="rId8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r>
        <w:rPr>
          <w:rFonts w:hint="eastAsia"/>
        </w:rPr>
        <w:t>一、规划范围与期限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本规划范围为天津市滨海新区行政辖区。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本规划期限为</w:t>
      </w:r>
      <w:r>
        <w:rPr>
          <w:rFonts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</w:rPr>
        <w:t>1</w:t>
      </w:r>
      <w:r>
        <w:rPr>
          <w:rFonts w:ascii="仿宋" w:hAnsi="仿宋" w:eastAsia="仿宋"/>
          <w:sz w:val="30"/>
          <w:szCs w:val="30"/>
        </w:rPr>
        <w:t>年至2035年。其中，近期为202</w:t>
      </w:r>
      <w:r>
        <w:rPr>
          <w:rFonts w:hint="eastAsia" w:ascii="仿宋" w:hAnsi="仿宋" w:eastAsia="仿宋"/>
          <w:sz w:val="30"/>
          <w:szCs w:val="30"/>
        </w:rPr>
        <w:t>1</w:t>
      </w:r>
      <w:r>
        <w:rPr>
          <w:rFonts w:ascii="仿宋" w:hAnsi="仿宋" w:eastAsia="仿宋"/>
          <w:sz w:val="30"/>
          <w:szCs w:val="30"/>
        </w:rPr>
        <w:t>年至2025年；远期为2026年至2035年。</w:t>
      </w:r>
    </w:p>
    <w:p>
      <w:pPr>
        <w:pStyle w:val="2"/>
      </w:pPr>
      <w:r>
        <w:rPr>
          <w:rFonts w:hint="eastAsia"/>
        </w:rPr>
        <w:t>二、规划原则与目标</w:t>
      </w:r>
    </w:p>
    <w:p>
      <w:pPr>
        <w:ind w:firstLine="602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规划原则：</w:t>
      </w:r>
      <w:r>
        <w:rPr>
          <w:rFonts w:hint="eastAsia" w:ascii="仿宋" w:hAnsi="仿宋" w:eastAsia="仿宋"/>
          <w:sz w:val="30"/>
          <w:szCs w:val="30"/>
        </w:rPr>
        <w:t>尊重现状，合理布局；适度前瞻，长效发展；完善体系，提升服务；城乡统筹，方便群众；尊重传统，多元供给。</w:t>
      </w:r>
    </w:p>
    <w:p>
      <w:pPr>
        <w:ind w:firstLine="602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规划目标：</w:t>
      </w:r>
      <w:r>
        <w:rPr>
          <w:rFonts w:hint="eastAsia" w:ascii="仿宋" w:hAnsi="仿宋" w:eastAsia="仿宋"/>
          <w:sz w:val="30"/>
          <w:szCs w:val="30"/>
        </w:rPr>
        <w:t>以满足人民群众殡葬服务需求为根本出发点，按照滨海新区城市发展要求，建立和完善覆盖城乡的层级清晰、布局合理、结构优化、功能齐全的殡葬服务设施体系。</w:t>
      </w:r>
    </w:p>
    <w:p>
      <w:pPr>
        <w:pStyle w:val="2"/>
      </w:pPr>
      <w:r>
        <w:rPr>
          <w:rFonts w:hint="eastAsia"/>
        </w:rPr>
        <w:t>三、规划设施体系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健全三类殡葬服务设施和两级殡葬服务体系。本规划殡葬服务设施包括殡仪馆、经营性公墓、公益性墓地、公益性骨灰堂、回民公墓和殡仪服务中心（站）。</w:t>
      </w:r>
    </w:p>
    <w:p>
      <w:pPr>
        <w:pStyle w:val="2"/>
      </w:pPr>
      <w:r>
        <w:rPr>
          <w:rFonts w:hint="eastAsia"/>
        </w:rPr>
        <w:t>四、殡葬服务设施布局规划</w:t>
      </w:r>
    </w:p>
    <w:p>
      <w:pPr>
        <w:pStyle w:val="3"/>
      </w:pPr>
      <w:r>
        <w:rPr>
          <w:rFonts w:hint="eastAsia"/>
        </w:rPr>
        <w:t>（一）殡仪馆及殡仪服务中心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规划</w:t>
      </w:r>
      <w:r>
        <w:rPr>
          <w:rFonts w:ascii="仿宋" w:hAnsi="仿宋" w:eastAsia="仿宋"/>
          <w:sz w:val="30"/>
          <w:szCs w:val="30"/>
        </w:rPr>
        <w:t>殡仪馆</w:t>
      </w:r>
      <w:r>
        <w:rPr>
          <w:rFonts w:hint="eastAsia" w:ascii="仿宋" w:hAnsi="仿宋" w:eastAsia="仿宋"/>
          <w:sz w:val="30"/>
          <w:szCs w:val="30"/>
        </w:rPr>
        <w:t>共5处</w:t>
      </w:r>
      <w:r>
        <w:rPr>
          <w:rFonts w:ascii="仿宋" w:hAnsi="仿宋" w:eastAsia="仿宋"/>
          <w:sz w:val="30"/>
          <w:szCs w:val="30"/>
        </w:rPr>
        <w:t>，</w:t>
      </w:r>
      <w:r>
        <w:rPr>
          <w:rFonts w:hint="eastAsia" w:ascii="仿宋" w:hAnsi="仿宋" w:eastAsia="仿宋"/>
          <w:sz w:val="30"/>
          <w:szCs w:val="30"/>
        </w:rPr>
        <w:t>其中现状保留4处、新建1处，均为区属殡仪馆，</w:t>
      </w:r>
      <w:r>
        <w:rPr>
          <w:rFonts w:ascii="仿宋" w:hAnsi="仿宋" w:eastAsia="仿宋"/>
          <w:sz w:val="30"/>
          <w:szCs w:val="30"/>
        </w:rPr>
        <w:t>满足规划期末人口火化量需要。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规划殡仪服务中心1处，为现状保留塘沽第二殡仪馆。</w:t>
      </w:r>
    </w:p>
    <w:p>
      <w:pPr>
        <w:pStyle w:val="3"/>
      </w:pPr>
      <w:r>
        <w:rPr>
          <w:rFonts w:hint="eastAsia"/>
        </w:rPr>
        <w:t>（二）经营性公墓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规划经营性公墓共3</w:t>
      </w:r>
      <w:r>
        <w:rPr>
          <w:rFonts w:ascii="仿宋" w:hAnsi="仿宋" w:eastAsia="仿宋"/>
          <w:sz w:val="30"/>
          <w:szCs w:val="30"/>
        </w:rPr>
        <w:t>处，</w:t>
      </w:r>
      <w:r>
        <w:rPr>
          <w:rFonts w:hint="eastAsia" w:ascii="仿宋" w:hAnsi="仿宋" w:eastAsia="仿宋"/>
          <w:sz w:val="30"/>
          <w:szCs w:val="30"/>
        </w:rPr>
        <w:t>其中现状保留2处、迁建1处，均为区属经营性公墓</w:t>
      </w:r>
      <w:r>
        <w:rPr>
          <w:rFonts w:ascii="仿宋" w:hAnsi="仿宋" w:eastAsia="仿宋"/>
          <w:sz w:val="30"/>
          <w:szCs w:val="30"/>
        </w:rPr>
        <w:t>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按照《天津市殡葬管理条例实施办法》要求，不再新增经营性公墓。</w:t>
      </w:r>
    </w:p>
    <w:p>
      <w:pPr>
        <w:pStyle w:val="3"/>
      </w:pPr>
      <w:r>
        <w:rPr>
          <w:rFonts w:hint="eastAsia"/>
        </w:rPr>
        <w:t>（三）公益性墓地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为强化土地集约节约利用、减少乡村地区设施散点，取消现有2处公益性墓地，不规划公益性墓地。</w:t>
      </w:r>
    </w:p>
    <w:p>
      <w:pPr>
        <w:pStyle w:val="3"/>
      </w:pPr>
      <w:r>
        <w:rPr>
          <w:rFonts w:hint="eastAsia"/>
        </w:rPr>
        <w:t>（四）公益性骨灰堂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市级层面，将中塘镇镇</w:t>
      </w:r>
      <w:r>
        <w:rPr>
          <w:rFonts w:ascii="仿宋" w:hAnsi="仿宋" w:eastAsia="仿宋"/>
          <w:sz w:val="30"/>
          <w:szCs w:val="30"/>
        </w:rPr>
        <w:t>公益性骨灰堂提升为市级公益性骨灰堂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乡镇级层面，规划乡镇级公益性骨灰堂共7处，其中现状保留3处，新建4处。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村级层面，规划村级公益性骨灰堂共10处，均为现状保留。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原则上每个乡镇（街道）建设</w:t>
      </w: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处</w:t>
      </w:r>
      <w:r>
        <w:rPr>
          <w:rFonts w:ascii="仿宋" w:hAnsi="仿宋" w:eastAsia="仿宋"/>
          <w:sz w:val="30"/>
          <w:szCs w:val="30"/>
        </w:rPr>
        <w:t>骨灰堂，地域面积较小，人口数量较少（不足4万）的乡镇（街道）可采取与相邻乡镇（街道）联建的方式建设。为便于规范管理，节约集约用地，原则上不再新建村级公益性骨灰堂。</w:t>
      </w:r>
    </w:p>
    <w:p>
      <w:pPr>
        <w:pStyle w:val="3"/>
      </w:pPr>
      <w:r>
        <w:rPr>
          <w:rFonts w:hint="eastAsia"/>
        </w:rPr>
        <w:t>（五）回民公墓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规划回民公墓共4</w:t>
      </w:r>
      <w:r>
        <w:rPr>
          <w:rFonts w:ascii="仿宋" w:hAnsi="仿宋" w:eastAsia="仿宋"/>
          <w:sz w:val="30"/>
          <w:szCs w:val="30"/>
        </w:rPr>
        <w:t>处，</w:t>
      </w:r>
      <w:r>
        <w:rPr>
          <w:rFonts w:hint="eastAsia" w:ascii="仿宋" w:hAnsi="仿宋" w:eastAsia="仿宋"/>
          <w:sz w:val="30"/>
          <w:szCs w:val="30"/>
        </w:rPr>
        <w:t>均为现状保留；</w:t>
      </w:r>
      <w:r>
        <w:rPr>
          <w:rFonts w:ascii="仿宋" w:hAnsi="仿宋" w:eastAsia="仿宋"/>
          <w:sz w:val="30"/>
          <w:szCs w:val="30"/>
        </w:rPr>
        <w:t>2</w:t>
      </w:r>
      <w:r>
        <w:rPr>
          <w:rFonts w:hint="eastAsia" w:ascii="仿宋" w:hAnsi="仿宋" w:eastAsia="仿宋"/>
          <w:sz w:val="30"/>
          <w:szCs w:val="30"/>
        </w:rPr>
        <w:t>处为区级回民公墓、2处为现状保留村级回民公墓。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不再新增村级回民公墓，现状保留村级回民公墓不再进行改扩建。</w:t>
      </w:r>
    </w:p>
    <w:p>
      <w:pPr>
        <w:pStyle w:val="3"/>
      </w:pPr>
      <w:r>
        <w:rPr>
          <w:rFonts w:hint="eastAsia"/>
        </w:rPr>
        <w:t>（六）殡仪服务站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原则上各涉农的乡镇、街道可建设至少</w:t>
      </w:r>
      <w:r>
        <w:rPr>
          <w:rFonts w:ascii="仿宋" w:hAnsi="仿宋" w:eastAsia="仿宋"/>
          <w:sz w:val="30"/>
          <w:szCs w:val="30"/>
        </w:rPr>
        <w:t>1处乡镇级殡仪服务站。具备悼念、守灵等功能的市、区级殡仪服务设施已覆盖的乡镇、街道不再新增乡镇（街道）级殡仪服务站。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pStyle w:val="3"/>
      </w:pPr>
      <w:r>
        <w:rPr>
          <w:rFonts w:hint="eastAsia"/>
        </w:rPr>
        <w:t>（七）预留发展空间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在官港原琦盛地块预留1处殡葬服务设施用地，用地面积约10.8公顷。</w:t>
      </w:r>
    </w:p>
    <w:p>
      <w:pPr>
        <w:pStyle w:val="2"/>
      </w:pPr>
      <w:r>
        <w:rPr>
          <w:rFonts w:hint="eastAsia"/>
          <w:lang w:eastAsia="zh-CN"/>
        </w:rPr>
        <w:t>五</w:t>
      </w:r>
      <w:r>
        <w:rPr>
          <w:rFonts w:hint="eastAsia"/>
        </w:rPr>
        <w:t>、设施建设标准</w:t>
      </w:r>
    </w:p>
    <w:p>
      <w:pPr>
        <w:pStyle w:val="3"/>
      </w:pPr>
      <w:r>
        <w:rPr>
          <w:rFonts w:hint="eastAsia"/>
        </w:rPr>
        <w:t>（一）殡仪馆</w:t>
      </w:r>
    </w:p>
    <w:p>
      <w:pPr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按照《殡仪馆建设标准》（建标</w:t>
      </w:r>
      <w:r>
        <w:rPr>
          <w:rFonts w:ascii="仿宋" w:hAnsi="仿宋" w:eastAsia="仿宋"/>
          <w:sz w:val="30"/>
          <w:szCs w:val="30"/>
        </w:rPr>
        <w:t>181-2017）</w:t>
      </w:r>
      <w:r>
        <w:rPr>
          <w:rFonts w:hint="eastAsia" w:ascii="仿宋" w:hAnsi="仿宋" w:eastAsia="仿宋"/>
          <w:sz w:val="30"/>
          <w:szCs w:val="30"/>
        </w:rPr>
        <w:t>设计，并依托殡仪馆配建提供集中守灵的殡仪服务功能建筑。</w:t>
      </w:r>
    </w:p>
    <w:p>
      <w:pPr>
        <w:pStyle w:val="3"/>
      </w:pPr>
      <w:r>
        <w:rPr>
          <w:rFonts w:hint="eastAsia"/>
        </w:rPr>
        <w:t>（二）公墓</w:t>
      </w:r>
    </w:p>
    <w:tbl>
      <w:tblPr>
        <w:tblStyle w:val="9"/>
        <w:tblW w:w="8286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9"/>
        <w:gridCol w:w="3260"/>
        <w:gridCol w:w="34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  <w:jc w:val="center"/>
        </w:trPr>
        <w:tc>
          <w:tcPr>
            <w:tcW w:w="1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</w:rPr>
              <w:t>设施类别</w:t>
            </w:r>
          </w:p>
        </w:tc>
        <w:tc>
          <w:tcPr>
            <w:tcW w:w="3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</w:rPr>
              <w:t>单穴占地</w:t>
            </w:r>
          </w:p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</w:rPr>
              <w:t>（不含公共绿化和道路用地）</w:t>
            </w:r>
          </w:p>
        </w:tc>
        <w:tc>
          <w:tcPr>
            <w:tcW w:w="34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</w:rPr>
              <w:t>设施总规模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  <w:jc w:val="center"/>
        </w:trPr>
        <w:tc>
          <w:tcPr>
            <w:tcW w:w="1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经营性公墓</w:t>
            </w:r>
          </w:p>
        </w:tc>
        <w:tc>
          <w:tcPr>
            <w:tcW w:w="3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≤1平方米</w:t>
            </w:r>
          </w:p>
        </w:tc>
        <w:tc>
          <w:tcPr>
            <w:tcW w:w="34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——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1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公益性墓地</w:t>
            </w:r>
          </w:p>
        </w:tc>
        <w:tc>
          <w:tcPr>
            <w:tcW w:w="3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≤0.8平方米</w:t>
            </w:r>
          </w:p>
        </w:tc>
        <w:tc>
          <w:tcPr>
            <w:tcW w:w="34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区级不超过33.5公顷</w:t>
            </w:r>
          </w:p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乡镇（街道）级不超过3.5公顷</w:t>
            </w:r>
          </w:p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村级不超过0.7公顷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回民公墓</w:t>
            </w:r>
          </w:p>
        </w:tc>
        <w:tc>
          <w:tcPr>
            <w:tcW w:w="32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单人墓≤4平方米；</w:t>
            </w:r>
          </w:p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双人墓≤</w:t>
            </w:r>
            <w:r>
              <w:rPr>
                <w:rFonts w:hint="eastAsia" w:cs="宋体"/>
                <w:sz w:val="21"/>
                <w:szCs w:val="21"/>
              </w:rPr>
              <w:t>6</w:t>
            </w:r>
            <w:r>
              <w:rPr>
                <w:rFonts w:hint="eastAsia" w:ascii="仿宋" w:hAnsi="仿宋" w:eastAsia="仿宋"/>
                <w:sz w:val="21"/>
                <w:szCs w:val="21"/>
              </w:rPr>
              <w:t>平方米</w:t>
            </w:r>
          </w:p>
        </w:tc>
        <w:tc>
          <w:tcPr>
            <w:tcW w:w="34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firstLine="0" w:firstLineChars="0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——</w:t>
            </w:r>
          </w:p>
        </w:tc>
      </w:tr>
    </w:tbl>
    <w:p>
      <w:pPr>
        <w:pStyle w:val="3"/>
      </w:pPr>
      <w:r>
        <w:rPr>
          <w:rFonts w:hint="eastAsia"/>
        </w:rPr>
        <w:t>（三）公益性骨灰堂</w:t>
      </w:r>
    </w:p>
    <w:tbl>
      <w:tblPr>
        <w:tblStyle w:val="9"/>
        <w:tblW w:w="828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1"/>
        <w:gridCol w:w="2870"/>
        <w:gridCol w:w="289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25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left="-2" w:leftChars="-2" w:hanging="4" w:hangingChars="2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</w:rPr>
              <w:t>设施类别</w:t>
            </w:r>
          </w:p>
        </w:tc>
        <w:tc>
          <w:tcPr>
            <w:tcW w:w="28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left="-2" w:leftChars="-2" w:hanging="4" w:hangingChars="2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</w:rPr>
              <w:t>格均占地</w:t>
            </w:r>
          </w:p>
          <w:p>
            <w:pPr>
              <w:ind w:left="-2" w:leftChars="-2" w:hanging="4" w:hangingChars="2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</w:rPr>
              <w:t>（不含公共绿化和道路用地）</w:t>
            </w:r>
          </w:p>
        </w:tc>
        <w:tc>
          <w:tcPr>
            <w:tcW w:w="2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left="-2" w:leftChars="-2" w:hanging="4" w:hangingChars="2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</w:rPr>
              <w:t>格均建筑面积（不含公共绿化和道路用地）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" w:hRule="atLeast"/>
        </w:trPr>
        <w:tc>
          <w:tcPr>
            <w:tcW w:w="25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left="-2" w:leftChars="-2" w:hanging="4" w:hangingChars="2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公益性骨灰堂</w:t>
            </w:r>
          </w:p>
        </w:tc>
        <w:tc>
          <w:tcPr>
            <w:tcW w:w="28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left="-2" w:leftChars="-2" w:hanging="4" w:hangingChars="2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≤0.33平方米</w:t>
            </w:r>
          </w:p>
        </w:tc>
        <w:tc>
          <w:tcPr>
            <w:tcW w:w="2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ind w:left="-2" w:leftChars="-2" w:hanging="4" w:hangingChars="2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≤0.25平方米</w:t>
            </w:r>
          </w:p>
        </w:tc>
      </w:tr>
    </w:tbl>
    <w:p>
      <w:pPr>
        <w:pStyle w:val="2"/>
      </w:pPr>
      <w:r>
        <w:rPr>
          <w:rFonts w:hint="eastAsia"/>
          <w:lang w:eastAsia="zh-CN"/>
        </w:rPr>
        <w:t>六</w:t>
      </w:r>
      <w:r>
        <w:rPr>
          <w:rFonts w:hint="eastAsia"/>
        </w:rPr>
        <w:t>、</w:t>
      </w:r>
      <w:bookmarkStart w:id="20" w:name="_GoBack"/>
      <w:r>
        <w:rPr>
          <w:rFonts w:hint="eastAsia"/>
        </w:rPr>
        <w:t>近期建设计划</w:t>
      </w:r>
      <w:bookmarkEnd w:id="20"/>
    </w:p>
    <w:p>
      <w:pPr>
        <w:pStyle w:val="3"/>
      </w:pPr>
      <w:r>
        <w:rPr>
          <w:rFonts w:hint="eastAsia"/>
        </w:rPr>
        <w:t>（一）加快市、区级殡葬服务设施建设</w:t>
      </w:r>
    </w:p>
    <w:p>
      <w:pPr>
        <w:pStyle w:val="3"/>
        <w:ind w:firstLine="600"/>
        <w:rPr>
          <w:b w:val="0"/>
          <w:bCs w:val="0"/>
        </w:rPr>
      </w:pPr>
      <w:r>
        <w:rPr>
          <w:b w:val="0"/>
          <w:bCs w:val="0"/>
        </w:rPr>
        <w:t>1、改扩建市级中塘骨灰堂，位于万家码头</w:t>
      </w:r>
      <w:r>
        <w:rPr>
          <w:rFonts w:hint="eastAsia"/>
          <w:b w:val="0"/>
          <w:bCs w:val="0"/>
        </w:rPr>
        <w:t>，</w:t>
      </w:r>
      <w:r>
        <w:rPr>
          <w:b w:val="0"/>
          <w:bCs w:val="0"/>
        </w:rPr>
        <w:t>用地</w:t>
      </w:r>
      <w:r>
        <w:rPr>
          <w:rFonts w:hint="eastAsia"/>
          <w:b w:val="0"/>
          <w:bCs w:val="0"/>
        </w:rPr>
        <w:t>面积约</w:t>
      </w:r>
      <w:r>
        <w:rPr>
          <w:b w:val="0"/>
          <w:bCs w:val="0"/>
        </w:rPr>
        <w:t>23.33公顷。</w:t>
      </w:r>
    </w:p>
    <w:p>
      <w:pPr>
        <w:pStyle w:val="3"/>
        <w:ind w:firstLine="600"/>
        <w:jc w:val="left"/>
        <w:rPr>
          <w:b w:val="0"/>
          <w:bCs w:val="0"/>
        </w:rPr>
      </w:pPr>
      <w:r>
        <w:rPr>
          <w:b w:val="0"/>
          <w:bCs w:val="0"/>
        </w:rPr>
        <w:t>2、新建滨海新区殡仪馆，位于宁车沽，用地面积约25公顷。</w:t>
      </w:r>
    </w:p>
    <w:p>
      <w:pPr>
        <w:pStyle w:val="3"/>
        <w:ind w:firstLine="600"/>
        <w:jc w:val="left"/>
        <w:rPr>
          <w:b w:val="0"/>
          <w:bCs w:val="0"/>
        </w:rPr>
      </w:pPr>
      <w:r>
        <w:rPr>
          <w:b w:val="0"/>
          <w:bCs w:val="0"/>
        </w:rPr>
        <w:t>3</w:t>
      </w:r>
      <w:r>
        <w:rPr>
          <w:rFonts w:hint="eastAsia"/>
          <w:b w:val="0"/>
          <w:bCs w:val="0"/>
        </w:rPr>
        <w:t>、</w:t>
      </w:r>
      <w:r>
        <w:rPr>
          <w:b w:val="0"/>
          <w:bCs w:val="0"/>
        </w:rPr>
        <w:t>迁建大港万寿园，将大港万寿园迁建至官港原琦盛用地南侧，总用地面积</w:t>
      </w:r>
      <w:r>
        <w:rPr>
          <w:rFonts w:hint="eastAsia"/>
          <w:b w:val="0"/>
          <w:bCs w:val="0"/>
        </w:rPr>
        <w:t>约</w:t>
      </w:r>
      <w:r>
        <w:rPr>
          <w:b w:val="0"/>
          <w:bCs w:val="0"/>
        </w:rPr>
        <w:t>13.33公顷，注意避让铁路永久生态保护区。</w:t>
      </w:r>
    </w:p>
    <w:p>
      <w:pPr>
        <w:pStyle w:val="3"/>
      </w:pPr>
      <w:r>
        <w:rPr>
          <w:rFonts w:hint="eastAsia"/>
        </w:rPr>
        <w:t>（二）推动乡镇级殡葬服务设施建设</w:t>
      </w:r>
    </w:p>
    <w:p>
      <w:pPr>
        <w:widowControl/>
        <w:ind w:firstLine="6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1、新建新城镇乡镇级公益性骨灰堂，位于原琦盛地块北侧，用地面积约3.9公顷。</w:t>
      </w:r>
    </w:p>
    <w:p>
      <w:pPr>
        <w:widowControl/>
        <w:ind w:firstLine="6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2、新建古林街乡镇级公益性骨灰堂，用地面积约3.33公顷。</w:t>
      </w:r>
    </w:p>
    <w:p>
      <w:pPr>
        <w:widowControl/>
        <w:ind w:firstLine="600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3、完善殡仪服务站体系建设。</w:t>
      </w:r>
      <w:r>
        <w:rPr>
          <w:rFonts w:ascii="仿宋" w:hAnsi="仿宋" w:eastAsia="仿宋"/>
          <w:b/>
          <w:bCs/>
          <w:sz w:val="30"/>
          <w:szCs w:val="30"/>
        </w:rPr>
        <w:br w:type="page"/>
      </w:r>
    </w:p>
    <w:p>
      <w:pPr>
        <w:ind w:firstLine="602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附图：</w:t>
      </w:r>
    </w:p>
    <w:p>
      <w:pPr>
        <w:pStyle w:val="7"/>
        <w:ind w:firstLine="602" w:firstLineChars="200"/>
        <w:rPr>
          <w:rFonts w:ascii="仿宋" w:hAnsi="仿宋" w:eastAsia="仿宋" w:cstheme="minorBidi"/>
          <w:b/>
          <w:bCs/>
          <w:kern w:val="2"/>
          <w:sz w:val="30"/>
          <w:szCs w:val="30"/>
        </w:rPr>
      </w:pPr>
      <w:r>
        <w:rPr>
          <w:rFonts w:hint="eastAsia" w:ascii="仿宋" w:hAnsi="仿宋" w:eastAsia="仿宋" w:cstheme="minorBidi"/>
          <w:b/>
          <w:bCs/>
          <w:kern w:val="2"/>
          <w:sz w:val="30"/>
          <w:szCs w:val="30"/>
        </w:rPr>
        <w:t>（一）殡仪馆及殡仪服务中心规划布局图</w:t>
      </w:r>
    </w:p>
    <w:p>
      <w:pPr>
        <w:ind w:firstLine="0" w:firstLineChars="0"/>
      </w:pPr>
      <w:r>
        <w:drawing>
          <wp:inline distT="0" distB="0" distL="0" distR="0">
            <wp:extent cx="5274310" cy="7459980"/>
            <wp:effectExtent l="0" t="0" r="2540" b="762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602" w:firstLineChars="200"/>
        <w:rPr>
          <w:rFonts w:ascii="仿宋" w:hAnsi="仿宋" w:eastAsia="仿宋" w:cstheme="minorBidi"/>
          <w:b/>
          <w:bCs/>
          <w:kern w:val="2"/>
          <w:sz w:val="30"/>
          <w:szCs w:val="30"/>
        </w:rPr>
      </w:pPr>
      <w:r>
        <w:rPr>
          <w:rFonts w:hint="eastAsia" w:ascii="仿宋" w:hAnsi="仿宋" w:eastAsia="仿宋" w:cstheme="minorBidi"/>
          <w:b/>
          <w:bCs/>
          <w:kern w:val="2"/>
          <w:sz w:val="30"/>
          <w:szCs w:val="30"/>
        </w:rPr>
        <w:t>（二）经营性公墓规划布局图</w:t>
      </w:r>
    </w:p>
    <w:p>
      <w:pPr>
        <w:tabs>
          <w:tab w:val="left" w:pos="426"/>
        </w:tabs>
        <w:ind w:firstLine="0" w:firstLineChars="0"/>
      </w:pPr>
      <w:r>
        <w:drawing>
          <wp:inline distT="0" distB="0" distL="0" distR="0">
            <wp:extent cx="5274310" cy="7459980"/>
            <wp:effectExtent l="0" t="0" r="2540" b="762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602" w:firstLineChars="200"/>
        <w:rPr>
          <w:rFonts w:ascii="仿宋" w:hAnsi="仿宋" w:eastAsia="仿宋" w:cstheme="minorBidi"/>
          <w:b/>
          <w:bCs/>
          <w:kern w:val="2"/>
          <w:sz w:val="30"/>
          <w:szCs w:val="30"/>
        </w:rPr>
      </w:pPr>
    </w:p>
    <w:p>
      <w:pPr>
        <w:tabs>
          <w:tab w:val="left" w:pos="426"/>
        </w:tabs>
        <w:ind w:firstLine="602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（三）回民公墓规划布局图</w:t>
      </w:r>
    </w:p>
    <w:p>
      <w:pPr>
        <w:tabs>
          <w:tab w:val="left" w:pos="426"/>
        </w:tabs>
        <w:ind w:firstLine="0" w:firstLineChars="0"/>
      </w:pPr>
      <w:r>
        <w:drawing>
          <wp:inline distT="0" distB="0" distL="0" distR="0">
            <wp:extent cx="5274310" cy="7459980"/>
            <wp:effectExtent l="0" t="0" r="2540" b="762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6"/>
        </w:tabs>
        <w:ind w:firstLine="0" w:firstLineChars="0"/>
      </w:pPr>
    </w:p>
    <w:p>
      <w:pPr>
        <w:tabs>
          <w:tab w:val="left" w:pos="426"/>
        </w:tabs>
        <w:ind w:firstLine="0" w:firstLineChars="0"/>
      </w:pPr>
    </w:p>
    <w:p>
      <w:pPr>
        <w:tabs>
          <w:tab w:val="left" w:pos="426"/>
        </w:tabs>
        <w:ind w:firstLine="602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（四）公益性规划布局图</w:t>
      </w:r>
    </w:p>
    <w:p>
      <w:pPr>
        <w:ind w:firstLine="0" w:firstLineChars="0"/>
      </w:pPr>
      <w:r>
        <w:drawing>
          <wp:inline distT="0" distB="0" distL="0" distR="0">
            <wp:extent cx="5274310" cy="7459980"/>
            <wp:effectExtent l="0" t="0" r="2540" b="762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7459980"/>
            <wp:effectExtent l="0" t="0" r="2540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0" w:type="default"/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94531985"/>
    </w:sdtPr>
    <w:sdtContent>
      <w:p>
        <w:pPr>
          <w:pStyle w:val="5"/>
          <w:ind w:firstLine="360"/>
          <w:jc w:val="right"/>
        </w:pPr>
      </w:p>
    </w:sdtContent>
  </w:sdt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36496129"/>
    </w:sdtPr>
    <w:sdtContent>
      <w:p>
        <w:pPr>
          <w:pStyle w:val="5"/>
          <w:ind w:firstLine="360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right"/>
    </w:pPr>
    <w:r>
      <w:rPr>
        <w:rFonts w:hint="eastAsia"/>
      </w:rPr>
      <w:t>天津市殡葬服务设施布局规划（</w:t>
    </w:r>
    <w:r>
      <w:t>202</w:t>
    </w:r>
    <w:r>
      <w:rPr>
        <w:rFonts w:hint="eastAsia"/>
      </w:rPr>
      <w:t>1</w:t>
    </w:r>
    <w:r>
      <w:t>-2035年）</w:t>
    </w:r>
    <w:r>
      <w:rPr>
        <w:rFonts w:hint="eastAsia"/>
      </w:rPr>
      <w:t>（</w:t>
    </w:r>
    <w:r>
      <w:rPr>
        <w:rFonts w:hint="eastAsia"/>
        <w:lang w:eastAsia="zh-CN"/>
      </w:rPr>
      <w:t>征求意见稿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706"/>
    <w:rsid w:val="000730F2"/>
    <w:rsid w:val="00087656"/>
    <w:rsid w:val="000A6DBF"/>
    <w:rsid w:val="00115D56"/>
    <w:rsid w:val="001567C9"/>
    <w:rsid w:val="001B6EAA"/>
    <w:rsid w:val="00215FEE"/>
    <w:rsid w:val="002655E5"/>
    <w:rsid w:val="00281042"/>
    <w:rsid w:val="002B44DC"/>
    <w:rsid w:val="002B4D93"/>
    <w:rsid w:val="0032296D"/>
    <w:rsid w:val="003B5396"/>
    <w:rsid w:val="003E0651"/>
    <w:rsid w:val="00565182"/>
    <w:rsid w:val="0059078E"/>
    <w:rsid w:val="0064031F"/>
    <w:rsid w:val="00676CD4"/>
    <w:rsid w:val="007267F6"/>
    <w:rsid w:val="00734FA3"/>
    <w:rsid w:val="00782D6C"/>
    <w:rsid w:val="007E525E"/>
    <w:rsid w:val="00821B62"/>
    <w:rsid w:val="00827892"/>
    <w:rsid w:val="00882E76"/>
    <w:rsid w:val="0089035A"/>
    <w:rsid w:val="008978E7"/>
    <w:rsid w:val="00897AAF"/>
    <w:rsid w:val="008B0FC9"/>
    <w:rsid w:val="008E0E0D"/>
    <w:rsid w:val="00931356"/>
    <w:rsid w:val="009529DF"/>
    <w:rsid w:val="0099707E"/>
    <w:rsid w:val="009975D3"/>
    <w:rsid w:val="00A15EF9"/>
    <w:rsid w:val="00A16AA1"/>
    <w:rsid w:val="00B01231"/>
    <w:rsid w:val="00B424DD"/>
    <w:rsid w:val="00CC7F52"/>
    <w:rsid w:val="00CD4CB1"/>
    <w:rsid w:val="00CD7706"/>
    <w:rsid w:val="00DE04F6"/>
    <w:rsid w:val="00E07154"/>
    <w:rsid w:val="00E66E3B"/>
    <w:rsid w:val="00F52336"/>
    <w:rsid w:val="00F55C15"/>
    <w:rsid w:val="00FF2B36"/>
    <w:rsid w:val="00FF734C"/>
    <w:rsid w:val="02F342FE"/>
    <w:rsid w:val="0503168C"/>
    <w:rsid w:val="082D3962"/>
    <w:rsid w:val="0D77747A"/>
    <w:rsid w:val="12B610E1"/>
    <w:rsid w:val="130B52E8"/>
    <w:rsid w:val="196661F5"/>
    <w:rsid w:val="1A2B2533"/>
    <w:rsid w:val="1B58571F"/>
    <w:rsid w:val="1FB07A93"/>
    <w:rsid w:val="2D245C1E"/>
    <w:rsid w:val="2D823B66"/>
    <w:rsid w:val="2EA12F76"/>
    <w:rsid w:val="30634ACC"/>
    <w:rsid w:val="360C21A0"/>
    <w:rsid w:val="38415C72"/>
    <w:rsid w:val="3F324190"/>
    <w:rsid w:val="406D1AB3"/>
    <w:rsid w:val="4CDF648D"/>
    <w:rsid w:val="5CDB0E09"/>
    <w:rsid w:val="652C5C27"/>
    <w:rsid w:val="653F65F0"/>
    <w:rsid w:val="713408BD"/>
    <w:rsid w:val="78B333DC"/>
    <w:rsid w:val="7A9E1A6B"/>
    <w:rsid w:val="7EA16B81"/>
    <w:rsid w:val="F7D765CB"/>
    <w:rsid w:val="FB6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560" w:firstLineChars="200"/>
      <w:jc w:val="both"/>
    </w:pPr>
    <w:rPr>
      <w:rFonts w:ascii="宋体" w:hAnsi="宋体" w:eastAsia="宋体" w:cstheme="minorBidi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ind w:firstLine="602"/>
      <w:outlineLvl w:val="0"/>
    </w:pPr>
    <w:rPr>
      <w:rFonts w:ascii="仿宋" w:hAnsi="仿宋" w:eastAsia="仿宋"/>
      <w:b/>
      <w:bCs/>
      <w:sz w:val="30"/>
      <w:szCs w:val="30"/>
    </w:rPr>
  </w:style>
  <w:style w:type="paragraph" w:styleId="3">
    <w:name w:val="heading 2"/>
    <w:basedOn w:val="1"/>
    <w:next w:val="1"/>
    <w:link w:val="14"/>
    <w:unhideWhenUsed/>
    <w:qFormat/>
    <w:uiPriority w:val="9"/>
    <w:pPr>
      <w:ind w:firstLine="602"/>
      <w:outlineLvl w:val="1"/>
    </w:pPr>
    <w:rPr>
      <w:rFonts w:ascii="仿宋" w:hAnsi="仿宋" w:eastAsia="仿宋"/>
      <w:b/>
      <w:bCs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ind w:firstLine="0" w:firstLineChars="0"/>
      <w:jc w:val="left"/>
    </w:pPr>
    <w:rPr>
      <w:rFonts w:cs="宋体"/>
      <w:kern w:val="0"/>
      <w:sz w:val="24"/>
      <w:szCs w:val="24"/>
    </w:rPr>
  </w:style>
  <w:style w:type="paragraph" w:styleId="8">
    <w:name w:val="Title"/>
    <w:basedOn w:val="1"/>
    <w:next w:val="1"/>
    <w:link w:val="11"/>
    <w:qFormat/>
    <w:uiPriority w:val="10"/>
    <w:pPr>
      <w:spacing w:before="240" w:after="60"/>
      <w:ind w:firstLine="0" w:firstLineChars="0"/>
      <w:jc w:val="center"/>
      <w:outlineLvl w:val="0"/>
    </w:pPr>
    <w:rPr>
      <w:rFonts w:ascii="黑体" w:hAnsi="黑体" w:eastAsia="黑体" w:cstheme="majorBidi"/>
      <w:sz w:val="48"/>
      <w:szCs w:val="48"/>
    </w:rPr>
  </w:style>
  <w:style w:type="character" w:customStyle="1" w:styleId="11">
    <w:name w:val="标题 Char"/>
    <w:basedOn w:val="10"/>
    <w:link w:val="8"/>
    <w:qFormat/>
    <w:uiPriority w:val="10"/>
    <w:rPr>
      <w:rFonts w:ascii="黑体" w:hAnsi="黑体" w:eastAsia="黑体" w:cstheme="majorBidi"/>
      <w:sz w:val="48"/>
      <w:szCs w:val="48"/>
    </w:rPr>
  </w:style>
  <w:style w:type="paragraph" w:styleId="12">
    <w:name w:val="List Paragraph"/>
    <w:basedOn w:val="1"/>
    <w:qFormat/>
    <w:uiPriority w:val="34"/>
    <w:pPr>
      <w:ind w:firstLine="420"/>
    </w:pPr>
  </w:style>
  <w:style w:type="character" w:customStyle="1" w:styleId="13">
    <w:name w:val="标题 1 Char"/>
    <w:basedOn w:val="10"/>
    <w:link w:val="2"/>
    <w:qFormat/>
    <w:uiPriority w:val="9"/>
    <w:rPr>
      <w:rFonts w:ascii="仿宋" w:hAnsi="仿宋" w:eastAsia="仿宋"/>
      <w:b/>
      <w:bCs/>
      <w:sz w:val="30"/>
      <w:szCs w:val="30"/>
    </w:rPr>
  </w:style>
  <w:style w:type="character" w:customStyle="1" w:styleId="14">
    <w:name w:val="标题 2 Char"/>
    <w:basedOn w:val="10"/>
    <w:link w:val="3"/>
    <w:qFormat/>
    <w:uiPriority w:val="9"/>
    <w:rPr>
      <w:rFonts w:ascii="仿宋" w:hAnsi="仿宋" w:eastAsia="仿宋"/>
      <w:b/>
      <w:bCs/>
      <w:sz w:val="30"/>
      <w:szCs w:val="30"/>
    </w:rPr>
  </w:style>
  <w:style w:type="character" w:customStyle="1" w:styleId="15">
    <w:name w:val="页眉 Char"/>
    <w:basedOn w:val="10"/>
    <w:link w:val="6"/>
    <w:qFormat/>
    <w:uiPriority w:val="99"/>
    <w:rPr>
      <w:rFonts w:ascii="宋体" w:hAnsi="宋体" w:eastAsia="宋体"/>
      <w:sz w:val="18"/>
      <w:szCs w:val="18"/>
    </w:rPr>
  </w:style>
  <w:style w:type="character" w:customStyle="1" w:styleId="16">
    <w:name w:val="页脚 Char"/>
    <w:basedOn w:val="10"/>
    <w:link w:val="5"/>
    <w:qFormat/>
    <w:uiPriority w:val="99"/>
    <w:rPr>
      <w:rFonts w:ascii="宋体" w:hAnsi="宋体" w:eastAsia="宋体"/>
      <w:sz w:val="18"/>
      <w:szCs w:val="18"/>
    </w:rPr>
  </w:style>
  <w:style w:type="character" w:customStyle="1" w:styleId="17">
    <w:name w:val="批注框文本 Char"/>
    <w:basedOn w:val="10"/>
    <w:link w:val="4"/>
    <w:semiHidden/>
    <w:qFormat/>
    <w:uiPriority w:val="99"/>
    <w:rPr>
      <w:rFonts w:ascii="宋体" w:hAnsi="宋体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10</Pages>
  <Words>1433</Words>
  <Characters>1503</Characters>
  <Lines>1</Lines>
  <Paragraphs>3</Paragraphs>
  <TotalTime>71</TotalTime>
  <ScaleCrop>false</ScaleCrop>
  <LinksUpToDate>false</LinksUpToDate>
  <CharactersWithSpaces>1503</CharactersWithSpaces>
  <Application>WPS Office_11.8.2.9583_F1E327BC-269C-435d-A152-05C5408002CA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2021-11-18T02:43:00Z</dcterms:created>
  <dc:creator>zhj</dc:creator>
  <cp:lastModifiedBy>社会事务管理室</cp:lastModifiedBy>
  <dcterms:modified xsi:type="dcterms:W3CDTF">2021-12-03T10:45:24Z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2052-11.8.2.9583</vt:lpwstr>
  </property>
</Properties>
</file>