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4F0" w:rsidRDefault="00D92C96">
      <w:pPr>
        <w:widowControl/>
        <w:spacing w:line="640" w:lineRule="exact"/>
        <w:jc w:val="center"/>
        <w:outlineLvl w:val="0"/>
        <w:rPr>
          <w:rFonts w:ascii="方正小标宋简体" w:eastAsia="方正小标宋简体" w:cs="宋体"/>
          <w:bCs/>
          <w:kern w:val="36"/>
          <w:sz w:val="44"/>
          <w:szCs w:val="44"/>
        </w:rPr>
      </w:pPr>
      <w:bookmarkStart w:id="0" w:name="_GoBack"/>
      <w:r>
        <w:rPr>
          <w:rFonts w:ascii="方正小标宋简体" w:eastAsia="方正小标宋简体" w:cs="宋体" w:hint="eastAsia"/>
          <w:bCs/>
          <w:kern w:val="36"/>
          <w:sz w:val="44"/>
          <w:szCs w:val="44"/>
        </w:rPr>
        <w:t>关于中新天津生态城小升初工作安排方案的通告</w:t>
      </w:r>
    </w:p>
    <w:bookmarkEnd w:id="0"/>
    <w:p w:rsidR="00D344F0" w:rsidRDefault="00D344F0">
      <w:pPr>
        <w:widowControl/>
        <w:spacing w:line="560" w:lineRule="exact"/>
        <w:jc w:val="left"/>
        <w:rPr>
          <w:rFonts w:ascii="仿宋_GB2312" w:eastAsia="仿宋_GB2312" w:cs="宋体"/>
          <w:kern w:val="0"/>
          <w:sz w:val="32"/>
          <w:szCs w:val="32"/>
        </w:rPr>
      </w:pP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为进一步优化学龄人口与教育资源配置，根据教育部及天津市教委有关文件精神，按照免试就近入学原则，结合中新天津生态城（以下简称“生态城”）实际，制定本方案。</w:t>
      </w:r>
    </w:p>
    <w:p w:rsidR="00D344F0" w:rsidRDefault="00D92C96">
      <w:pPr>
        <w:widowControl/>
        <w:spacing w:line="560" w:lineRule="exact"/>
        <w:ind w:firstLineChars="200" w:firstLine="640"/>
        <w:jc w:val="left"/>
        <w:rPr>
          <w:rFonts w:ascii="黑体" w:eastAsia="黑体" w:cs="宋体"/>
          <w:kern w:val="0"/>
          <w:sz w:val="32"/>
          <w:szCs w:val="32"/>
        </w:rPr>
      </w:pPr>
      <w:r>
        <w:rPr>
          <w:rFonts w:ascii="黑体" w:eastAsia="黑体" w:cs="宋体" w:hint="eastAsia"/>
          <w:bCs/>
          <w:kern w:val="0"/>
          <w:sz w:val="32"/>
          <w:szCs w:val="32"/>
        </w:rPr>
        <w:t>一、小升初工作按照施教区实施</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结合生态城现有教育资源实际情况，本区域小学毕业生升入初中按四个施教区实施。具体如下：</w:t>
      </w:r>
    </w:p>
    <w:p w:rsidR="00D344F0" w:rsidRDefault="00D92C96">
      <w:pPr>
        <w:widowControl/>
        <w:spacing w:line="560" w:lineRule="exact"/>
        <w:jc w:val="left"/>
        <w:rPr>
          <w:rFonts w:ascii="仿宋_GB2312" w:eastAsia="仿宋_GB2312" w:cs="宋体"/>
          <w:kern w:val="0"/>
          <w:sz w:val="32"/>
          <w:szCs w:val="32"/>
        </w:rPr>
      </w:pPr>
      <w:r>
        <w:rPr>
          <w:rFonts w:ascii="仿宋_GB2312" w:eastAsia="仿宋_GB2312" w:cs="宋体" w:hint="eastAsia"/>
          <w:noProof/>
          <w:kern w:val="0"/>
          <w:sz w:val="32"/>
          <w:szCs w:val="32"/>
        </w:rPr>
        <w:lastRenderedPageBreak/>
        <w:drawing>
          <wp:anchor distT="0" distB="0" distL="114300" distR="114300" simplePos="0" relativeHeight="12" behindDoc="0" locked="0" layoutInCell="1" hidden="0" allowOverlap="1" wp14:anchorId="1EAF32F4" wp14:editId="4242710A">
            <wp:simplePos x="0" y="0"/>
            <wp:positionH relativeFrom="column">
              <wp:posOffset>828675</wp:posOffset>
            </wp:positionH>
            <wp:positionV relativeFrom="paragraph">
              <wp:posOffset>107950</wp:posOffset>
            </wp:positionV>
            <wp:extent cx="3452495" cy="5040630"/>
            <wp:effectExtent l="0" t="0" r="0" b="7620"/>
            <wp:wrapTight wrapText="bothSides">
              <wp:wrapPolygon edited="0">
                <wp:start x="0" y="0"/>
                <wp:lineTo x="0" y="21551"/>
                <wp:lineTo x="21453" y="21551"/>
                <wp:lineTo x="21453" y="0"/>
                <wp:lineTo x="0" y="0"/>
              </wp:wrapPolygon>
            </wp:wrapTight>
            <wp:docPr id="1" name="图片 1" descr="图片"/>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1 3"/>
                    <pic:cNvPicPr/>
                  </pic:nvPicPr>
                  <pic:blipFill>
                    <a:blip r:embed="rId6"/>
                    <a:stretch>
                      <a:fillRect/>
                    </a:stretch>
                  </pic:blipFill>
                  <pic:spPr>
                    <a:xfrm>
                      <a:off x="0" y="0"/>
                      <a:ext cx="3452495" cy="5040630"/>
                    </a:xfrm>
                    <a:prstGeom prst="rect">
                      <a:avLst/>
                    </a:prstGeom>
                    <a:noFill/>
                    <a:ln w="9525" cap="flat" cmpd="sng">
                      <a:noFill/>
                      <a:prstDash val="solid"/>
                      <a:round/>
                    </a:ln>
                  </pic:spPr>
                </pic:pic>
              </a:graphicData>
            </a:graphic>
            <wp14:sizeRelH relativeFrom="margin">
              <wp14:pctWidth>0</wp14:pctWidth>
            </wp14:sizeRelH>
            <wp14:sizeRelV relativeFrom="margin">
              <wp14:pctHeight>0</wp14:pctHeight>
            </wp14:sizeRelV>
          </wp:anchor>
        </w:drawing>
      </w: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jc w:val="left"/>
        <w:rPr>
          <w:rFonts w:ascii="仿宋_GB2312" w:eastAsia="仿宋_GB2312" w:cs="宋体"/>
          <w:b/>
          <w:bCs/>
          <w:kern w:val="0"/>
          <w:sz w:val="32"/>
          <w:szCs w:val="32"/>
        </w:rPr>
      </w:pPr>
    </w:p>
    <w:p w:rsidR="00D344F0" w:rsidRDefault="00D344F0">
      <w:pPr>
        <w:widowControl/>
        <w:spacing w:line="560" w:lineRule="exact"/>
        <w:ind w:firstLineChars="200" w:firstLine="640"/>
        <w:rPr>
          <w:rFonts w:ascii="黑体" w:eastAsia="黑体" w:cs="宋体"/>
          <w:bCs/>
          <w:kern w:val="0"/>
          <w:sz w:val="32"/>
          <w:szCs w:val="32"/>
        </w:rPr>
      </w:pPr>
    </w:p>
    <w:p w:rsidR="00D344F0" w:rsidRDefault="00D92C96">
      <w:pPr>
        <w:widowControl/>
        <w:spacing w:line="560" w:lineRule="exact"/>
        <w:ind w:firstLineChars="200" w:firstLine="640"/>
        <w:rPr>
          <w:rFonts w:ascii="黑体" w:eastAsia="黑体" w:cs="宋体"/>
          <w:kern w:val="0"/>
          <w:sz w:val="32"/>
          <w:szCs w:val="32"/>
        </w:rPr>
      </w:pPr>
      <w:r>
        <w:rPr>
          <w:rFonts w:ascii="黑体" w:eastAsia="黑体" w:cs="宋体" w:hint="eastAsia"/>
          <w:bCs/>
          <w:kern w:val="0"/>
          <w:sz w:val="32"/>
          <w:szCs w:val="32"/>
        </w:rPr>
        <w:t>二、志愿填报资格</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同时满足以下</w:t>
      </w:r>
      <w:r>
        <w:rPr>
          <w:rFonts w:ascii="仿宋_GB2312" w:eastAsia="仿宋_GB2312" w:cs="宋体" w:hint="eastAsia"/>
          <w:kern w:val="0"/>
          <w:sz w:val="32"/>
          <w:szCs w:val="32"/>
        </w:rPr>
        <w:t>3</w:t>
      </w:r>
      <w:r>
        <w:rPr>
          <w:rFonts w:ascii="仿宋_GB2312" w:eastAsia="仿宋_GB2312" w:cs="宋体" w:hint="eastAsia"/>
          <w:kern w:val="0"/>
          <w:sz w:val="32"/>
          <w:szCs w:val="32"/>
        </w:rPr>
        <w:t>个条件的学生，具有当年小升初志愿填报资格：</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生态城小学毕业生；</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学生家庭持有的生态城房产信息，与学生入学登记或申请转入时的信息保持不变；</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学生家庭持有生态城房产，房主须为学生的父母、祖父母或外祖父母，且须持有全部产权。</w:t>
      </w:r>
    </w:p>
    <w:p w:rsidR="00D344F0" w:rsidRDefault="00D92C96">
      <w:pPr>
        <w:widowControl/>
        <w:spacing w:line="560" w:lineRule="exact"/>
        <w:ind w:firstLineChars="200" w:firstLine="640"/>
        <w:rPr>
          <w:rFonts w:ascii="黑体" w:eastAsia="黑体" w:cs="宋体"/>
          <w:kern w:val="0"/>
          <w:sz w:val="32"/>
          <w:szCs w:val="32"/>
        </w:rPr>
      </w:pPr>
      <w:r>
        <w:rPr>
          <w:rFonts w:ascii="黑体" w:eastAsia="黑体" w:cs="宋体" w:hint="eastAsia"/>
          <w:bCs/>
          <w:kern w:val="0"/>
          <w:sz w:val="32"/>
          <w:szCs w:val="32"/>
        </w:rPr>
        <w:t>三、已在生态城小学就读的学生安排</w:t>
      </w:r>
    </w:p>
    <w:p w:rsidR="00D344F0" w:rsidRDefault="00D92C96">
      <w:pPr>
        <w:widowControl/>
        <w:spacing w:line="560" w:lineRule="exact"/>
        <w:ind w:firstLineChars="200" w:firstLine="643"/>
        <w:rPr>
          <w:rFonts w:ascii="楷体_GB2312" w:eastAsia="楷体_GB2312" w:cs="宋体"/>
          <w:kern w:val="0"/>
          <w:sz w:val="32"/>
          <w:szCs w:val="32"/>
        </w:rPr>
      </w:pPr>
      <w:r>
        <w:rPr>
          <w:rFonts w:ascii="楷体_GB2312" w:eastAsia="楷体_GB2312" w:cs="宋体" w:hint="eastAsia"/>
          <w:b/>
          <w:bCs/>
          <w:kern w:val="0"/>
          <w:sz w:val="32"/>
          <w:szCs w:val="32"/>
        </w:rPr>
        <w:t>（一）毕业信息登记核查</w:t>
      </w:r>
      <w:r>
        <w:rPr>
          <w:rFonts w:ascii="楷体_GB2312" w:eastAsia="楷体_GB2312" w:cs="宋体" w:hint="eastAsia"/>
          <w:b/>
          <w:bCs/>
          <w:kern w:val="0"/>
          <w:sz w:val="32"/>
          <w:szCs w:val="32"/>
        </w:rPr>
        <w:t> </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本方案实施之日前，已在生态城小学就读的学生，在其小学毕业当年的</w:t>
      </w:r>
      <w:r>
        <w:rPr>
          <w:rFonts w:ascii="仿宋_GB2312" w:eastAsia="仿宋_GB2312" w:cs="宋体" w:hint="eastAsia"/>
          <w:kern w:val="0"/>
          <w:sz w:val="32"/>
          <w:szCs w:val="32"/>
        </w:rPr>
        <w:t>4</w:t>
      </w:r>
      <w:r>
        <w:rPr>
          <w:rFonts w:ascii="仿宋_GB2312" w:eastAsia="仿宋_GB2312" w:cs="宋体" w:hint="eastAsia"/>
          <w:kern w:val="0"/>
          <w:sz w:val="32"/>
          <w:szCs w:val="32"/>
        </w:rPr>
        <w:t>月份进行信息登记核查工作。</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毕业信息登记核查时，学生家庭持有的生态城房产信息，与其入学登记或申请转入时的信息无变化的，可直接确认后参加初中志愿填报和派位录取。</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本方案实施之日前，在生态城小学就读的六年级学生，其家庭持有的生态城房产信息在</w:t>
      </w:r>
      <w:r>
        <w:rPr>
          <w:rFonts w:ascii="仿宋_GB2312" w:eastAsia="仿宋_GB2312" w:cs="宋体" w:hint="eastAsia"/>
          <w:kern w:val="0"/>
          <w:sz w:val="32"/>
          <w:szCs w:val="32"/>
        </w:rPr>
        <w:t>2025</w:t>
      </w:r>
      <w:r>
        <w:rPr>
          <w:rFonts w:ascii="仿宋_GB2312" w:eastAsia="仿宋_GB2312" w:cs="宋体" w:hint="eastAsia"/>
          <w:kern w:val="0"/>
          <w:sz w:val="32"/>
          <w:szCs w:val="32"/>
        </w:rPr>
        <w:t>年</w:t>
      </w:r>
      <w:r>
        <w:rPr>
          <w:rFonts w:ascii="仿宋_GB2312" w:eastAsia="仿宋_GB2312" w:cs="宋体" w:hint="eastAsia"/>
          <w:kern w:val="0"/>
          <w:sz w:val="32"/>
          <w:szCs w:val="32"/>
        </w:rPr>
        <w:t>12</w:t>
      </w:r>
      <w:r>
        <w:rPr>
          <w:rFonts w:ascii="仿宋_GB2312" w:eastAsia="仿宋_GB2312" w:cs="宋体" w:hint="eastAsia"/>
          <w:kern w:val="0"/>
          <w:sz w:val="32"/>
          <w:szCs w:val="32"/>
        </w:rPr>
        <w:t>月</w:t>
      </w:r>
      <w:r>
        <w:rPr>
          <w:rFonts w:ascii="仿宋_GB2312" w:eastAsia="仿宋_GB2312" w:cs="宋体" w:hint="eastAsia"/>
          <w:kern w:val="0"/>
          <w:sz w:val="32"/>
          <w:szCs w:val="32"/>
        </w:rPr>
        <w:t>31</w:t>
      </w:r>
      <w:r>
        <w:rPr>
          <w:rFonts w:ascii="仿宋_GB2312" w:eastAsia="仿宋_GB2312" w:cs="宋体" w:hint="eastAsia"/>
          <w:kern w:val="0"/>
          <w:sz w:val="32"/>
          <w:szCs w:val="32"/>
        </w:rPr>
        <w:t>日前发生变化且已购置生态城住房，或</w:t>
      </w:r>
      <w:r>
        <w:rPr>
          <w:rFonts w:ascii="仿宋_GB2312" w:eastAsia="仿宋_GB2312" w:cs="宋体" w:hint="eastAsia"/>
          <w:kern w:val="0"/>
          <w:sz w:val="32"/>
          <w:szCs w:val="32"/>
        </w:rPr>
        <w:t>2026</w:t>
      </w:r>
      <w:r>
        <w:rPr>
          <w:rFonts w:ascii="仿宋_GB2312" w:eastAsia="仿宋_GB2312" w:cs="宋体" w:hint="eastAsia"/>
          <w:kern w:val="0"/>
          <w:sz w:val="32"/>
          <w:szCs w:val="32"/>
        </w:rPr>
        <w:t>年</w:t>
      </w:r>
      <w:r>
        <w:rPr>
          <w:rFonts w:ascii="仿宋_GB2312" w:eastAsia="仿宋_GB2312" w:cs="宋体" w:hint="eastAsia"/>
          <w:kern w:val="0"/>
          <w:sz w:val="32"/>
          <w:szCs w:val="32"/>
        </w:rPr>
        <w:t>3</w:t>
      </w:r>
      <w:r>
        <w:rPr>
          <w:rFonts w:ascii="仿宋_GB2312" w:eastAsia="仿宋_GB2312" w:cs="宋体" w:hint="eastAsia"/>
          <w:kern w:val="0"/>
          <w:sz w:val="32"/>
          <w:szCs w:val="32"/>
        </w:rPr>
        <w:t>月</w:t>
      </w:r>
      <w:r>
        <w:rPr>
          <w:rFonts w:ascii="仿宋_GB2312" w:eastAsia="仿宋_GB2312" w:cs="宋体" w:hint="eastAsia"/>
          <w:kern w:val="0"/>
          <w:sz w:val="32"/>
          <w:szCs w:val="32"/>
        </w:rPr>
        <w:t>31</w:t>
      </w:r>
      <w:r>
        <w:rPr>
          <w:rFonts w:ascii="仿宋_GB2312" w:eastAsia="仿宋_GB2312" w:cs="宋体" w:hint="eastAsia"/>
          <w:kern w:val="0"/>
          <w:sz w:val="32"/>
          <w:szCs w:val="32"/>
        </w:rPr>
        <w:t>日前新购置生态城新建商品住房的，可向学校提出房产信息变更申请，参加</w:t>
      </w:r>
      <w:r>
        <w:rPr>
          <w:rFonts w:ascii="仿宋_GB2312" w:eastAsia="仿宋_GB2312" w:cs="宋体" w:hint="eastAsia"/>
          <w:kern w:val="0"/>
          <w:sz w:val="32"/>
          <w:szCs w:val="32"/>
        </w:rPr>
        <w:t>2026</w:t>
      </w:r>
      <w:r>
        <w:rPr>
          <w:rFonts w:ascii="仿宋_GB2312" w:eastAsia="仿宋_GB2312" w:cs="宋体" w:hint="eastAsia"/>
          <w:kern w:val="0"/>
          <w:sz w:val="32"/>
          <w:szCs w:val="32"/>
        </w:rPr>
        <w:t>年初中志愿填报和派位录取。</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本方案实施之日前，在生态城小学就读一至五年级的学生，其家庭持有的生态城房产信息在</w:t>
      </w:r>
      <w:r>
        <w:rPr>
          <w:rFonts w:ascii="仿宋_GB2312" w:eastAsia="仿宋_GB2312" w:cs="宋体" w:hint="eastAsia"/>
          <w:kern w:val="0"/>
          <w:sz w:val="32"/>
          <w:szCs w:val="32"/>
        </w:rPr>
        <w:t>2025</w:t>
      </w:r>
      <w:r>
        <w:rPr>
          <w:rFonts w:ascii="仿宋_GB2312" w:eastAsia="仿宋_GB2312" w:cs="宋体" w:hint="eastAsia"/>
          <w:kern w:val="0"/>
          <w:sz w:val="32"/>
          <w:szCs w:val="32"/>
        </w:rPr>
        <w:t>年</w:t>
      </w:r>
      <w:r>
        <w:rPr>
          <w:rFonts w:ascii="仿宋_GB2312" w:eastAsia="仿宋_GB2312" w:cs="宋体" w:hint="eastAsia"/>
          <w:kern w:val="0"/>
          <w:sz w:val="32"/>
          <w:szCs w:val="32"/>
        </w:rPr>
        <w:t>12</w:t>
      </w:r>
      <w:r>
        <w:rPr>
          <w:rFonts w:ascii="仿宋_GB2312" w:eastAsia="仿宋_GB2312" w:cs="宋体" w:hint="eastAsia"/>
          <w:kern w:val="0"/>
          <w:sz w:val="32"/>
          <w:szCs w:val="32"/>
        </w:rPr>
        <w:t>月</w:t>
      </w:r>
      <w:r>
        <w:rPr>
          <w:rFonts w:ascii="仿宋_GB2312" w:eastAsia="仿宋_GB2312" w:cs="宋体" w:hint="eastAsia"/>
          <w:kern w:val="0"/>
          <w:sz w:val="32"/>
          <w:szCs w:val="32"/>
        </w:rPr>
        <w:t>31</w:t>
      </w:r>
      <w:r>
        <w:rPr>
          <w:rFonts w:ascii="仿宋_GB2312" w:eastAsia="仿宋_GB2312" w:cs="宋体" w:hint="eastAsia"/>
          <w:kern w:val="0"/>
          <w:sz w:val="32"/>
          <w:szCs w:val="32"/>
        </w:rPr>
        <w:t>日前发生变化且已购置生态城住房，或小学毕业当年信息登记核查前新购置生态城新建商品住房的，可在信息登记核查时向学校提出房产信息变更申请，参加当年初中志愿填报</w:t>
      </w:r>
      <w:r>
        <w:rPr>
          <w:rFonts w:ascii="仿宋_GB2312" w:eastAsia="仿宋_GB2312" w:cs="宋体" w:hint="eastAsia"/>
          <w:kern w:val="0"/>
          <w:sz w:val="32"/>
          <w:szCs w:val="32"/>
        </w:rPr>
        <w:t>和派位录取。</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上述房产持有时间以取得不动产权证书的签章日期为准。</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其他不满足以上条件的生态城小学毕业生，将不参加初中学校志愿填报和派位录取，由生态城有空余学位的公办初中学校统筹接收。</w:t>
      </w:r>
      <w:r>
        <w:rPr>
          <w:rFonts w:ascii="仿宋_GB2312" w:eastAsia="仿宋_GB2312" w:cs="宋体" w:hint="eastAsia"/>
          <w:kern w:val="0"/>
          <w:sz w:val="32"/>
          <w:szCs w:val="32"/>
        </w:rPr>
        <w:t> </w:t>
      </w:r>
    </w:p>
    <w:p w:rsidR="00D344F0" w:rsidRDefault="00D92C96">
      <w:pPr>
        <w:widowControl/>
        <w:spacing w:line="560" w:lineRule="exact"/>
        <w:ind w:firstLineChars="200" w:firstLine="643"/>
        <w:jc w:val="left"/>
        <w:rPr>
          <w:rFonts w:ascii="楷体_GB2312" w:eastAsia="楷体_GB2312" w:cs="宋体"/>
          <w:kern w:val="0"/>
          <w:sz w:val="32"/>
          <w:szCs w:val="32"/>
        </w:rPr>
      </w:pPr>
      <w:r>
        <w:rPr>
          <w:rFonts w:ascii="楷体_GB2312" w:eastAsia="楷体_GB2312" w:cs="宋体" w:hint="eastAsia"/>
          <w:b/>
          <w:bCs/>
          <w:kern w:val="0"/>
          <w:sz w:val="32"/>
          <w:szCs w:val="32"/>
        </w:rPr>
        <w:t>（二）志愿填报</w:t>
      </w:r>
    </w:p>
    <w:p w:rsidR="00D344F0" w:rsidRDefault="00D92C96">
      <w:pPr>
        <w:widowControl/>
        <w:spacing w:line="56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毕业信息登记核查后，学生可对照以下情况，在毕业当年进行志愿填报。具体可填报志愿学校的数量、派位录取方式以当年生态城小升初施教区工作安排为准：</w:t>
      </w:r>
    </w:p>
    <w:p w:rsidR="00D344F0" w:rsidRDefault="00D92C96">
      <w:pPr>
        <w:widowControl/>
        <w:spacing w:line="56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学生小学毕业校和家庭持有的生态城房产属于同一个初中施教区的，可填报对应施教区内的初中学校志愿。</w:t>
      </w:r>
    </w:p>
    <w:p w:rsidR="00D344F0" w:rsidRDefault="00D92C96">
      <w:pPr>
        <w:widowControl/>
        <w:spacing w:line="560" w:lineRule="exact"/>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学生小学毕业校和家庭持有的生态城房产分别属于不同初中施教区的，可</w:t>
      </w:r>
      <w:r>
        <w:rPr>
          <w:rFonts w:ascii="仿宋_GB2312" w:eastAsia="仿宋_GB2312" w:cs="宋体" w:hint="eastAsia"/>
          <w:kern w:val="0"/>
          <w:sz w:val="32"/>
          <w:szCs w:val="32"/>
        </w:rPr>
        <w:t>在小学毕业校所在施教区或房产所在施教区中，选择其一填报相应的初中学校志愿。选定一个施教区后，若其派位不成功，依然由该施教区内有空余学位的初中学校录取，不能再申请调整到另一个施教区。</w:t>
      </w:r>
    </w:p>
    <w:p w:rsidR="00D344F0" w:rsidRDefault="00D92C96">
      <w:pPr>
        <w:widowControl/>
        <w:spacing w:line="560" w:lineRule="exact"/>
        <w:jc w:val="left"/>
        <w:rPr>
          <w:rFonts w:ascii="仿宋_GB2312" w:eastAsia="仿宋_GB2312" w:cs="宋体"/>
          <w:kern w:val="0"/>
          <w:sz w:val="32"/>
          <w:szCs w:val="32"/>
        </w:rPr>
      </w:pPr>
      <w:r>
        <w:rPr>
          <w:rFonts w:ascii="仿宋_GB2312" w:eastAsia="仿宋_GB2312" w:cs="宋体" w:hint="eastAsia"/>
          <w:kern w:val="0"/>
          <w:sz w:val="32"/>
          <w:szCs w:val="32"/>
        </w:rPr>
        <w:t>其他不具有当年小升初志愿填报资格的学生，将统筹安排到生态城有空余学位的公办初中学校。</w:t>
      </w:r>
    </w:p>
    <w:p w:rsidR="00D344F0" w:rsidRDefault="00D92C96">
      <w:pPr>
        <w:widowControl/>
        <w:spacing w:line="560" w:lineRule="exact"/>
        <w:ind w:firstLineChars="200" w:firstLine="640"/>
        <w:jc w:val="left"/>
        <w:rPr>
          <w:rFonts w:ascii="黑体" w:eastAsia="黑体" w:cs="宋体"/>
          <w:kern w:val="0"/>
          <w:sz w:val="32"/>
          <w:szCs w:val="32"/>
        </w:rPr>
      </w:pPr>
      <w:r>
        <w:rPr>
          <w:rFonts w:ascii="黑体" w:eastAsia="黑体" w:cs="宋体" w:hint="eastAsia"/>
          <w:bCs/>
          <w:kern w:val="0"/>
          <w:sz w:val="32"/>
          <w:szCs w:val="32"/>
        </w:rPr>
        <w:t>四、</w:t>
      </w:r>
      <w:r>
        <w:rPr>
          <w:rFonts w:ascii="黑体" w:eastAsia="黑体" w:cs="宋体" w:hint="eastAsia"/>
          <w:bCs/>
          <w:kern w:val="0"/>
          <w:sz w:val="32"/>
          <w:szCs w:val="32"/>
        </w:rPr>
        <w:t>2026</w:t>
      </w:r>
      <w:r>
        <w:rPr>
          <w:rFonts w:ascii="黑体" w:eastAsia="黑体" w:cs="宋体" w:hint="eastAsia"/>
          <w:bCs/>
          <w:kern w:val="0"/>
          <w:sz w:val="32"/>
          <w:szCs w:val="32"/>
        </w:rPr>
        <w:t>年后在生态城就读学生志愿填报</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1.2026</w:t>
      </w:r>
      <w:r>
        <w:rPr>
          <w:rFonts w:ascii="仿宋_GB2312" w:eastAsia="仿宋_GB2312" w:cs="宋体" w:hint="eastAsia"/>
          <w:kern w:val="0"/>
          <w:sz w:val="32"/>
          <w:szCs w:val="32"/>
        </w:rPr>
        <w:t>年秋季学期小学一年级入学和其他年级转入的学生毕业登记时，须具备本文第二部分的志愿填报资格。</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w:t>
      </w:r>
      <w:r>
        <w:rPr>
          <w:rFonts w:ascii="仿宋_GB2312" w:eastAsia="仿宋_GB2312" w:cs="宋体" w:hint="eastAsia"/>
          <w:kern w:val="0"/>
          <w:sz w:val="32"/>
          <w:szCs w:val="32"/>
        </w:rPr>
        <w:t>学生按照其小学毕业校所对应的初中施教区填报初中志愿。</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其他不具有当年小升初志愿填报资格的学生，</w:t>
      </w:r>
      <w:r>
        <w:rPr>
          <w:rFonts w:ascii="仿宋_GB2312" w:eastAsia="仿宋_GB2312" w:cs="宋体" w:hint="eastAsia"/>
          <w:kern w:val="0"/>
          <w:sz w:val="32"/>
          <w:szCs w:val="32"/>
        </w:rPr>
        <w:t>将统筹安排到生态城有空余学位的公办初中学校。</w:t>
      </w:r>
    </w:p>
    <w:p w:rsidR="00D344F0" w:rsidRDefault="00D92C96">
      <w:pPr>
        <w:widowControl/>
        <w:spacing w:line="560" w:lineRule="exact"/>
        <w:ind w:firstLineChars="200" w:firstLine="640"/>
        <w:rPr>
          <w:rFonts w:ascii="黑体" w:eastAsia="黑体" w:cs="宋体"/>
          <w:kern w:val="0"/>
          <w:sz w:val="32"/>
          <w:szCs w:val="32"/>
        </w:rPr>
      </w:pPr>
      <w:r>
        <w:rPr>
          <w:rFonts w:ascii="黑体" w:eastAsia="黑体" w:cs="宋体" w:hint="eastAsia"/>
          <w:bCs/>
          <w:kern w:val="0"/>
          <w:sz w:val="32"/>
          <w:szCs w:val="32"/>
        </w:rPr>
        <w:t>五、其他</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1.</w:t>
      </w:r>
      <w:r>
        <w:rPr>
          <w:rFonts w:ascii="仿宋_GB2312" w:eastAsia="仿宋_GB2312" w:cs="宋体" w:hint="eastAsia"/>
          <w:kern w:val="0"/>
          <w:sz w:val="32"/>
          <w:szCs w:val="32"/>
        </w:rPr>
        <w:t>申请回生态城户籍地升初中的学生，符合当年报名条件的，在生态城本区域小学毕业生录取结束后，统筹安排到生态城有空余学位的公办初中学校。</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2.2026</w:t>
      </w:r>
      <w:r>
        <w:rPr>
          <w:rFonts w:ascii="仿宋_GB2312" w:eastAsia="仿宋_GB2312" w:cs="宋体" w:hint="eastAsia"/>
          <w:kern w:val="0"/>
          <w:sz w:val="32"/>
          <w:szCs w:val="32"/>
        </w:rPr>
        <w:t>年</w:t>
      </w:r>
      <w:r>
        <w:rPr>
          <w:rFonts w:ascii="仿宋_GB2312" w:eastAsia="仿宋_GB2312" w:cs="宋体" w:hint="eastAsia"/>
          <w:kern w:val="0"/>
          <w:sz w:val="32"/>
          <w:szCs w:val="32"/>
        </w:rPr>
        <w:t>7</w:t>
      </w:r>
      <w:r>
        <w:rPr>
          <w:rFonts w:ascii="仿宋_GB2312" w:eastAsia="仿宋_GB2312" w:cs="宋体" w:hint="eastAsia"/>
          <w:kern w:val="0"/>
          <w:sz w:val="32"/>
          <w:szCs w:val="32"/>
        </w:rPr>
        <w:t>月以后新交付的小区，若其规划配建的学校已开办，原则上划入该学校所在施教区；若尚未开办，按照相对就近的原则，暂时划入相邻施教区，待规划配建的学校开办后，正式纳入该学校所在施教区。</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3.</w:t>
      </w:r>
      <w:r>
        <w:rPr>
          <w:rFonts w:ascii="仿宋_GB2312" w:eastAsia="仿宋_GB2312" w:cs="宋体" w:hint="eastAsia"/>
          <w:kern w:val="0"/>
          <w:sz w:val="32"/>
          <w:szCs w:val="32"/>
        </w:rPr>
        <w:t>新建成学校交付投用后，将根据规划安排和区域发展实际情况对现有施教区范围进行适度调整，施教区调整方案由中新天津生态城教育主管</w:t>
      </w:r>
      <w:r>
        <w:rPr>
          <w:rFonts w:ascii="仿宋_GB2312" w:eastAsia="仿宋_GB2312" w:cs="宋体" w:hint="eastAsia"/>
          <w:kern w:val="0"/>
          <w:sz w:val="32"/>
          <w:szCs w:val="32"/>
        </w:rPr>
        <w:t>部门另行制定。</w:t>
      </w:r>
    </w:p>
    <w:p w:rsidR="00D344F0" w:rsidRDefault="00D92C96">
      <w:pPr>
        <w:widowControl/>
        <w:spacing w:line="560" w:lineRule="exact"/>
        <w:ind w:firstLineChars="200" w:firstLine="640"/>
        <w:rPr>
          <w:rFonts w:ascii="仿宋_GB2312" w:eastAsia="仿宋_GB2312" w:cs="宋体"/>
          <w:kern w:val="0"/>
          <w:sz w:val="32"/>
          <w:szCs w:val="32"/>
        </w:rPr>
      </w:pPr>
      <w:r>
        <w:rPr>
          <w:rFonts w:ascii="仿宋_GB2312" w:eastAsia="仿宋_GB2312" w:cs="宋体" w:hint="eastAsia"/>
          <w:kern w:val="0"/>
          <w:sz w:val="32"/>
          <w:szCs w:val="32"/>
        </w:rPr>
        <w:t>4</w:t>
      </w:r>
      <w:r>
        <w:rPr>
          <w:rFonts w:ascii="仿宋_GB2312" w:eastAsia="仿宋_GB2312" w:cs="宋体"/>
          <w:kern w:val="0"/>
          <w:sz w:val="32"/>
          <w:szCs w:val="32"/>
        </w:rPr>
        <w:t>.</w:t>
      </w:r>
      <w:r>
        <w:rPr>
          <w:rFonts w:ascii="仿宋_GB2312" w:eastAsia="仿宋_GB2312" w:cs="宋体" w:hint="eastAsia"/>
          <w:kern w:val="0"/>
          <w:sz w:val="32"/>
          <w:szCs w:val="32"/>
        </w:rPr>
        <w:t>本方案自印发之日起施行，由中新天津生态城管理委员会负责解释，由中新天津生态城教育主管部门具体承担解释工作。</w:t>
      </w:r>
    </w:p>
    <w:sectPr w:rsidR="00D344F0">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92C96">
      <w:r>
        <w:separator/>
      </w:r>
    </w:p>
  </w:endnote>
  <w:endnote w:type="continuationSeparator" w:id="0">
    <w:p w:rsidR="00000000" w:rsidRDefault="00D9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xi Sans">
    <w:altName w:val="Arial"/>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695042"/>
      <w:docPartList>
        <w:docPartGallery w:val="Quick Parts"/>
      </w:docPartList>
    </w:sdtPr>
    <w:sdtEndPr/>
    <w:sdtContent>
      <w:p w:rsidR="00D344F0" w:rsidRDefault="00D92C96">
        <w:pPr>
          <w:pStyle w:val="a5"/>
          <w:jc w:val="center"/>
        </w:pPr>
        <w:r>
          <w:fldChar w:fldCharType="begin"/>
        </w:r>
        <w:r>
          <w:instrText>PAGE   \* MERGEFORMAT</w:instrText>
        </w:r>
        <w:r>
          <w:fldChar w:fldCharType="separate"/>
        </w:r>
        <w:r w:rsidRPr="00D92C96">
          <w:rPr>
            <w:noProof/>
            <w:lang w:val="zh-CN"/>
          </w:rPr>
          <w:t>4</w:t>
        </w:r>
        <w:r>
          <w:fldChar w:fldCharType="end"/>
        </w:r>
      </w:p>
    </w:sdtContent>
  </w:sdt>
  <w:p w:rsidR="00D344F0" w:rsidRDefault="00D344F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92C96">
      <w:r>
        <w:separator/>
      </w:r>
    </w:p>
  </w:footnote>
  <w:footnote w:type="continuationSeparator" w:id="0">
    <w:p w:rsidR="00000000" w:rsidRDefault="00D92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4F0"/>
    <w:rsid w:val="00D344F0"/>
    <w:rsid w:val="00D92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7489CC0-8650-494B-8936-6E607F39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等线" w:eastAsia="等线" w:cs="Arial"/>
      <w:kern w:val="2"/>
      <w:sz w:val="21"/>
      <w:szCs w:val="22"/>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rFonts w:ascii="Luxi Sans" w:eastAsia="黑体" w:hAnsi="Luxi Sans"/>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character" w:styleId="a7">
    <w:name w:val="annotation reference"/>
    <w:basedOn w:val="a0"/>
    <w:rPr>
      <w:sz w:val="21"/>
      <w:szCs w:val="21"/>
    </w:rPr>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ryy-25</dc:creator>
  <cp:lastModifiedBy>ryy-25</cp:lastModifiedBy>
  <cp:revision>7</cp:revision>
  <cp:lastPrinted>2025-12-25T08:06:00Z</cp:lastPrinted>
  <dcterms:created xsi:type="dcterms:W3CDTF">2025-12-25T13:20:00Z</dcterms:created>
  <dcterms:modified xsi:type="dcterms:W3CDTF">2025-12-26T00:51:00Z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eyJoZGlkIjoiNjI3MWJlZTI0ZTA5Njk1MDFjNzliOTMxN2JjYWNlNjciLCJ1c2VySWQiOiI5ODIxODg5MDAifQ==</vt:lpwstr>
  </property>
  <property fmtid="{D5CDD505-2E9C-101B-9397-08002B2CF9AE}" pid="3" name="KSOProductBuildVer">
    <vt:lpwstr>2052-11.8.2.9864</vt:lpwstr>
  </property>
  <property fmtid="{D5CDD505-2E9C-101B-9397-08002B2CF9AE}" pid="4" name="ICV">
    <vt:lpwstr>756C62AB6E0844A880C405D7B93B7A7C_13</vt:lpwstr>
  </property>
</Properties>
</file>