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spacing w:beforeAutospacing="0" w:afterAutospacing="0" w:line="64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中新天津生态城202</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年度高新技术企业</w:t>
      </w:r>
    </w:p>
    <w:p>
      <w:pPr>
        <w:pStyle w:val="4"/>
        <w:widowControl/>
        <w:shd w:val="clear" w:color="auto"/>
        <w:spacing w:beforeAutospacing="0" w:afterAutospacing="0" w:line="64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认定相关工作安排</w:t>
      </w:r>
    </w:p>
    <w:p>
      <w:pPr>
        <w:pStyle w:val="4"/>
        <w:widowControl/>
        <w:shd w:val="clear" w:color="auto"/>
        <w:spacing w:beforeAutospacing="0" w:afterAutospacing="0" w:line="580" w:lineRule="exact"/>
        <w:ind w:firstLine="645"/>
        <w:jc w:val="both"/>
        <w:rPr>
          <w:rFonts w:ascii="黑体" w:hAnsi="黑体" w:eastAsia="黑体" w:cs="黑体"/>
          <w:color w:val="000000" w:themeColor="text1"/>
          <w:sz w:val="28"/>
          <w:szCs w:val="28"/>
          <w:highlight w:val="none"/>
          <w:shd w:val="clear" w:color="auto" w:fill="FFFFFF"/>
          <w14:textFill>
            <w14:solidFill>
              <w14:schemeClr w14:val="tx1"/>
            </w14:solidFill>
          </w14:textFill>
        </w:rPr>
      </w:pPr>
    </w:p>
    <w:p>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按照《高新技术企业认定管理办法》（国科发火〔2016〕32号）和《高新技术企业认定管理工作指引》（国科发火〔2016〕195号）（以下分别简称《认定办法》和《工作指引》）要求，根据《天津市高企认定办关于发布202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年度高新技术企业认定工作安排的通知》、《关于滨海新区202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年度高新技术企业认定相关工作安排的通知》，结合生态城实际，现将202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年度高新技术企业（以下简称</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高企</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）认定相关工作安排通知如下：</w:t>
      </w:r>
    </w:p>
    <w:p>
      <w:pPr>
        <w:pStyle w:val="4"/>
        <w:widowControl/>
        <w:shd w:val="clear" w:color="auto"/>
        <w:spacing w:beforeAutospacing="0" w:afterAutospacing="0" w:line="580" w:lineRule="exact"/>
        <w:ind w:firstLine="640" w:firstLineChars="200"/>
        <w:jc w:val="both"/>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一、工作体系</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注册在中新天津生态城的企业，国家级高企到期重新认定、新认定、更名或重大变化、整体迁入</w:t>
      </w:r>
      <w:r>
        <w:rPr>
          <w:rFonts w:eastAsia="仿宋_GB2312"/>
          <w:sz w:val="32"/>
          <w:szCs w:val="32"/>
          <w:highlight w:val="none"/>
        </w:rPr>
        <w:t>相关工作由我局受理</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。企业将申报材料汇总后</w:t>
      </w:r>
      <w:r>
        <w:rPr>
          <w:rFonts w:eastAsia="仿宋_GB2312"/>
          <w:sz w:val="32"/>
          <w:szCs w:val="32"/>
          <w:highlight w:val="none"/>
        </w:rPr>
        <w:t>报送至我局指定受理机构</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eastAsia="仿宋_GB2312"/>
          <w:sz w:val="32"/>
          <w:szCs w:val="32"/>
          <w:highlight w:val="none"/>
          <w:lang w:val="en-US" w:eastAsia="zh-CN"/>
        </w:rPr>
        <w:t>企业在申请认定前应</w:t>
      </w:r>
      <w:r>
        <w:rPr>
          <w:rFonts w:hint="default" w:eastAsia="仿宋_GB2312"/>
          <w:sz w:val="32"/>
          <w:szCs w:val="32"/>
          <w:highlight w:val="none"/>
          <w:lang w:eastAsia="zh-CN"/>
        </w:rPr>
        <w:t>无严重失信行为、未列入失信惩戒对象</w:t>
      </w:r>
      <w:r>
        <w:rPr>
          <w:rFonts w:hint="eastAsia" w:eastAsia="仿宋_GB2312"/>
          <w:sz w:val="32"/>
          <w:szCs w:val="32"/>
          <w:highlight w:val="none"/>
          <w:lang w:eastAsia="zh-CN"/>
        </w:rPr>
        <w:t>。</w:t>
      </w:r>
    </w:p>
    <w:p>
      <w:pPr>
        <w:pStyle w:val="4"/>
        <w:widowControl/>
        <w:shd w:val="clear" w:color="auto"/>
        <w:spacing w:beforeAutospacing="0" w:afterAutospacing="0" w:line="580" w:lineRule="exact"/>
        <w:ind w:firstLine="640" w:firstLineChars="200"/>
        <w:jc w:val="both"/>
        <w:rPr>
          <w:rFonts w:ascii="黑体" w:hAnsi="黑体" w:eastAsia="黑体" w:cs="黑体"/>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二、申报范围</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（一）202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年认定，202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年应重新认定的高企（证书编号以GR202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开头）。</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（二）除上述到期重新认定以外的有意向申报高企认定。</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（三）有效期内发生名称变更或与认定条件有关的重大变化（如分立、合并、重组以及经营业务发生变化等）的高企。</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（四）高企证书在有效期内，</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由外省市整体迁入到</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生态城</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的国家级高企。</w:t>
      </w:r>
    </w:p>
    <w:p>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重要提示：符合《科技型中小企业评价办法》（国科发政〔2017〕</w:t>
      </w:r>
      <w:r>
        <w:rPr>
          <w:rFonts w:hint="default" w:ascii="仿宋_GB2312" w:hAnsi="仿宋_GB2312" w:eastAsia="仿宋_GB2312" w:cs="仿宋_GB2312"/>
          <w:color w:val="000000" w:themeColor="text1"/>
          <w:sz w:val="32"/>
          <w:szCs w:val="32"/>
          <w:highlight w:val="none"/>
          <w:shd w:val="clear" w:color="auto" w:fill="FFFFFF"/>
          <w14:textFill>
            <w14:solidFill>
              <w14:schemeClr w14:val="tx1"/>
            </w14:solidFill>
          </w14:textFill>
        </w:rPr>
        <w:t>115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号）入库条件的企业（主要条件：职工总数≤</w:t>
      </w:r>
      <w:r>
        <w:rPr>
          <w:rFonts w:hint="default" w:ascii="仿宋_GB2312" w:hAnsi="仿宋_GB2312" w:eastAsia="仿宋_GB2312" w:cs="仿宋_GB2312"/>
          <w:color w:val="000000" w:themeColor="text1"/>
          <w:sz w:val="32"/>
          <w:szCs w:val="32"/>
          <w:highlight w:val="none"/>
          <w:shd w:val="clear" w:color="auto" w:fill="FFFFFF"/>
          <w14:textFill>
            <w14:solidFill>
              <w14:schemeClr w14:val="tx1"/>
            </w14:solidFill>
          </w14:textFill>
        </w:rPr>
        <w:t>500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人、年销售收入≤</w:t>
      </w:r>
      <w:r>
        <w:rPr>
          <w:rFonts w:hint="default" w:ascii="仿宋_GB2312" w:hAnsi="仿宋_GB2312" w:eastAsia="仿宋_GB2312" w:cs="仿宋_GB2312"/>
          <w:color w:val="000000" w:themeColor="text1"/>
          <w:sz w:val="32"/>
          <w:szCs w:val="32"/>
          <w:highlight w:val="none"/>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亿元、资产总额≤</w:t>
      </w:r>
      <w:r>
        <w:rPr>
          <w:rFonts w:hint="default" w:ascii="仿宋_GB2312" w:hAnsi="仿宋_GB2312" w:eastAsia="仿宋_GB2312" w:cs="仿宋_GB2312"/>
          <w:color w:val="000000" w:themeColor="text1"/>
          <w:sz w:val="32"/>
          <w:szCs w:val="32"/>
          <w:highlight w:val="none"/>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亿元等），在申请</w:t>
      </w:r>
      <w:r>
        <w:rPr>
          <w:rFonts w:hint="default" w:ascii="仿宋_GB2312" w:hAnsi="仿宋_GB2312" w:eastAsia="仿宋_GB2312" w:cs="仿宋_GB2312"/>
          <w:color w:val="000000" w:themeColor="text1"/>
          <w:sz w:val="32"/>
          <w:szCs w:val="32"/>
          <w:highlight w:val="none"/>
          <w:shd w:val="clear" w:color="auto" w:fill="FFFFFF"/>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年度高新技术企业认定前原则上应当获得本年度科技型中小企业入库编号。</w:t>
      </w:r>
    </w:p>
    <w:p>
      <w:pPr>
        <w:pStyle w:val="4"/>
        <w:widowControl/>
        <w:shd w:val="clear" w:color="auto"/>
        <w:spacing w:beforeAutospacing="0" w:afterAutospacing="0" w:line="580" w:lineRule="exact"/>
        <w:ind w:firstLine="640" w:firstLineChars="200"/>
        <w:jc w:val="both"/>
        <w:rPr>
          <w:rFonts w:ascii="黑体" w:hAnsi="黑体" w:eastAsia="黑体" w:cs="黑体"/>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三、申报批次及时间</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高企认定、更名或重大变化、整体迁入相关工作，截止日为：</w:t>
      </w:r>
    </w:p>
    <w:p>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（一）高企认定办理截止日期为9月</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日；</w:t>
      </w:r>
    </w:p>
    <w:p>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（二）更名或与认定条件有关的重大变化的高企，本年度两个批次申报截止时间分别为</w:t>
      </w:r>
      <w:r>
        <w:rPr>
          <w:rFonts w:hint="default" w:ascii="仿宋_GB2312" w:hAnsi="仿宋_GB2312" w:eastAsia="仿宋_GB2312" w:cs="仿宋_GB2312"/>
          <w:color w:val="000000" w:themeColor="text1"/>
          <w:sz w:val="32"/>
          <w:szCs w:val="32"/>
          <w:highlight w:val="none"/>
          <w:shd w:val="clear" w:color="auto" w:fill="FFFFFF"/>
          <w14:textFill>
            <w14:solidFill>
              <w14:schemeClr w14:val="tx1"/>
            </w14:solidFill>
          </w14:textFill>
        </w:rPr>
        <w:t>8</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日与</w:t>
      </w:r>
      <w:r>
        <w:rPr>
          <w:rFonts w:hint="default" w:ascii="仿宋_GB2312" w:hAnsi="仿宋_GB2312" w:eastAsia="仿宋_GB2312" w:cs="仿宋_GB2312"/>
          <w:color w:val="000000" w:themeColor="text1"/>
          <w:sz w:val="32"/>
          <w:szCs w:val="32"/>
          <w:highlight w:val="none"/>
          <w:shd w:val="clear" w:color="auto" w:fill="FFFFFF"/>
          <w14:textFill>
            <w14:solidFill>
              <w14:schemeClr w14:val="tx1"/>
            </w14:solidFill>
          </w14:textFill>
        </w:rPr>
        <w:t>11</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月</w:t>
      </w:r>
      <w:r>
        <w:rPr>
          <w:rFonts w:hint="default" w:ascii="仿宋_GB2312" w:hAnsi="仿宋_GB2312" w:eastAsia="仿宋_GB2312" w:cs="仿宋_GB2312"/>
          <w:color w:val="000000" w:themeColor="text1"/>
          <w:sz w:val="32"/>
          <w:szCs w:val="32"/>
          <w:highlight w:val="none"/>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日。</w:t>
      </w:r>
    </w:p>
    <w:p>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外省市已认定的高企整体迁入</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生态城</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的，采取常态化受理</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分批次办理</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p>
    <w:p>
      <w:pPr>
        <w:pStyle w:val="4"/>
        <w:widowControl/>
        <w:shd w:val="clear" w:color="auto"/>
        <w:spacing w:beforeAutospacing="0" w:afterAutospacing="0" w:line="580" w:lineRule="exact"/>
        <w:ind w:firstLine="640" w:firstLineChars="200"/>
        <w:jc w:val="both"/>
        <w:rPr>
          <w:rFonts w:ascii="黑体" w:hAnsi="黑体" w:eastAsia="黑体" w:cs="黑体"/>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四、申报程序</w:t>
      </w:r>
    </w:p>
    <w:p>
      <w:pPr>
        <w:pStyle w:val="4"/>
        <w:widowControl/>
        <w:shd w:val="clear" w:color="auto"/>
        <w:spacing w:beforeAutospacing="0" w:afterAutospacing="0" w:line="580" w:lineRule="exact"/>
        <w:ind w:firstLine="645"/>
        <w:jc w:val="both"/>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（一）企业组织材料</w:t>
      </w:r>
    </w:p>
    <w:p>
      <w:pPr>
        <w:pStyle w:val="4"/>
        <w:widowControl/>
        <w:shd w:val="clear" w:color="auto"/>
        <w:spacing w:beforeAutospacing="0" w:afterAutospacing="0" w:line="580" w:lineRule="exact"/>
        <w:ind w:firstLine="645"/>
        <w:jc w:val="both"/>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1.国家级高企认定（含到期重新认定）</w:t>
      </w:r>
    </w:p>
    <w:p>
      <w:pPr>
        <w:pStyle w:val="4"/>
        <w:widowControl/>
        <w:shd w:val="clear" w:color="auto"/>
        <w:spacing w:beforeAutospacing="0" w:afterAutospacing="0" w:line="580" w:lineRule="exact"/>
        <w:ind w:firstLine="645"/>
        <w:jc w:val="both"/>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企业在</w:t>
      </w:r>
      <w:r>
        <w:rPr>
          <w:rFonts w:hint="eastAsia" w:ascii="Times New Roman" w:hAnsi="Times New Roman" w:eastAsia="仿宋_GB2312"/>
          <w:sz w:val="32"/>
          <w:szCs w:val="32"/>
          <w:highlight w:val="none"/>
          <w:lang w:val="en-US" w:eastAsia="zh-CN"/>
        </w:rPr>
        <w:t>“高新技术企业认定管理工作网”（</w:t>
      </w:r>
      <w:r>
        <w:rPr>
          <w:rFonts w:hint="default" w:ascii="Times New Roman" w:hAnsi="Times New Roman" w:eastAsia="仿宋_GB2312"/>
          <w:sz w:val="32"/>
          <w:szCs w:val="32"/>
          <w:highlight w:val="none"/>
          <w:lang w:val="en-US" w:eastAsia="zh-CN"/>
        </w:rPr>
        <w:t>http://www.innocom.gov.cn</w:t>
      </w:r>
      <w:r>
        <w:rPr>
          <w:rFonts w:hint="eastAsia" w:ascii="Times New Roman" w:hAnsi="Times New Roman" w:eastAsia="仿宋_GB2312"/>
          <w:sz w:val="32"/>
          <w:szCs w:val="32"/>
          <w:highlight w:val="none"/>
          <w:lang w:val="en-US" w:eastAsia="zh-CN"/>
        </w:rPr>
        <w:t>）进行注册及申报工作，务必保证材料完整、准确、清晰，并将系统中申报材料装订成册，企业应报送2本（一正一副）纸质高企申报材料（参考格式见附件1，研发费用辅助账格式一、格式二企业可任选其一，见附件2和</w:t>
      </w:r>
      <w:r>
        <w:rPr>
          <w:rFonts w:hint="default"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val="en-US" w:eastAsia="zh-CN"/>
        </w:rPr>
        <w:t>），书脊位置注明新认定</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重新认定、企业名称、所属领域、所属区（中新天津生态城），并附《高新技术企业认定信用承诺书》（见附件</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val="en-US" w:eastAsia="zh-CN"/>
        </w:rPr>
        <w:t>）。纸质高企申报材料内容必须与高企管理系统完全一致。企业可以选择告知承诺方式或非告知承诺方式申请。</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val="en-US" w:eastAsia="zh-CN"/>
        </w:rPr>
        <w:t>）告知承诺方式</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企业选择适用告知承诺制办理的，参照《科技部关于高新技术企业认定有关证明事项实行告知承诺制的通知》（国科发火〔</w:t>
      </w:r>
      <w:r>
        <w:rPr>
          <w:rFonts w:hint="default" w:ascii="Times New Roman" w:hAnsi="Times New Roman" w:eastAsia="仿宋_GB2312"/>
          <w:sz w:val="32"/>
          <w:szCs w:val="32"/>
          <w:highlight w:val="none"/>
          <w:lang w:val="en-US" w:eastAsia="zh-CN"/>
        </w:rPr>
        <w:t>2021</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362</w:t>
      </w:r>
      <w:r>
        <w:rPr>
          <w:rFonts w:hint="eastAsia" w:ascii="Times New Roman" w:hAnsi="Times New Roman" w:eastAsia="仿宋_GB2312"/>
          <w:sz w:val="32"/>
          <w:szCs w:val="32"/>
          <w:highlight w:val="none"/>
          <w:lang w:val="en-US" w:eastAsia="zh-CN"/>
        </w:rPr>
        <w:t>号）（见附件</w:t>
      </w:r>
      <w:r>
        <w:rPr>
          <w:rFonts w:hint="default"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val="en-US" w:eastAsia="zh-CN"/>
        </w:rPr>
        <w:t>）文件执行（适用证明事项包括</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营业执照等企业注册登记证件</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专利证书等企业知识产权证件</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登录系统选择告知承诺制，打印系统生成的《证明事项告知承诺书》，由企业法人签字并加盖企业公章后上传管理系统，随企业申报材料提交《证明事项告知承诺书》原件，不再提供适用证明事项的其他证明材料。</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val="en-US" w:eastAsia="zh-CN"/>
        </w:rPr>
        <w:t>）非告知承诺方式</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企业选择非告知承诺制办理的，申请企业应当按要求提供有关事项需要的证明材料。</w:t>
      </w:r>
    </w:p>
    <w:p>
      <w:pPr>
        <w:pStyle w:val="4"/>
        <w:widowControl/>
        <w:shd w:val="clear" w:color="auto"/>
        <w:spacing w:beforeAutospacing="0" w:afterAutospacing="0" w:line="580" w:lineRule="exact"/>
        <w:ind w:firstLine="645"/>
        <w:jc w:val="both"/>
        <w:rPr>
          <w:rFonts w:hint="default" w:ascii="仿宋_GB2312" w:hAnsi="仿宋_GB2312" w:eastAsia="仿宋_GB2312" w:cs="仿宋_GB2312"/>
          <w:b/>
          <w:bCs/>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2.</w:t>
      </w:r>
      <w:bookmarkStart w:id="0" w:name="OLE_LINK4"/>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国家级高企简单更名</w:t>
      </w:r>
      <w:bookmarkEnd w:id="0"/>
      <w:r>
        <w:rPr>
          <w:rFonts w:hint="eastAsia" w:ascii="仿宋_GB2312" w:hAnsi="仿宋_GB2312" w:eastAsia="仿宋_GB2312" w:cs="仿宋_GB2312"/>
          <w:b/>
          <w:bCs/>
          <w:color w:val="000000" w:themeColor="text1"/>
          <w:sz w:val="32"/>
          <w:szCs w:val="32"/>
          <w:highlight w:val="none"/>
          <w:shd w:val="clear" w:color="auto" w:fill="FFFFFF"/>
          <w:lang w:val="en-US" w:eastAsia="zh-CN"/>
          <w14:textFill>
            <w14:solidFill>
              <w14:schemeClr w14:val="tx1"/>
            </w14:solidFill>
          </w14:textFill>
        </w:rPr>
        <w:t>或重大变化</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高企有效期内发生名称变更或与认定条件有关的重大变化（如分立、合并、重组以及经营业务发生变化等）的企业，应在发生之日起三个月内报备，按照《认定办法》规定执行。</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企业名称变化，经营业务未发生变化的适用于简单更名。提交以下材料：</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（1）《高新技术企业简单更名信用承诺书》（见附件</w:t>
      </w:r>
      <w:r>
        <w:rPr>
          <w:rFonts w:hint="default"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val="en-US" w:eastAsia="zh-CN"/>
        </w:rPr>
        <w:t>）</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val="en-US" w:eastAsia="zh-CN"/>
        </w:rPr>
        <w:t>）《高新技术企业名称变更申请书》；</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val="en-US" w:eastAsia="zh-CN"/>
        </w:rPr>
        <w:t>）市场监管部门出具的核准变更通知书及其他名称变更证明文件；</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val="en-US" w:eastAsia="zh-CN"/>
        </w:rPr>
        <w:t>）企业更名前后营业执照副本复印件；</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val="en-US" w:eastAsia="zh-CN"/>
        </w:rPr>
        <w:t>）有效期内的《高新技术企业证书》复印件。</w:t>
      </w:r>
    </w:p>
    <w:p>
      <w:pPr>
        <w:pStyle w:val="4"/>
        <w:widowControl/>
        <w:shd w:val="clear" w:color="auto"/>
        <w:spacing w:beforeAutospacing="0" w:afterAutospacing="0" w:line="580" w:lineRule="exact"/>
        <w:ind w:firstLine="645"/>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企业发生分立、合并、重组以及经营业务发生变化等，适用于重大变化，除提供上述简单更名所需的相关材料外〔提交材料（</w:t>
      </w:r>
      <w:r>
        <w:rPr>
          <w:rFonts w:hint="default"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val="en-US" w:eastAsia="zh-CN"/>
        </w:rPr>
        <w:t>）〕，其他同认定提交材料。</w:t>
      </w:r>
    </w:p>
    <w:p>
      <w:pPr>
        <w:pStyle w:val="4"/>
        <w:widowControl/>
        <w:shd w:val="clear" w:color="auto"/>
        <w:spacing w:beforeAutospacing="0" w:afterAutospacing="0" w:line="580" w:lineRule="exact"/>
        <w:ind w:firstLine="645"/>
        <w:jc w:val="both"/>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5.国家级高企整体迁入</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bookmarkStart w:id="1" w:name="OLE_LINK3"/>
      <w:bookmarkEnd w:id="1"/>
      <w:bookmarkStart w:id="2" w:name="OLE_LINK2"/>
      <w:bookmarkEnd w:id="2"/>
      <w:bookmarkStart w:id="3" w:name="OLE_LINK1"/>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证书在有效期内、在外省市已认定的国家级高企整体迁入生态城的企业，</w:t>
      </w:r>
      <w:bookmarkEnd w:id="3"/>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应提交《高新技术企业迁入承诺书》（见附件</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以下材料</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（1）有效期内的高新技术企业证书；</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（2）企业迁入前、迁入后营业执照；</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（3）企业简介（包括企业基本情况及搬迁情况说明）；</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（4）企业原所在地清税证明；</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（5）企业迁入前一年度的纳税申报表及年度审计报告。</w:t>
      </w:r>
    </w:p>
    <w:p>
      <w:pPr>
        <w:pStyle w:val="4"/>
        <w:widowControl/>
        <w:shd w:val="clear" w:color="auto"/>
        <w:spacing w:beforeAutospacing="0" w:afterAutospacing="0" w:line="580" w:lineRule="exact"/>
        <w:ind w:firstLine="645"/>
        <w:jc w:val="both"/>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（二）企业报送材料</w:t>
      </w:r>
    </w:p>
    <w:p>
      <w:pPr>
        <w:pStyle w:val="4"/>
        <w:widowControl/>
        <w:shd w:val="clear" w:color="auto"/>
        <w:spacing w:beforeAutospacing="0" w:afterAutospacing="0" w:line="580" w:lineRule="exact"/>
        <w:ind w:firstLine="645"/>
        <w:jc w:val="both"/>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1.</w:t>
      </w:r>
      <w:r>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国家级高企认定、重大变化</w:t>
      </w:r>
      <w:r>
        <w:rPr>
          <w:rFonts w:hint="eastAsia" w:ascii="Times New Roman" w:hAnsi="Times New Roman" w:eastAsia="仿宋_GB2312"/>
          <w:b/>
          <w:bCs/>
          <w:sz w:val="32"/>
          <w:szCs w:val="32"/>
          <w:highlight w:val="none"/>
          <w:lang w:val="en-US" w:eastAsia="zh-CN"/>
        </w:rPr>
        <w:t>、</w:t>
      </w:r>
      <w:r>
        <w:rPr>
          <w:rFonts w:hint="eastAsia" w:ascii="仿宋_GB2312" w:hAnsi="仿宋_GB2312" w:eastAsia="仿宋_GB2312" w:cs="仿宋_GB2312"/>
          <w:b/>
          <w:bCs/>
          <w:color w:val="000000" w:themeColor="text1"/>
          <w:sz w:val="32"/>
          <w:szCs w:val="32"/>
          <w:highlight w:val="none"/>
          <w:shd w:val="clear" w:color="auto" w:fill="FFFFFF"/>
          <w:lang w:val="en-US" w:eastAsia="zh-CN"/>
          <w14:textFill>
            <w14:solidFill>
              <w14:schemeClr w14:val="tx1"/>
            </w14:solidFill>
          </w14:textFill>
        </w:rPr>
        <w:t>天津市高企培育库</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（1）材料受理。</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企业提交上述材料时，应附《企业情况表》（见附件</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8</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，除国家级高企简单更名和整体迁入外均需提交）电子版文件，</w:t>
      </w:r>
      <w:r>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确保《企业情况表》中内容与材料一致</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，随申报材料一同报送。</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（2）形式审查。</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我局在收到企业报送的材料后，对申报企业进行形式审查，</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并填写</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《高新技术企业申报推荐表》（</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见附件</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9</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同时，我局将联合相关部门对企业申报认定前一年内是否发生重大安全、重大质量事故或严重环境违法行为</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等情况</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进行审查，出具是否推荐的意见。</w:t>
      </w:r>
    </w:p>
    <w:p>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（3）实地核查。</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我局将采用</w:t>
      </w:r>
      <w:r>
        <w:rPr>
          <w:rFonts w:hint="default"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四不两直</w:t>
      </w:r>
      <w:r>
        <w:rPr>
          <w:rFonts w:hint="default"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方式</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赴</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申报</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企业进行实地核查</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sz w:val="32"/>
          <w:szCs w:val="32"/>
          <w:highlight w:val="none"/>
          <w:lang w:val="en-US" w:eastAsia="zh-CN"/>
        </w:rPr>
        <w:t>对</w:t>
      </w:r>
      <w:r>
        <w:rPr>
          <w:rFonts w:hint="eastAsia" w:ascii="Times New Roman" w:hAnsi="Times New Roman" w:eastAsia="仿宋_GB2312"/>
          <w:sz w:val="32"/>
          <w:szCs w:val="32"/>
          <w:highlight w:val="none"/>
          <w:lang w:val="en-US" w:eastAsia="zh-CN"/>
        </w:rPr>
        <w:t>因企业在天津市外实际</w:t>
      </w:r>
      <w:r>
        <w:rPr>
          <w:rFonts w:hint="default" w:ascii="Times New Roman" w:hAnsi="Times New Roman" w:eastAsia="仿宋_GB2312"/>
          <w:sz w:val="32"/>
          <w:szCs w:val="32"/>
          <w:highlight w:val="none"/>
          <w:lang w:val="en-US" w:eastAsia="zh-CN"/>
        </w:rPr>
        <w:t>经营</w:t>
      </w:r>
      <w:r>
        <w:rPr>
          <w:rFonts w:hint="eastAsia" w:ascii="Times New Roman" w:hAnsi="Times New Roman" w:eastAsia="仿宋_GB2312"/>
          <w:sz w:val="32"/>
          <w:szCs w:val="32"/>
          <w:highlight w:val="none"/>
          <w:lang w:val="en-US" w:eastAsia="zh-CN"/>
        </w:rPr>
        <w:t>等</w:t>
      </w:r>
      <w:r>
        <w:rPr>
          <w:rFonts w:hint="default" w:ascii="Times New Roman" w:hAnsi="Times New Roman" w:eastAsia="仿宋_GB2312"/>
          <w:sz w:val="32"/>
          <w:szCs w:val="32"/>
          <w:highlight w:val="none"/>
          <w:lang w:val="en-US" w:eastAsia="zh-CN"/>
        </w:rPr>
        <w:t>原因无法实地核查的企业，</w:t>
      </w:r>
      <w:r>
        <w:rPr>
          <w:rFonts w:hint="eastAsia" w:ascii="Times New Roman" w:hAnsi="Times New Roman" w:eastAsia="仿宋_GB2312"/>
          <w:sz w:val="32"/>
          <w:szCs w:val="32"/>
          <w:highlight w:val="none"/>
          <w:lang w:val="en-US" w:eastAsia="zh-CN"/>
        </w:rPr>
        <w:t>将</w:t>
      </w:r>
      <w:r>
        <w:rPr>
          <w:rFonts w:hint="default" w:ascii="Times New Roman" w:hAnsi="Times New Roman" w:eastAsia="仿宋_GB2312"/>
          <w:sz w:val="32"/>
          <w:szCs w:val="32"/>
          <w:highlight w:val="none"/>
          <w:lang w:val="en-US" w:eastAsia="zh-CN"/>
        </w:rPr>
        <w:t>采取视频核查</w:t>
      </w:r>
      <w:r>
        <w:rPr>
          <w:rFonts w:hint="eastAsia" w:ascii="Times New Roman" w:hAnsi="Times New Roman" w:eastAsia="仿宋_GB2312"/>
          <w:sz w:val="32"/>
          <w:szCs w:val="32"/>
          <w:highlight w:val="none"/>
          <w:lang w:val="en-US" w:eastAsia="zh-CN"/>
        </w:rPr>
        <w:t>等</w:t>
      </w:r>
      <w:r>
        <w:rPr>
          <w:rFonts w:hint="default" w:ascii="Times New Roman" w:hAnsi="Times New Roman" w:eastAsia="仿宋_GB2312"/>
          <w:sz w:val="32"/>
          <w:szCs w:val="32"/>
          <w:highlight w:val="none"/>
          <w:lang w:val="en-US" w:eastAsia="zh-CN"/>
        </w:rPr>
        <w:t>方式</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实地核查中，</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我局</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通过生态城科技管理信息平台（核查内容结合《</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fldChar w:fldCharType="begin"/>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instrText xml:space="preserve"> HYPERLINK "http://kjj.tjbh.gov.cn/upload/files/2024/6/%E9%99%84%E4%BB%B611%EF%BC%9A%E9%AB%98%E6%96%B0%E6%8A%80%E6%9C%AF%E4%BC%81%E4%B8%9A%E7%94%B3%E6%8A%A5%E5%AE%9E%E5%9C%B0%E6%A0%B8%E6%9F%A5%E8%A1%A8.xlsx" \t "https://kjj.tjbh.gov.cn/contents/16416/_blank" </w:instrTex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高新技术企业申报实地核查表</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》拟定，具体见附件10）</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如实记录核查中的问题</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对在实地核查中发现有与申报材料不一致、有弄虚作假行为或不符合申报条件等情况的企业，</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均</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不</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予</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推荐</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（4）推荐上报。</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形式审查与实地核查完毕后，我局将对符合条件的企业予以推荐上报，并将相关申报材料汇总后报送新区科技局指定受理机构。</w:t>
      </w:r>
    </w:p>
    <w:p>
      <w:pPr>
        <w:pStyle w:val="4"/>
        <w:widowControl/>
        <w:shd w:val="clear" w:color="auto"/>
        <w:spacing w:beforeAutospacing="0" w:afterAutospacing="0" w:line="580" w:lineRule="exact"/>
        <w:ind w:firstLine="645"/>
        <w:jc w:val="both"/>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2.</w:t>
      </w:r>
      <w:bookmarkStart w:id="4" w:name="OLE_LINK5"/>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国家级</w:t>
      </w:r>
      <w:bookmarkEnd w:id="4"/>
      <w:r>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高企简单更名</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我局</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在收到企业报送的材料后，对申报企业进行</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核实</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，并填写《高新技术企业简单更名</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推荐</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表》（见附件</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11</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在对申报材料形式审查</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我局</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将《高新技术企业简单更名</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推荐</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表》</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及</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企业申报材料汇总后报送区科技局指定受理机构。</w:t>
      </w:r>
    </w:p>
    <w:p>
      <w:pPr>
        <w:pStyle w:val="4"/>
        <w:widowControl/>
        <w:shd w:val="clear" w:color="auto"/>
        <w:spacing w:beforeAutospacing="0" w:afterAutospacing="0" w:line="580" w:lineRule="exact"/>
        <w:ind w:firstLine="645"/>
        <w:jc w:val="both"/>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3.国家级高企整体迁入</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我局在</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收到企业报送的材料后，对</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申报</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企业进行核实，并填写《</w:t>
      </w:r>
      <w:r>
        <w:rPr>
          <w:rFonts w:hint="eastAsia" w:ascii="Times New Roman" w:hAnsi="Times New Roman" w:eastAsia="仿宋_GB2312"/>
          <w:sz w:val="32"/>
          <w:szCs w:val="32"/>
          <w:highlight w:val="none"/>
          <w:lang w:val="en-US" w:eastAsia="zh-CN"/>
        </w:rPr>
        <w:t>高新技术企业迁入推荐表</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》（见附件</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12</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在对申报材料形式审查</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我局</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将《</w:t>
      </w:r>
      <w:r>
        <w:rPr>
          <w:rFonts w:hint="eastAsia" w:ascii="Times New Roman" w:hAnsi="Times New Roman" w:eastAsia="仿宋_GB2312"/>
          <w:sz w:val="32"/>
          <w:szCs w:val="32"/>
          <w:highlight w:val="none"/>
          <w:lang w:val="en-US" w:eastAsia="zh-CN"/>
        </w:rPr>
        <w:t>高新技术企业迁入推荐表</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及</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企业申报材料汇总后报送区科技局指定受理机构。</w:t>
      </w:r>
    </w:p>
    <w:p>
      <w:pPr>
        <w:pStyle w:val="4"/>
        <w:widowControl/>
        <w:shd w:val="clear" w:color="auto"/>
        <w:spacing w:beforeAutospacing="0" w:afterAutospacing="0" w:line="580" w:lineRule="exact"/>
        <w:ind w:firstLine="645"/>
        <w:jc w:val="both"/>
        <w:rPr>
          <w:rFonts w:ascii="黑体" w:hAnsi="黑体" w:eastAsia="黑体" w:cs="黑体"/>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五、有关要求</w:t>
      </w:r>
    </w:p>
    <w:p>
      <w:pPr>
        <w:keepNext w:val="0"/>
        <w:keepLines w:val="0"/>
        <w:pageBreakBefore w:val="0"/>
        <w:shd w:val="clear"/>
        <w:kinsoku/>
        <w:wordWrap/>
        <w:overflowPunct/>
        <w:topLinePunct w:val="0"/>
        <w:autoSpaceDE/>
        <w:autoSpaceDN/>
        <w:bidi w:val="0"/>
        <w:adjustRightInd w:val="0"/>
        <w:snapToGrid w:val="0"/>
        <w:spacing w:line="560" w:lineRule="exact"/>
        <w:ind w:firstLine="642" w:firstLineChars="200"/>
        <w:textAlignment w:val="auto"/>
        <w:rPr>
          <w:rFonts w:hint="eastAsia" w:eastAsia="楷体"/>
          <w:b/>
          <w:bCs/>
          <w:sz w:val="32"/>
          <w:szCs w:val="32"/>
          <w:highlight w:val="none"/>
          <w:lang w:val="en-US" w:eastAsia="zh-CN"/>
        </w:rPr>
      </w:pPr>
      <w:r>
        <w:rPr>
          <w:rFonts w:hint="eastAsia" w:eastAsia="楷体"/>
          <w:b/>
          <w:bCs/>
          <w:sz w:val="32"/>
          <w:szCs w:val="32"/>
          <w:highlight w:val="none"/>
          <w:lang w:eastAsia="zh-CN"/>
        </w:rPr>
        <w:t>（</w:t>
      </w:r>
      <w:r>
        <w:rPr>
          <w:rFonts w:hint="eastAsia" w:eastAsia="楷体"/>
          <w:b/>
          <w:bCs/>
          <w:sz w:val="32"/>
          <w:szCs w:val="32"/>
          <w:highlight w:val="none"/>
          <w:lang w:val="en-US" w:eastAsia="zh-CN"/>
        </w:rPr>
        <w:t>一）关于财务中介机构和专项报告赋码的相关要求</w:t>
      </w:r>
    </w:p>
    <w:p>
      <w:pPr>
        <w:pStyle w:val="11"/>
        <w:keepNext w:val="0"/>
        <w:keepLines w:val="0"/>
        <w:pageBreakBefore w:val="0"/>
        <w:shd w:val="clear"/>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高企认定专项审计（鉴证）报告应由符合《工作指引》规定条件的财务中介机构出具，如实出具承诺书（样式见附件2相关内容）。企业可自行选择符合以下条件的中介机构：</w:t>
      </w:r>
    </w:p>
    <w:p>
      <w:pPr>
        <w:pStyle w:val="11"/>
        <w:keepNext w:val="0"/>
        <w:keepLines w:val="0"/>
        <w:pageBreakBefore w:val="0"/>
        <w:shd w:val="clear"/>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1.具备独立执业资格，成立三年以上，近三年内无不良记录。</w:t>
      </w:r>
    </w:p>
    <w:p>
      <w:pPr>
        <w:pStyle w:val="11"/>
        <w:keepNext w:val="0"/>
        <w:keepLines w:val="0"/>
        <w:pageBreakBefore w:val="0"/>
        <w:shd w:val="clear"/>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2.承担认定工作当年的注册会计师或税务师人数占职工全年月平均人数的比例不低于30%，全年月平均在职职工人数在20人以上。</w:t>
      </w:r>
    </w:p>
    <w:p>
      <w:pPr>
        <w:pStyle w:val="11"/>
        <w:keepNext w:val="0"/>
        <w:keepLines w:val="0"/>
        <w:pageBreakBefore w:val="0"/>
        <w:shd w:val="clear"/>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3.相关人员应具有良好的职业道德，了解国家科技、经济及产业政策，熟悉高企认定工作有关要求。</w:t>
      </w:r>
    </w:p>
    <w:p>
      <w:pPr>
        <w:pStyle w:val="11"/>
        <w:keepNext w:val="0"/>
        <w:keepLines w:val="0"/>
        <w:pageBreakBefore w:val="0"/>
        <w:shd w:val="clear"/>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根据财政部《关于加强审计报告查验工作的通知》（财会〔2023〕</w:t>
      </w:r>
      <w:r>
        <w:rPr>
          <w:rFonts w:hint="default"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lang w:val="en-US" w:eastAsia="zh-CN"/>
        </w:rPr>
        <w:t>号）等要求，</w:t>
      </w:r>
      <w:r>
        <w:rPr>
          <w:rFonts w:hint="default" w:ascii="Times New Roman" w:hAnsi="Times New Roman" w:eastAsia="仿宋_GB2312"/>
          <w:sz w:val="32"/>
          <w:szCs w:val="32"/>
          <w:highlight w:val="none"/>
          <w:lang w:val="en-US" w:eastAsia="zh-CN"/>
        </w:rPr>
        <w:t>2022</w:t>
      </w:r>
      <w:r>
        <w:rPr>
          <w:rFonts w:hint="eastAsia" w:ascii="Times New Roman" w:hAnsi="Times New Roman" w:eastAsia="仿宋_GB2312"/>
          <w:sz w:val="32"/>
          <w:szCs w:val="32"/>
          <w:highlight w:val="none"/>
          <w:lang w:val="en-US" w:eastAsia="zh-CN"/>
        </w:rPr>
        <w:t>年</w:t>
      </w:r>
      <w:r>
        <w:rPr>
          <w:rFonts w:hint="default"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lang w:val="en-US" w:eastAsia="zh-CN"/>
        </w:rPr>
        <w:t>月</w:t>
      </w:r>
      <w:r>
        <w:rPr>
          <w:rFonts w:hint="default"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val="en-US" w:eastAsia="zh-CN"/>
        </w:rPr>
        <w:t>日起，会计师事务所出具的审计报告须上传至注册会计师行业统一监管平台并申请赋码；</w:t>
      </w:r>
      <w:r>
        <w:rPr>
          <w:rFonts w:hint="default" w:ascii="Times New Roman" w:hAnsi="Times New Roman" w:eastAsia="仿宋_GB2312"/>
          <w:sz w:val="32"/>
          <w:szCs w:val="32"/>
          <w:highlight w:val="none"/>
          <w:lang w:val="en-US" w:eastAsia="zh-CN"/>
        </w:rPr>
        <w:t>2023</w:t>
      </w:r>
      <w:r>
        <w:rPr>
          <w:rFonts w:hint="eastAsia" w:ascii="Times New Roman" w:hAnsi="Times New Roman" w:eastAsia="仿宋_GB2312"/>
          <w:sz w:val="32"/>
          <w:szCs w:val="32"/>
          <w:highlight w:val="none"/>
          <w:lang w:val="en-US" w:eastAsia="zh-CN"/>
        </w:rPr>
        <w:t>年</w:t>
      </w:r>
      <w:r>
        <w:rPr>
          <w:rFonts w:hint="default"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lang w:val="en-US" w:eastAsia="zh-CN"/>
        </w:rPr>
        <w:t>月</w:t>
      </w:r>
      <w:r>
        <w:rPr>
          <w:rFonts w:hint="default"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val="en-US" w:eastAsia="zh-CN"/>
        </w:rPr>
        <w:t>日起，经登记并加入中国注册税务师协会的税务师事务所出具的涉税业务报告，首页需标注中税协信息服务平台备案的二维码。</w:t>
      </w:r>
    </w:p>
    <w:p>
      <w:pPr>
        <w:pStyle w:val="11"/>
        <w:keepNext w:val="0"/>
        <w:keepLines w:val="0"/>
        <w:pageBreakBefore w:val="0"/>
        <w:shd w:val="clear"/>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b/>
          <w:bCs/>
          <w:sz w:val="32"/>
          <w:szCs w:val="32"/>
          <w:highlight w:val="none"/>
          <w:lang w:val="en-US" w:eastAsia="zh-CN"/>
        </w:rPr>
      </w:pPr>
      <w:r>
        <w:rPr>
          <w:rFonts w:hint="eastAsia" w:ascii="Times New Roman" w:hAnsi="Times New Roman" w:eastAsia="仿宋_GB2312"/>
          <w:b/>
          <w:bCs/>
          <w:sz w:val="32"/>
          <w:szCs w:val="32"/>
          <w:highlight w:val="none"/>
          <w:lang w:val="en-US" w:eastAsia="zh-CN"/>
        </w:rPr>
        <w:t>（二）关于按规定时限报送年度发展情况报表的要求</w:t>
      </w:r>
    </w:p>
    <w:p>
      <w:pPr>
        <w:pStyle w:val="11"/>
        <w:keepNext w:val="0"/>
        <w:keepLines w:val="0"/>
        <w:pageBreakBefore w:val="0"/>
        <w:shd w:val="clear"/>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按照《认定办法》第十三条、《工作指引》第五条第二款规定，在同一高新技术企业资格有效期内，企业累计两年未按规定时限报送年度发展情况报表的，由认定机构取消其高新技术企业资格，并通知税务机关按《中华人民共和国税收征收管理法》及有关规定追缴其已享受的高新技术企业税收优惠。</w:t>
      </w:r>
    </w:p>
    <w:p>
      <w:pPr>
        <w:keepNext w:val="0"/>
        <w:keepLines w:val="0"/>
        <w:pageBreakBefore w:val="0"/>
        <w:shd w:val="clear"/>
        <w:kinsoku/>
        <w:wordWrap/>
        <w:overflowPunct/>
        <w:topLinePunct w:val="0"/>
        <w:autoSpaceDE/>
        <w:autoSpaceDN/>
        <w:bidi w:val="0"/>
        <w:adjustRightInd w:val="0"/>
        <w:snapToGrid w:val="0"/>
        <w:spacing w:line="560" w:lineRule="exact"/>
        <w:ind w:firstLine="642" w:firstLineChars="200"/>
        <w:textAlignment w:val="auto"/>
        <w:rPr>
          <w:rFonts w:eastAsia="楷体"/>
          <w:b/>
          <w:bCs/>
          <w:sz w:val="32"/>
          <w:szCs w:val="32"/>
          <w:highlight w:val="none"/>
        </w:rPr>
      </w:pPr>
      <w:r>
        <w:rPr>
          <w:rFonts w:eastAsia="楷体"/>
          <w:b/>
          <w:bCs/>
          <w:sz w:val="32"/>
          <w:szCs w:val="32"/>
          <w:highlight w:val="none"/>
        </w:rPr>
        <w:t>（</w:t>
      </w:r>
      <w:r>
        <w:rPr>
          <w:rFonts w:hint="eastAsia" w:eastAsia="楷体"/>
          <w:b/>
          <w:bCs/>
          <w:sz w:val="32"/>
          <w:szCs w:val="32"/>
          <w:highlight w:val="none"/>
          <w:lang w:val="en-US" w:eastAsia="zh-CN"/>
        </w:rPr>
        <w:t>三</w:t>
      </w:r>
      <w:r>
        <w:rPr>
          <w:rFonts w:eastAsia="楷体"/>
          <w:b/>
          <w:bCs/>
          <w:sz w:val="32"/>
          <w:szCs w:val="32"/>
          <w:highlight w:val="none"/>
        </w:rPr>
        <w:t>）</w:t>
      </w:r>
      <w:r>
        <w:rPr>
          <w:rFonts w:hint="eastAsia" w:eastAsia="楷体"/>
          <w:b/>
          <w:bCs/>
          <w:sz w:val="32"/>
          <w:szCs w:val="32"/>
          <w:highlight w:val="none"/>
          <w:lang w:val="en-US" w:eastAsia="zh-CN"/>
        </w:rPr>
        <w:t>关于</w:t>
      </w:r>
      <w:r>
        <w:rPr>
          <w:rFonts w:eastAsia="楷体"/>
          <w:b/>
          <w:bCs/>
          <w:sz w:val="32"/>
          <w:szCs w:val="32"/>
          <w:highlight w:val="none"/>
        </w:rPr>
        <w:t>强化过程</w:t>
      </w:r>
      <w:r>
        <w:rPr>
          <w:rFonts w:hint="eastAsia" w:eastAsia="楷体"/>
          <w:b/>
          <w:bCs/>
          <w:sz w:val="32"/>
          <w:szCs w:val="32"/>
          <w:highlight w:val="none"/>
          <w:lang w:val="en-US" w:eastAsia="zh-CN"/>
        </w:rPr>
        <w:t>监管的要求</w:t>
      </w:r>
    </w:p>
    <w:p>
      <w:pPr>
        <w:pStyle w:val="11"/>
        <w:keepNext w:val="0"/>
        <w:keepLines w:val="0"/>
        <w:pageBreakBefore w:val="0"/>
        <w:shd w:val="clear"/>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高企认定工作严格按照国家和天津市有关标准和程序开展，不收取任何费用。我局严格落实中央八项规定精神，确保推荐工作的公正性和规范性，并未委托或指定任何单位、部门和个人为申报企业编写材料。</w:t>
      </w:r>
    </w:p>
    <w:p>
      <w:pPr>
        <w:pStyle w:val="11"/>
        <w:keepNext w:val="0"/>
        <w:keepLines w:val="0"/>
        <w:pageBreakBefore w:val="0"/>
        <w:shd w:val="clear"/>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企业应保证所有申报材料真实有效，对经查实提供虚假材料的企业将自动丧失申报资格。企业应在申报材料中以书面形式作出信用承诺（申请认定、重大变化企业使用附件4，简单更名企业使用附件</w:t>
      </w:r>
      <w:r>
        <w:rPr>
          <w:rFonts w:hint="default"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val="en-US" w:eastAsia="zh-CN"/>
        </w:rPr>
        <w:t>，迁入企业使用附件</w:t>
      </w:r>
      <w:r>
        <w:rPr>
          <w:rFonts w:hint="default"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lang w:val="en-US" w:eastAsia="zh-CN"/>
        </w:rPr>
        <w:t>，申请认定企业应在高企管理系统上传合规的《高新技术企业认定申请书》封皮和《</w:t>
      </w:r>
      <w:r>
        <w:rPr>
          <w:rFonts w:hint="default" w:ascii="Times New Roman" w:hAnsi="Times New Roman" w:eastAsia="仿宋_GB2312"/>
          <w:sz w:val="32"/>
          <w:szCs w:val="32"/>
          <w:highlight w:val="none"/>
          <w:lang w:val="en-US" w:eastAsia="zh-CN"/>
        </w:rPr>
        <w:t>2025</w:t>
      </w:r>
      <w:r>
        <w:rPr>
          <w:rFonts w:hint="eastAsia" w:ascii="Times New Roman" w:hAnsi="Times New Roman" w:eastAsia="仿宋_GB2312"/>
          <w:sz w:val="32"/>
          <w:szCs w:val="32"/>
          <w:highlight w:val="none"/>
          <w:lang w:val="en-US" w:eastAsia="zh-CN"/>
        </w:rPr>
        <w:t>年高新技术企业申报材料自查表》。</w:t>
      </w:r>
    </w:p>
    <w:p>
      <w:pPr>
        <w:pStyle w:val="11"/>
        <w:keepNext w:val="0"/>
        <w:keepLines w:val="0"/>
        <w:pageBreakBefore w:val="0"/>
        <w:shd w:val="clear"/>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区科技局将会同有关单位通过随机抽查、实地核查等方式，加强高新技术企业认定事中事后监管。对事中抽查核查发现不符合条件的企业将不予认定；已认定的企业将提请取消高新技术企业资格，并在高新技术企业认定管理工作网及相关网站公告。</w:t>
      </w:r>
    </w:p>
    <w:p>
      <w:pPr>
        <w:keepNext w:val="0"/>
        <w:keepLines w:val="0"/>
        <w:pageBreakBefore w:val="0"/>
        <w:shd w:val="clear"/>
        <w:kinsoku/>
        <w:wordWrap/>
        <w:overflowPunct/>
        <w:topLinePunct w:val="0"/>
        <w:autoSpaceDE/>
        <w:autoSpaceDN/>
        <w:bidi w:val="0"/>
        <w:adjustRightInd w:val="0"/>
        <w:snapToGrid w:val="0"/>
        <w:spacing w:line="560" w:lineRule="exact"/>
        <w:ind w:firstLine="642" w:firstLineChars="200"/>
        <w:textAlignment w:val="auto"/>
        <w:rPr>
          <w:rFonts w:eastAsia="楷体"/>
          <w:b/>
          <w:bCs/>
          <w:sz w:val="32"/>
          <w:szCs w:val="32"/>
          <w:highlight w:val="none"/>
        </w:rPr>
      </w:pPr>
      <w:r>
        <w:rPr>
          <w:rFonts w:eastAsia="楷体"/>
          <w:b/>
          <w:bCs/>
          <w:sz w:val="32"/>
          <w:szCs w:val="32"/>
          <w:highlight w:val="none"/>
        </w:rPr>
        <w:t>（</w:t>
      </w:r>
      <w:r>
        <w:rPr>
          <w:rFonts w:hint="eastAsia" w:eastAsia="楷体"/>
          <w:b/>
          <w:bCs/>
          <w:sz w:val="32"/>
          <w:szCs w:val="32"/>
          <w:highlight w:val="none"/>
          <w:lang w:val="en-US" w:eastAsia="zh-CN"/>
        </w:rPr>
        <w:t>三</w:t>
      </w:r>
      <w:r>
        <w:rPr>
          <w:rFonts w:eastAsia="楷体"/>
          <w:b/>
          <w:bCs/>
          <w:sz w:val="32"/>
          <w:szCs w:val="32"/>
          <w:highlight w:val="none"/>
        </w:rPr>
        <w:t>）</w:t>
      </w:r>
      <w:r>
        <w:rPr>
          <w:rFonts w:hint="eastAsia" w:eastAsia="楷体"/>
          <w:b/>
          <w:bCs/>
          <w:sz w:val="32"/>
          <w:szCs w:val="32"/>
          <w:highlight w:val="none"/>
          <w:lang w:val="en-US" w:eastAsia="zh-CN"/>
        </w:rPr>
        <w:t>其他要求</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企业需提前登录“生态城科技管理信息平台”微信小程序注册账号，以便开展认定意向填报、高企服务券申请、接收通知、了解政策</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申请兑现政策</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等工作。</w:t>
      </w:r>
    </w:p>
    <w:p>
      <w:pPr>
        <w:pStyle w:val="4"/>
        <w:widowControl/>
        <w:shd w:val="clear" w:color="auto"/>
        <w:spacing w:beforeAutospacing="0" w:afterAutospacing="0" w:line="580" w:lineRule="exact"/>
        <w:ind w:firstLine="645"/>
        <w:jc w:val="both"/>
        <w:rPr>
          <w:rFonts w:ascii="黑体" w:hAnsi="黑体" w:eastAsia="黑体" w:cs="黑体"/>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六、联系方式</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1.中新天津生态城科技创新局</w:t>
      </w:r>
    </w:p>
    <w:p>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联系人：</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张铁建</w:t>
      </w:r>
    </w:p>
    <w:p>
      <w:pPr>
        <w:pStyle w:val="4"/>
        <w:widowControl/>
        <w:shd w:val="clear" w:color="auto"/>
        <w:spacing w:beforeAutospacing="0" w:afterAutospacing="0" w:line="580" w:lineRule="exact"/>
        <w:ind w:firstLine="645"/>
        <w:jc w:val="both"/>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电  话：022-66328241</w:t>
      </w:r>
    </w:p>
    <w:p>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受理机构</w:t>
      </w:r>
    </w:p>
    <w:p>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中新天津生态城科技服务平台</w:t>
      </w:r>
    </w:p>
    <w:p>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受理</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地址</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：中新天津生态城动漫中路126号国家动漫园动漫大厦</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A座317</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室</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电话：022-58950325</w:t>
      </w:r>
    </w:p>
    <w:p>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bookmarkStart w:id="5" w:name="@/upload/files/2022/4/附件1：各开发区、街镇联系方式及地址"/>
    </w:p>
    <w:p>
      <w:pPr>
        <w:pStyle w:val="4"/>
        <w:widowControl/>
        <w:shd w:val="clear" w:color="auto"/>
        <w:spacing w:beforeAutospacing="0" w:afterAutospacing="0" w:line="580" w:lineRule="exact"/>
        <w:ind w:firstLine="645"/>
        <w:jc w:val="both"/>
        <w:rPr>
          <w:rFonts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附件：</w:t>
      </w:r>
    </w:p>
    <w:bookmarkEnd w:id="5"/>
    <w:p>
      <w:pPr>
        <w:pStyle w:val="4"/>
        <w:widowControl/>
        <w:shd w:val="clear" w:color="auto"/>
        <w:spacing w:beforeAutospacing="0" w:afterAutospacing="0" w:line="580" w:lineRule="exact"/>
        <w:ind w:firstLine="1920" w:firstLineChars="600"/>
        <w:rPr>
          <w:rFonts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instrText xml:space="preserve"> HYPERLINK "http://kjj.tjbh.gov.cn/upload/files/2022/4/%E9%99%84%E4%BB%B62.1%EF%BC%9A%E9%AB%98%E6%96%B0%E6%8A%80%E6%9C%AF%E4%BC%81%E4%B8%9A%E8%AE%A4%E5%AE%9A%E7%94%B3%E6%8A%A5%E6%9D%90%E6%96%99%E5%8F%82%E8%80%83%E6%A0%BC%E5%BC%8F%E6%B8%85%E5%8D%95.doc" </w:instrTex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t>1</w:t>
      </w:r>
      <w:bookmarkStart w:id="6" w:name="_GoBack"/>
      <w:bookmarkEnd w:id="6"/>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t>：高新技术企业认定申报材料参考格式清单</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end"/>
      </w:r>
    </w:p>
    <w:p>
      <w:pPr>
        <w:pStyle w:val="4"/>
        <w:widowControl/>
        <w:shd w:val="clear" w:color="auto"/>
        <w:spacing w:beforeAutospacing="0" w:afterAutospacing="0" w:line="580" w:lineRule="exact"/>
        <w:ind w:firstLine="1920" w:firstLineChars="600"/>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instrText xml:space="preserve"> HYPERLINK "http://kjj.tjbh.gov.cn/upload/files/2022/4/%E9%99%84%E4%BB%B62.2%EF%BC%9A%E7%A0%94%E5%8F%91%E8%B4%B9%E8%BE%85%E5%8A%A9%E8%B4%A6%E5%8F%82%E8%80%83%E6%A0%BC%E5%BC%8F%E4%B8%80.xls" </w:instrTex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t>2：研发费辅助账参考格式一</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end"/>
      </w:r>
    </w:p>
    <w:p>
      <w:pPr>
        <w:pStyle w:val="4"/>
        <w:widowControl/>
        <w:shd w:val="clear" w:color="auto"/>
        <w:spacing w:beforeAutospacing="0" w:afterAutospacing="0" w:line="580" w:lineRule="exact"/>
        <w:ind w:firstLine="1920" w:firstLineChars="600"/>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instrText xml:space="preserve"> HYPERLINK "http://kjj.tjbh.gov.cn/upload/files/2022/4/%E9%99%84%E4%BB%B62.3%EF%BC%9A%E7%A0%94%E5%8F%91%E8%B4%B9%E8%BE%85%E5%8A%A9%E8%B4%A6%E5%8F%82%E8%80%83%E6%A0%BC%E5%BC%8F%E4%BA%8C.xls" </w:instrTex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t>3：研发费辅助账参考格式二</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end"/>
      </w:r>
    </w:p>
    <w:p>
      <w:pPr>
        <w:pStyle w:val="4"/>
        <w:widowControl/>
        <w:shd w:val="clear" w:color="auto"/>
        <w:spacing w:beforeAutospacing="0" w:afterAutospacing="0" w:line="580" w:lineRule="exact"/>
        <w:ind w:firstLine="1920" w:firstLineChars="600"/>
        <w:rPr>
          <w:rFonts w:hint="default"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t>4：高新技术企业认定信用承诺书</w:t>
      </w:r>
    </w:p>
    <w:p>
      <w:pPr>
        <w:pStyle w:val="4"/>
        <w:widowControl/>
        <w:shd w:val="clear" w:color="auto"/>
        <w:spacing w:beforeAutospacing="0" w:afterAutospacing="0" w:line="580" w:lineRule="exact"/>
        <w:ind w:left="2319" w:leftChars="914" w:hanging="400" w:hangingChars="125"/>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instrText xml:space="preserve"> HYPERLINK "http://kjj.tjbh.gov.cn/upload/files/2022/4/%E9%99%84%E4%BB%B64%EF%BC%9A%E9%AB%98%E6%96%B0%E6%8A%80%E6%9C%AF%E4%BC%81%E4%B8%9A%E7%AE%80%E5%8D%95%E6%9B%B4%E5%90%8D%E4%BF%A1%E7%94%A8%E6%89%BF%E8%AF%BA%E4%B9%A6.doc" </w:instrTex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t>：科技部关于高新技术企业认定有关证明事项实行告知承诺制的通知</w:t>
      </w:r>
    </w:p>
    <w:p>
      <w:pPr>
        <w:pStyle w:val="4"/>
        <w:widowControl/>
        <w:shd w:val="clear" w:color="auto"/>
        <w:spacing w:beforeAutospacing="0" w:afterAutospacing="0" w:line="580" w:lineRule="exact"/>
        <w:ind w:firstLine="1920" w:firstLineChars="600"/>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t>6</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t>：高新技术企业简单更名信用承诺书</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end"/>
      </w:r>
    </w:p>
    <w:p>
      <w:pPr>
        <w:pStyle w:val="4"/>
        <w:widowControl/>
        <w:shd w:val="clear" w:color="auto"/>
        <w:spacing w:beforeAutospacing="0" w:afterAutospacing="0" w:line="580" w:lineRule="exact"/>
        <w:ind w:firstLine="1920" w:firstLineChars="600"/>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t>7</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instrText xml:space="preserve"> HYPERLINK "http://kjj.tjbh.gov.cn/upload/files/2022/4/%E9%99%84%E4%BB%B65%EF%BC%9A%E9%AB%98%E6%96%B0%E6%8A%80%E6%9C%AF%E4%BC%81%E4%B8%9A%E5%9F%B9%E8%82%B2%E5%BA%93%E5%85%A5%E5%BA%93%E6%A0%87%E5%87%86.doc" </w:instrTex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t>：高新技术企业迁入信用承诺书</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end"/>
      </w:r>
    </w:p>
    <w:p>
      <w:pPr>
        <w:pStyle w:val="4"/>
        <w:widowControl/>
        <w:shd w:val="clear" w:color="auto"/>
        <w:spacing w:beforeAutospacing="0" w:afterAutospacing="0" w:line="580" w:lineRule="exact"/>
        <w:ind w:firstLine="1920" w:firstLineChars="600"/>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instrText xml:space="preserve"> HYPERLINK "http://kjj.tjbh.gov.cn/upload/files/2022/4/%E9%99%84%E4%BB%B67%EF%BC%9A%E6%8E%A8%E8%8D%90%E7%94%B3%E6%8A%A5%E9%AB%98%E6%96%B0%E6%8A%80%E6%9C%AF%E4%BC%81%E4%B8%9A%E5%BD%A2%E5%BC%8F%E5%AE%A1%E6%9F%A5%E8%A1%A8.xlsx" </w:instrTex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t>8</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t>：企业情况表</w:t>
      </w:r>
    </w:p>
    <w:p>
      <w:pPr>
        <w:pStyle w:val="4"/>
        <w:widowControl/>
        <w:shd w:val="clear" w:color="auto"/>
        <w:spacing w:beforeAutospacing="0" w:afterAutospacing="0" w:line="580" w:lineRule="exact"/>
        <w:ind w:firstLine="1920" w:firstLineChars="600"/>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t>9</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t>：高新技术企业申报推荐表</w:t>
      </w:r>
      <w:r>
        <w:rPr>
          <w:rFonts w:hint="eastAsia" w:ascii="仿宋_GB2312" w:hAnsi="仿宋_GB2312" w:eastAsia="仿宋_GB2312" w:cs="仿宋_GB2312"/>
          <w:color w:val="000000" w:themeColor="text1"/>
          <w:sz w:val="32"/>
          <w:szCs w:val="32"/>
          <w:highlight w:val="none"/>
          <w:shd w:val="clear" w:color="auto" w:fill="FFFFFF"/>
          <w:lang w:bidi="ar"/>
          <w14:textFill>
            <w14:solidFill>
              <w14:schemeClr w14:val="tx1"/>
            </w14:solidFill>
          </w14:textFill>
        </w:rPr>
        <w:fldChar w:fldCharType="end"/>
      </w:r>
    </w:p>
    <w:p>
      <w:pPr>
        <w:pStyle w:val="4"/>
        <w:widowControl/>
        <w:shd w:val="clear" w:color="auto"/>
        <w:spacing w:beforeAutospacing="0" w:afterAutospacing="0" w:line="580" w:lineRule="exact"/>
        <w:ind w:firstLine="1920" w:firstLineChars="600"/>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t>10：高新技术企业申报实地核查表</w:t>
      </w:r>
    </w:p>
    <w:p>
      <w:pPr>
        <w:pStyle w:val="4"/>
        <w:widowControl/>
        <w:shd w:val="clear" w:color="auto"/>
        <w:spacing w:beforeAutospacing="0" w:afterAutospacing="0" w:line="580" w:lineRule="exact"/>
        <w:ind w:firstLine="1920" w:firstLineChars="600"/>
        <w:rPr>
          <w:rFonts w:hint="default"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t>11: 高新技术企业简单更名推荐表</w:t>
      </w:r>
    </w:p>
    <w:p>
      <w:pPr>
        <w:pStyle w:val="4"/>
        <w:widowControl/>
        <w:shd w:val="clear" w:color="auto"/>
        <w:spacing w:beforeAutospacing="0" w:afterAutospacing="0" w:line="580" w:lineRule="exact"/>
        <w:ind w:firstLine="1920" w:firstLineChars="600"/>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bidi="ar"/>
          <w14:textFill>
            <w14:solidFill>
              <w14:schemeClr w14:val="tx1"/>
            </w14:solidFill>
          </w14:textFill>
        </w:rPr>
        <w:t>12：高新技术企业迁入推荐表</w:t>
      </w:r>
    </w:p>
    <w:p>
      <w:pPr>
        <w:pStyle w:val="4"/>
        <w:widowControl/>
        <w:shd w:val="clear" w:color="auto"/>
        <w:spacing w:beforeAutospacing="0" w:afterAutospacing="0" w:line="580" w:lineRule="exact"/>
        <w:ind w:firstLine="645"/>
        <w:jc w:val="right"/>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p>
    <w:p>
      <w:pPr>
        <w:pStyle w:val="4"/>
        <w:widowControl/>
        <w:shd w:val="clear" w:color="auto"/>
        <w:spacing w:beforeAutospacing="0" w:afterAutospacing="0" w:line="580" w:lineRule="exact"/>
        <w:ind w:firstLine="645"/>
        <w:jc w:val="right"/>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p>
    <w:p>
      <w:pPr>
        <w:pStyle w:val="4"/>
        <w:widowControl/>
        <w:shd w:val="clear" w:color="auto"/>
        <w:spacing w:beforeAutospacing="0" w:afterAutospacing="0" w:line="580" w:lineRule="exact"/>
        <w:ind w:firstLine="645"/>
        <w:jc w:val="right"/>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中新天津生态城科技创新局</w:t>
      </w:r>
    </w:p>
    <w:p>
      <w:pPr>
        <w:pStyle w:val="4"/>
        <w:widowControl/>
        <w:shd w:val="clear" w:color="auto"/>
        <w:spacing w:beforeAutospacing="0" w:afterAutospacing="0" w:line="580" w:lineRule="exact"/>
        <w:ind w:firstLine="645"/>
        <w:jc w:val="righ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zYmNmZTE5ZjM4MmVkZGZiZDEwZjFiOTgyODUwNGQifQ=="/>
  </w:docVars>
  <w:rsids>
    <w:rsidRoot w:val="006003E3"/>
    <w:rsid w:val="00044C14"/>
    <w:rsid w:val="000B0D1E"/>
    <w:rsid w:val="00100378"/>
    <w:rsid w:val="001C4F14"/>
    <w:rsid w:val="00205D44"/>
    <w:rsid w:val="00227323"/>
    <w:rsid w:val="002809E8"/>
    <w:rsid w:val="002F31A6"/>
    <w:rsid w:val="002F5D50"/>
    <w:rsid w:val="00400A47"/>
    <w:rsid w:val="004176B6"/>
    <w:rsid w:val="0042334D"/>
    <w:rsid w:val="00460568"/>
    <w:rsid w:val="006003E3"/>
    <w:rsid w:val="00701D6B"/>
    <w:rsid w:val="0079253E"/>
    <w:rsid w:val="008338AC"/>
    <w:rsid w:val="00913FAB"/>
    <w:rsid w:val="00930971"/>
    <w:rsid w:val="0093744A"/>
    <w:rsid w:val="00A14706"/>
    <w:rsid w:val="00AE77E9"/>
    <w:rsid w:val="00AF7251"/>
    <w:rsid w:val="00B60F85"/>
    <w:rsid w:val="00B935E0"/>
    <w:rsid w:val="00BA745A"/>
    <w:rsid w:val="00C862CD"/>
    <w:rsid w:val="00C91CD8"/>
    <w:rsid w:val="00C953AF"/>
    <w:rsid w:val="00ED3313"/>
    <w:rsid w:val="00F14948"/>
    <w:rsid w:val="049F5D77"/>
    <w:rsid w:val="04EB0026"/>
    <w:rsid w:val="057321C1"/>
    <w:rsid w:val="05833792"/>
    <w:rsid w:val="06D57D6B"/>
    <w:rsid w:val="09C5274C"/>
    <w:rsid w:val="0E552597"/>
    <w:rsid w:val="0E6E4169"/>
    <w:rsid w:val="105F391B"/>
    <w:rsid w:val="11E31256"/>
    <w:rsid w:val="15DE0021"/>
    <w:rsid w:val="18C0392E"/>
    <w:rsid w:val="236E7859"/>
    <w:rsid w:val="278C73F8"/>
    <w:rsid w:val="27E3474D"/>
    <w:rsid w:val="37CD751E"/>
    <w:rsid w:val="39385CCC"/>
    <w:rsid w:val="3ABE1FC1"/>
    <w:rsid w:val="3E9E35F2"/>
    <w:rsid w:val="40993679"/>
    <w:rsid w:val="41EE1E39"/>
    <w:rsid w:val="4C2A3129"/>
    <w:rsid w:val="56A7591E"/>
    <w:rsid w:val="5D0D26AD"/>
    <w:rsid w:val="60076F06"/>
    <w:rsid w:val="60C15B9B"/>
    <w:rsid w:val="65CC29BA"/>
    <w:rsid w:val="66124231"/>
    <w:rsid w:val="6C7F2AAB"/>
    <w:rsid w:val="6D5C210F"/>
    <w:rsid w:val="6DF341AF"/>
    <w:rsid w:val="6E197E20"/>
    <w:rsid w:val="703F6A10"/>
    <w:rsid w:val="77017AA6"/>
    <w:rsid w:val="7B5C1973"/>
    <w:rsid w:val="7C447F5B"/>
    <w:rsid w:val="7F975E63"/>
    <w:rsid w:val="F6B7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3681</Words>
  <Characters>3820</Characters>
  <Lines>37</Lines>
  <Paragraphs>10</Paragraphs>
  <TotalTime>0</TotalTime>
  <ScaleCrop>false</ScaleCrop>
  <LinksUpToDate>false</LinksUpToDate>
  <CharactersWithSpaces>3823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2023-02-09T10:33:00Z</dcterms:created>
  <dc:creator>Administrator</dc:creator>
  <cp:lastModifiedBy>kylin</cp:lastModifiedBy>
  <cp:lastPrinted>2022-04-24T10:54:00Z</cp:lastPrinted>
  <dcterms:modified xsi:type="dcterms:W3CDTF">2025-08-06T17:47:30Z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653E59C0193B47EA977A70276C8ADA62_13</vt:lpwstr>
  </property>
  <property fmtid="{D5CDD505-2E9C-101B-9397-08002B2CF9AE}" pid="4" name="KSOTemplateDocerSaveRecord">
    <vt:lpwstr>eyJoZGlkIjoiNDcxNDM1ODZlZjFmNmFlYzY1YTdkMGZlOWU1MzEyODYiLCJ1c2VySWQiOiIyMzgxOTkyNTYifQ==</vt:lpwstr>
  </property>
</Properties>
</file>