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天津市滨海新区人民政府信访办公室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w w:val="95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2024年度部门决算</w:t>
      </w: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600" w:lineRule="exact"/>
        <w:jc w:val="both"/>
        <w:rPr>
          <w:rFonts w:ascii="黑体" w:eastAsia="黑体"/>
          <w:sz w:val="44"/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黑体" w:eastAsia="黑体"/>
          <w:sz w:val="44"/>
          <w:szCs w:val="44"/>
        </w:rPr>
      </w:pPr>
    </w:p>
    <w:p>
      <w:pPr>
        <w:spacing w:line="600" w:lineRule="exact"/>
        <w:jc w:val="center"/>
      </w:pPr>
      <w:r>
        <w:rPr>
          <w:rFonts w:hint="eastAsia" w:ascii="黑体" w:eastAsia="黑体"/>
          <w:sz w:val="44"/>
          <w:szCs w:val="44"/>
        </w:rPr>
        <w:t>目录</w:t>
      </w:r>
    </w:p>
    <w:p>
      <w:pPr>
        <w:pStyle w:val="9"/>
        <w:tabs>
          <w:tab w:val="right" w:leader="dot" w:pos="8306"/>
          <w:tab w:val="clear" w:pos="8296"/>
        </w:tabs>
        <w:rPr>
          <w:rFonts w:cs="黑体"/>
          <w:sz w:val="30"/>
          <w:szCs w:val="30"/>
        </w:rPr>
      </w:pPr>
      <w:r>
        <w:rPr>
          <w:rFonts w:hint="eastAsia" w:cs="黑体"/>
          <w:sz w:val="30"/>
          <w:szCs w:val="30"/>
        </w:rPr>
        <w:t>第一部分  概 况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一、主要职责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二、机构设置</w:t>
      </w:r>
    </w:p>
    <w:p>
      <w:pPr>
        <w:pStyle w:val="9"/>
        <w:tabs>
          <w:tab w:val="right" w:leader="dot" w:pos="8306"/>
          <w:tab w:val="clear" w:pos="8296"/>
        </w:tabs>
        <w:rPr>
          <w:rFonts w:cs="黑体"/>
          <w:sz w:val="30"/>
          <w:szCs w:val="30"/>
        </w:rPr>
      </w:pPr>
      <w:r>
        <w:rPr>
          <w:rFonts w:hint="eastAsia" w:cs="黑体"/>
          <w:sz w:val="30"/>
          <w:szCs w:val="30"/>
        </w:rPr>
        <w:t>第二部分  2024年度部门决算表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一、《收入支出决算总表》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二、《收入决算表（按功能分类列示）》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三、《收入决算表（按单位列示）》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四、《支出决算表》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五、《财政拨款收入支出决算总表》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六、《一般公共预算财政拨款支出决算表》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七、《一般公共预算财政拨款基本支出决算表》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八、《政府性基金预算财政拨款收入支出决算表》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九、《国有资本经营预算财政拨款收入支出决算表》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十、《财政拨款“三公”经费支出决算表》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十一、《项目支出决算表》</w:t>
      </w:r>
    </w:p>
    <w:p>
      <w:pPr>
        <w:pStyle w:val="9"/>
        <w:tabs>
          <w:tab w:val="right" w:leader="dot" w:pos="8306"/>
          <w:tab w:val="clear" w:pos="8296"/>
        </w:tabs>
        <w:rPr>
          <w:rFonts w:cs="黑体"/>
          <w:sz w:val="30"/>
          <w:szCs w:val="30"/>
        </w:rPr>
      </w:pPr>
      <w:r>
        <w:rPr>
          <w:rFonts w:hint="eastAsia" w:cs="黑体"/>
          <w:sz w:val="30"/>
          <w:szCs w:val="30"/>
        </w:rPr>
        <w:t>第三部分 2024年度部门决算情况说明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一、收入支出决算总体情况说明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二、收入决算情况说明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三、支出决算情况说明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四、财政拨款收支决算总体情况说明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五、一般公共预算财政拨款支出决算情况说明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六、一般公共预算财政拨款基本支出决算情况说明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七、政府性基金预算财政拨款收支决算情况说明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八、国有资本经营预算财政拨款收支决算情况说明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九、财政拨款“三公”经费支出决算情况说明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十、机关运行经费支出情况说明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十一、政府采购支出情况说明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十二、国有资产占有使用情况说明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十三、预算绩效情况说明</w:t>
      </w:r>
    </w:p>
    <w:p>
      <w:pPr>
        <w:pStyle w:val="9"/>
        <w:tabs>
          <w:tab w:val="right" w:leader="dot" w:pos="8306"/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十四、教育、医疗卫生、社会保障和就业、住房保障、涉农补贴等民生支出情况说明</w:t>
      </w:r>
    </w:p>
    <w:p>
      <w:pPr>
        <w:pStyle w:val="9"/>
        <w:tabs>
          <w:tab w:val="right" w:leader="dot" w:pos="8306"/>
          <w:tab w:val="clear" w:pos="8296"/>
        </w:tabs>
        <w:rPr>
          <w:rFonts w:cs="黑体"/>
          <w:sz w:val="30"/>
          <w:szCs w:val="30"/>
        </w:rPr>
      </w:pPr>
      <w:r>
        <w:rPr>
          <w:rFonts w:hint="eastAsia" w:cs="黑体"/>
          <w:sz w:val="30"/>
          <w:szCs w:val="30"/>
        </w:rPr>
        <w:t>第四部分  名词解释</w:t>
      </w:r>
    </w:p>
    <w:p>
      <w:pPr>
        <w:rPr>
          <w:rFonts w:eastAsia="仿宋"/>
          <w:b/>
          <w:szCs w:val="32"/>
        </w:rPr>
      </w:pPr>
    </w:p>
    <w:p>
      <w:pPr>
        <w:spacing w:line="700" w:lineRule="exact"/>
        <w:rPr>
          <w:rFonts w:eastAsia="仿宋"/>
          <w:sz w:val="30"/>
          <w:szCs w:val="32"/>
        </w:rPr>
      </w:pPr>
    </w:p>
    <w:p/>
    <w:p/>
    <w:p>
      <w:pPr>
        <w:sectPr>
          <w:footerReference r:id="rId11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0" w:after="0" w:line="600" w:lineRule="exact"/>
        <w:jc w:val="center"/>
      </w:pPr>
      <w:bookmarkStart w:id="0" w:name="_Toc1358716097"/>
      <w:bookmarkStart w:id="1" w:name="_Toc403062085"/>
      <w:bookmarkStart w:id="2" w:name="_Toc1198055373"/>
      <w:bookmarkStart w:id="3" w:name="_Toc1576262397"/>
      <w:r>
        <w:rPr>
          <w:rFonts w:hint="eastAsia" w:ascii="方正小标宋简体" w:hAnsi="方正小标宋简体" w:eastAsia="方正小标宋简体" w:cs="方正小标宋简体"/>
          <w:b w:val="0"/>
        </w:rPr>
        <w:t>第一部分  概 况</w:t>
      </w:r>
      <w:bookmarkEnd w:id="0"/>
      <w:bookmarkEnd w:id="1"/>
      <w:bookmarkEnd w:id="2"/>
      <w:bookmarkEnd w:id="3"/>
    </w:p>
    <w:p>
      <w:pPr>
        <w:pStyle w:val="3"/>
        <w:spacing w:before="0" w:after="0" w:line="800" w:lineRule="exact"/>
        <w:ind w:firstLine="602" w:firstLineChars="200"/>
        <w:rPr>
          <w:rFonts w:ascii="黑体" w:hAnsi="黑体" w:eastAsia="黑体"/>
          <w:sz w:val="30"/>
          <w:szCs w:val="30"/>
        </w:rPr>
      </w:pPr>
      <w:bookmarkStart w:id="4" w:name="_Toc1101039957"/>
      <w:bookmarkStart w:id="5" w:name="_Toc1747823728"/>
      <w:bookmarkStart w:id="6" w:name="_Toc883836987"/>
      <w:bookmarkStart w:id="7" w:name="_Toc909979739"/>
      <w:r>
        <w:rPr>
          <w:rFonts w:hint="eastAsia" w:ascii="黑体" w:hAnsi="黑体" w:eastAsia="黑体"/>
          <w:sz w:val="30"/>
          <w:szCs w:val="30"/>
        </w:rPr>
        <w:t>一、主要职责</w:t>
      </w:r>
      <w:bookmarkEnd w:id="4"/>
      <w:bookmarkEnd w:id="5"/>
      <w:bookmarkEnd w:id="6"/>
      <w:bookmarkEnd w:id="7"/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天津市滨海新区人民政府信访办公室的主要职责是： (一) 负责综合协调指导全区信访工作；推动区委、区政府关于信访工作决策部署的贯彻落实；提出改革和加强信访工作的意见和建议。 (二)负责处理群众法人及其他组织通过信访渠道给区委、区政府及区领导的来信来电和接待来访，并向区委、区政府反映来信来电来访中提出的重要建议、意见和问题；综合研判信息，开展调查研究，提出处理建议。 (三)负责督促检查领导同志有关批示落实情况；组织实施重要信访事项的督察督办工作。 (四)负责协调处理群众集体上访、进京、进市非正常上访和异常、突发信访事件的工作；协调处理跨地区、跨部门的重要信访问题；向有关单位交办、转送信访事项、并督促检查。 (五)负责对信访事项的复查工作、依法组织信访听证，组织有关部门提出信访事项复查意见。 (六)负责区处理信访突出问题及群体性事件联席会议的日常工作，督促落实区联席会议决定的事项。 (七)负责本领域人才队伍建设。 (八)负责本领域支持保障安全生产工作。 (九)协调本系统对全区招商引资工作提供支持保障。 (十)完成区委、区政府交办的其他任务。</w:t>
      </w:r>
    </w:p>
    <w:p>
      <w:pPr>
        <w:pStyle w:val="3"/>
        <w:spacing w:before="0" w:after="0" w:line="800" w:lineRule="exact"/>
        <w:ind w:firstLine="602" w:firstLineChars="200"/>
        <w:rPr>
          <w:rFonts w:ascii="黑体" w:hAnsi="黑体" w:eastAsia="黑体"/>
          <w:sz w:val="30"/>
          <w:szCs w:val="30"/>
        </w:rPr>
      </w:pPr>
      <w:bookmarkStart w:id="8" w:name="_Toc1798423086"/>
      <w:bookmarkStart w:id="9" w:name="_Toc503854210"/>
      <w:bookmarkStart w:id="10" w:name="_Toc311971100"/>
      <w:bookmarkStart w:id="11" w:name="_Toc244589183"/>
      <w:r>
        <w:rPr>
          <w:rFonts w:hint="eastAsia" w:ascii="黑体" w:hAnsi="黑体" w:eastAsia="黑体"/>
          <w:sz w:val="30"/>
          <w:szCs w:val="30"/>
        </w:rPr>
        <w:t>二、机构设置</w:t>
      </w:r>
      <w:bookmarkEnd w:id="8"/>
      <w:bookmarkEnd w:id="9"/>
      <w:bookmarkEnd w:id="10"/>
      <w:bookmarkEnd w:id="11"/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天津市滨海新区人民政府信访办公室内设4个处室,无下辖预算单位；纳入天津市滨海新区人民政府信访办公室2024年度部门决算编制范围的单位包括：；纳入天津市滨海新区人民政府信访办公室2024年度部门决算编制范围的单位包括：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天津市滨海新区人民政府信访办公室部门（本级）</w:t>
      </w: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  <w:r>
        <w:br w:type="page"/>
      </w:r>
      <w:bookmarkStart w:id="15" w:name="_GoBack"/>
      <w:bookmarkEnd w:id="15"/>
      <w:bookmarkStart w:id="12" w:name="_Toc526698323"/>
      <w:bookmarkStart w:id="13" w:name="_Toc264474877"/>
      <w:bookmarkStart w:id="14" w:name="_Toc1290695373"/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bookmarkEnd w:id="12"/>
    <w:bookmarkEnd w:id="13"/>
    <w:bookmarkEnd w:id="14"/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</w:p>
    <w:sectPr>
      <w:footerReference r:id="rId12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5"/>
      </w:rPr>
      <w:id w:val="-1"/>
      <w:docPartObj>
        <w:docPartGallery w:val="autotext"/>
      </w:docPartObj>
    </w:sdtPr>
    <w:sdtEndPr>
      <w:rPr>
        <w:rStyle w:val="15"/>
      </w:rPr>
    </w:sdtEndPr>
    <w:sdtContent>
      <w:p>
        <w:pPr>
          <w:pStyle w:val="7"/>
          <w:framePr w:wrap="auto" w:vAnchor="text" w:hAnchor="margin" w:xAlign="center" w:y="1"/>
          <w:rPr>
            <w:rStyle w:val="15"/>
          </w:rPr>
        </w:pPr>
        <w:r>
          <w:rPr>
            <w:rStyle w:val="15"/>
          </w:rPr>
          <w:fldChar w:fldCharType="begin"/>
        </w:r>
        <w:r>
          <w:rPr>
            <w:rStyle w:val="15"/>
          </w:rPr>
          <w:instrText xml:space="preserve">PAGE</w:instrText>
        </w:r>
        <w:r>
          <w:rPr>
            <w:rStyle w:val="15"/>
          </w:rPr>
          <w:fldChar w:fldCharType="separate"/>
        </w:r>
        <w:r>
          <w:rPr>
            <w:rStyle w:val="15"/>
          </w:rPr>
          <w:t>XXX</w:t>
        </w:r>
        <w:r>
          <w:rPr>
            <w:rStyle w:val="15"/>
          </w:rPr>
          <w:fldChar w:fldCharType="end"/>
        </w:r>
      </w:p>
    </w:sdtContent>
  </w:sdt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5"/>
      </w:rPr>
      <w:id w:val="164598362"/>
      <w:docPartObj>
        <w:docPartGallery w:val="autotext"/>
      </w:docPartObj>
    </w:sdtPr>
    <w:sdtEndPr>
      <w:rPr>
        <w:rStyle w:val="15"/>
      </w:rPr>
    </w:sdtEndPr>
    <w:sdtContent>
      <w:p>
        <w:pPr>
          <w:pStyle w:val="7"/>
          <w:framePr w:wrap="auto" w:vAnchor="text" w:hAnchor="margin" w:xAlign="center" w:y="1"/>
          <w:rPr>
            <w:rStyle w:val="15"/>
          </w:rPr>
        </w:pPr>
        <w:r>
          <w:rPr>
            <w:rStyle w:val="15"/>
          </w:rPr>
          <w:fldChar w:fldCharType="begin"/>
        </w:r>
        <w:r>
          <w:rPr>
            <w:rStyle w:val="15"/>
          </w:rPr>
          <w:instrText xml:space="preserve"> PAGE </w:instrText>
        </w:r>
        <w:r>
          <w:rPr>
            <w:rStyle w:val="15"/>
          </w:rPr>
          <w:fldChar w:fldCharType="separate"/>
        </w:r>
        <w:r>
          <w:rPr>
            <w:rStyle w:val="15"/>
          </w:rPr>
          <w:t>1</w:t>
        </w:r>
        <w:r>
          <w:rPr>
            <w:rStyle w:val="15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294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zRjODIwNDMyMWFhMzA3ZWZkM2QwNzBjNmI1ZGYifQ=="/>
  </w:docVars>
  <w:rsids>
    <w:rsidRoot w:val="00000000"/>
    <w:rsid w:val="AF7365D5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</w:rPr>
  </w:style>
  <w:style w:type="paragraph" w:styleId="6">
    <w:name w:val="Balloon Text"/>
    <w:basedOn w:val="1"/>
    <w:link w:val="2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after="100" w:line="276" w:lineRule="auto"/>
      <w:textAlignment w:val="auto"/>
    </w:pPr>
    <w:rPr>
      <w:rFonts w:ascii="黑体" w:hAnsi="黑体" w:eastAsia="黑体" w:cs="方正小标宋简体"/>
      <w:sz w:val="22"/>
      <w:szCs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paragraph" w:styleId="11">
    <w:name w:val="Normal (Web)"/>
    <w:basedOn w:val="1"/>
    <w:unhideWhenUsed/>
    <w:qFormat/>
    <w:uiPriority w:val="99"/>
  </w:style>
  <w:style w:type="table" w:styleId="1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20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7"/>
    <w:semiHidden/>
    <w:qFormat/>
    <w:uiPriority w:val="0"/>
    <w:rPr>
      <w:sz w:val="18"/>
      <w:szCs w:val="18"/>
    </w:rPr>
  </w:style>
  <w:style w:type="character" w:customStyle="1" w:styleId="22">
    <w:name w:val="页眉 字符"/>
    <w:link w:val="8"/>
    <w:semiHidden/>
    <w:qFormat/>
    <w:uiPriority w:val="0"/>
    <w:rPr>
      <w:sz w:val="18"/>
      <w:szCs w:val="18"/>
    </w:rPr>
  </w:style>
  <w:style w:type="paragraph" w:customStyle="1" w:styleId="23">
    <w:name w:val="TOC 标题1"/>
    <w:basedOn w:val="2"/>
    <w:next w:val="1"/>
    <w:unhideWhenUsed/>
    <w:qFormat/>
    <w:uiPriority w:val="39"/>
    <w:pPr>
      <w:widowControl/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6034</Words>
  <Characters>34400</Characters>
  <Lines>286</Lines>
  <Paragraphs>80</Paragraphs>
  <TotalTime>22</TotalTime>
  <ScaleCrop>false</ScaleCrop>
  <LinksUpToDate>false</LinksUpToDate>
  <CharactersWithSpaces>40354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2019-08-12T10:37:00Z</dcterms:created>
  <dc:creator>Administrator</dc:creator>
  <cp:lastModifiedBy>q</cp:lastModifiedBy>
  <cp:lastPrinted>2025-07-09T19:27:00Z</cp:lastPrinted>
  <dcterms:modified xsi:type="dcterms:W3CDTF">2025-09-19T14:23:11Z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C8931B51B14B240D175195685B18E689_43</vt:lpwstr>
  </property>
  <property fmtid="{D5CDD505-2E9C-101B-9397-08002B2CF9AE}" pid="4" name="KSOTemplateDocerSaveRecord">
    <vt:lpwstr>eyJoZGlkIjoiMGI5YWI2OWVkMTUzY2U4YTc0MGZjNmJkMzljNGQ3YjQiLCJ1c2VySWQiOiI1OTcyODA4NTEifQ_x003D__x003D_</vt:lpwstr>
  </property>
</Properties>
</file>