
<file path=[Content_Types].xml><?xml version="1.0" encoding="utf-8"?>
<Types xmlns="http://schemas.openxmlformats.org/package/2006/content-types">
  <Default Extension="xml" ContentType="application/xml"/>
  <Default Extension="rels" ContentType="application/vnd.openxmlformats-package.relationship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Relationships xmlns="http://schemas.openxmlformats.org/package/2006/relationships"><Relationship Id="rId1" Type="http://schemas.openxmlformats.org/officeDocument/2006/relationships/officeDocument" TargetMode="Internal"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16se w16cid w16 w16cex w16sdtdh wp14">
  <w:body>
    <w:p>
      <w:pPr>
        <w:adjustRightInd w:val="0"/>
        <w:snapToGrid w:val="0"/>
        <w:spacing w:afterAutospacing="0" w:beforeAutospacing="0" w:line="560" w:lineRule="exact"/>
        <w:rPr>
          <w:rFonts w:ascii="黑体" w:hAnsi="黑体" w:eastAsia="黑体"/>
          <w:sz w:val="32"/>
          <w:szCs w:val="32"/>
        </w:rPr>
      </w:pPr>
      <w:r>
        <w:rPr>
          <w:rFonts w:hint="eastAsia" w:ascii="黑体" w:hAnsi="黑体" w:eastAsia="黑体"/>
          <w:sz w:val="32"/>
          <w:szCs w:val="32"/>
        </w:rPr>
        <w:t>附件2</w:t>
      </w:r>
    </w:p>
    <w:p>
      <w:pPr>
        <w:adjustRightInd w:val="0"/>
        <w:jc w:val="left"/>
        <w:snapToGrid w:val="0"/>
        <w:spacing w:afterAutospacing="0" w:beforeAutospacing="0" w:line="480" w:lineRule="exact"/>
        <w:rPr>
          <w:rFonts w:ascii="方正小标宋简体" w:hAnsi="方正小标宋简体" w:eastAsia="方正小标宋简体" w:cs="方正小标宋简体"/>
          <w:sz w:val="44"/>
          <w:szCs w:val="32"/>
        </w:rPr>
      </w:pPr>
    </w:p>
    <w:p>
      <w:pPr>
        <w:adjustRightInd w:val="0"/>
        <w:jc w:val="center"/>
        <w:snapToGrid w:val="0"/>
        <w:spacing w:afterAutospacing="0" w:beforeAutospacing="0" w:line="660" w:lineRule="exact"/>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pacing w:val="-6"/>
          <w:sz w:val="44"/>
          <w:szCs w:val="32"/>
        </w:rPr>
        <w:t>企业认定为高新技术企业后相关提示</w:t>
      </w:r>
    </w:p>
    <w:p>
      <w:pPr>
        <w:adjustRightInd w:val="0"/>
        <w:ind w:firstLine="640" w:firstLineChars="200"/>
        <w:snapToGrid w:val="0"/>
        <w:spacing w:afterAutospacing="0" w:beforeAutospacing="0" w:line="480" w:lineRule="exact"/>
        <w:rPr>
          <w:rFonts w:ascii="Times New Roman" w:hAnsi="Times New Roman" w:eastAsia="仿宋_GB2312"/>
          <w:sz w:val="32"/>
        </w:rPr>
      </w:pPr>
    </w:p>
    <w:p>
      <w:pPr>
        <w:adjustRightInd w:val="0"/>
        <w:ind w:firstLine="600" w:firstLineChars="200"/>
        <w:snapToGrid w:val="0"/>
        <w:spacing w:afterAutospacing="0" w:beforeAutospacing="0" w:line="480" w:lineRule="exact"/>
        <w:rPr>
          <w:rFonts w:ascii="Times New Roman" w:hAnsi="Times New Roman" w:eastAsia="仿宋_GB2312"/>
          <w:sz w:val="30"/>
          <w:szCs w:val="30"/>
        </w:rPr>
      </w:pPr>
      <w:r>
        <w:rPr>
          <w:rFonts w:hint="eastAsia" w:ascii="Times New Roman" w:hAnsi="Times New Roman" w:eastAsia="仿宋_GB2312"/>
          <w:spacing w:val="-6"/>
          <w:sz w:val="30"/>
          <w:szCs w:val="30"/>
        </w:rPr>
        <w:t>《高新技术企业认定管理办法》（国科发火〔2016〕32号）明确：</w:t>
      </w:r>
    </w:p>
    <w:p>
      <w:pPr>
        <w:adjustRightInd w:val="0"/>
        <w:ind w:firstLine="640"/>
        <w:snapToGrid w:val="0"/>
        <w:spacing w:afterAutospacing="0" w:beforeAutospacing="0" w:line="480" w:lineRule="exact"/>
        <w:rPr>
          <w:rFonts w:ascii="Times New Roman" w:hAnsi="Times New Roman" w:eastAsia="仿宋_GB2312"/>
          <w:sz w:val="30"/>
          <w:szCs w:val="30"/>
        </w:rPr>
      </w:pPr>
      <w:r>
        <w:rPr>
          <w:rFonts w:ascii="Times New Roman" w:hAnsi="Times New Roman" w:eastAsia="仿宋_GB2312"/>
          <w:spacing w:val="-6"/>
          <w:sz w:val="30"/>
          <w:szCs w:val="30"/>
        </w:rPr>
        <w:t xml:space="preserve">第十三条 企业获得高新技术企业资格后，应每年5月底前在“高新技术企业认定管理工作网”填报上一年度知识产权、科技人员、研发费用、经营收入等年度发展情况报表。</w:t>
      </w:r>
    </w:p>
    <w:p>
      <w:pPr>
        <w:adjustRightInd w:val="0"/>
        <w:ind w:firstLine="600" w:firstLineChars="200"/>
        <w:snapToGrid w:val="0"/>
        <w:spacing w:afterAutospacing="0" w:beforeAutospacing="0" w:line="480" w:lineRule="exact"/>
        <w:rPr>
          <w:rFonts w:ascii="Times New Roman" w:hAnsi="Times New Roman" w:eastAsia="仿宋_GB2312"/>
          <w:sz w:val="30"/>
          <w:szCs w:val="30"/>
        </w:rPr>
      </w:pPr>
      <w:r>
        <w:rPr>
          <w:rFonts w:hint="eastAsia" w:ascii="Times New Roman" w:hAnsi="Times New Roman" w:eastAsia="仿宋_GB2312"/>
          <w:spacing w:val="-6"/>
          <w:sz w:val="30"/>
          <w:szCs w:val="30"/>
        </w:rPr>
        <w:t xml:space="preserve">第十六条 对已认定的高新技术企业，有关部门在日常管理过程中发现其不符合认定条件的，应提请认定机构复核。复核后确认不符合认定条件的，由认定机构取消其高新技术企业资格，并通知税务机关追缴其不符合认定条件年度起已享受的税收优惠。</w:t>
      </w:r>
    </w:p>
    <w:p>
      <w:pPr>
        <w:adjustRightInd w:val="0"/>
        <w:ind w:firstLine="600" w:firstLineChars="200"/>
        <w:snapToGrid w:val="0"/>
        <w:spacing w:afterAutospacing="0" w:beforeAutospacing="0" w:line="480" w:lineRule="exact"/>
        <w:rPr>
          <w:rFonts w:ascii="Times New Roman" w:hAnsi="Times New Roman" w:eastAsia="仿宋_GB2312"/>
          <w:sz w:val="30"/>
          <w:szCs w:val="30"/>
        </w:rPr>
      </w:pPr>
      <w:r>
        <w:rPr>
          <w:rFonts w:hint="eastAsia" w:ascii="Times New Roman" w:hAnsi="Times New Roman" w:eastAsia="仿宋_GB2312"/>
          <w:sz w:val="30"/>
          <w:szCs w:val="30"/>
        </w:rPr>
        <w:t xml:space="preserve">第十七条 高新技术企业发生更名或与认定条件有关的重大变化（如分立、合并、重组以及经营业务发生变化等）应在三个月内向认定机构报告。经认定机构审核符合认定条件的，其高新技术企业资格不变，对于企业更名的，重新核发认定证书，编号与有效期不变；不符合认定条件的，自更名或条件变化年度起取消其高新技术企业资格。</w:t>
      </w:r>
    </w:p>
    <w:p>
      <w:pPr>
        <w:adjustRightInd w:val="0"/>
        <w:ind w:firstLine="600" w:firstLineChars="200"/>
        <w:snapToGrid w:val="0"/>
        <w:spacing w:afterAutospacing="0" w:beforeAutospacing="0" w:line="480" w:lineRule="exact"/>
        <w:rPr>
          <w:rFonts w:ascii="Times New Roman" w:hAnsi="Times New Roman" w:eastAsia="仿宋_GB2312"/>
          <w:sz w:val="30"/>
          <w:szCs w:val="30"/>
        </w:rPr>
      </w:pPr>
      <w:r>
        <w:rPr>
          <w:rFonts w:hint="eastAsia" w:ascii="Times New Roman" w:hAnsi="Times New Roman" w:eastAsia="仿宋_GB2312"/>
          <w:sz w:val="30"/>
          <w:szCs w:val="30"/>
        </w:rPr>
        <w:t xml:space="preserve">第十九条 已认定的高新技术企业有下列行为之一的，由认定机构取消其高新技术企业资格：</w:t>
      </w:r>
    </w:p>
    <w:p>
      <w:pPr>
        <w:adjustRightInd w:val="0"/>
        <w:ind w:firstLine="600" w:firstLineChars="200"/>
        <w:snapToGrid w:val="0"/>
        <w:spacing w:afterAutospacing="0" w:beforeAutospacing="0" w:line="480" w:lineRule="exact"/>
        <w:rPr>
          <w:rFonts w:ascii="Times New Roman" w:hAnsi="Times New Roman" w:eastAsia="仿宋_GB2312"/>
          <w:sz w:val="30"/>
          <w:szCs w:val="30"/>
        </w:rPr>
      </w:pPr>
      <w:r>
        <w:rPr>
          <w:rFonts w:hint="eastAsia" w:ascii="Times New Roman" w:hAnsi="Times New Roman" w:eastAsia="仿宋_GB2312"/>
          <w:sz w:val="30"/>
          <w:szCs w:val="30"/>
        </w:rPr>
        <w:t>（一）在申请认定过程中存在严重弄虚作假行为的；</w:t>
      </w:r>
    </w:p>
    <w:p>
      <w:pPr>
        <w:adjustRightInd w:val="0"/>
        <w:ind w:firstLine="600" w:firstLineChars="200"/>
        <w:snapToGrid w:val="0"/>
        <w:spacing w:afterAutospacing="0" w:beforeAutospacing="0" w:line="480" w:lineRule="exact"/>
        <w:rPr>
          <w:rFonts w:ascii="Times New Roman" w:hAnsi="Times New Roman" w:eastAsia="仿宋_GB2312"/>
          <w:sz w:val="30"/>
          <w:szCs w:val="30"/>
        </w:rPr>
      </w:pPr>
      <w:r>
        <w:rPr>
          <w:rFonts w:hint="eastAsia" w:ascii="Times New Roman" w:hAnsi="Times New Roman" w:eastAsia="仿宋_GB2312"/>
          <w:sz w:val="30"/>
          <w:szCs w:val="30"/>
        </w:rPr>
        <w:t>（二）</w:t>
      </w:r>
      <w:r>
        <w:rPr>
          <w:rFonts w:hint="eastAsia" w:ascii="Times New Roman" w:hAnsi="Times New Roman" w:eastAsia="仿宋_GB2312"/>
          <w:spacing w:val="-6"/>
          <w:sz w:val="30"/>
          <w:szCs w:val="30"/>
        </w:rPr>
        <w:t>发生重大安全、重大质量事故或有严重环境违法行为的；</w:t>
      </w:r>
    </w:p>
    <w:p>
      <w:pPr>
        <w:adjustRightInd w:val="0"/>
        <w:ind w:firstLine="600" w:firstLineChars="200"/>
        <w:snapToGrid w:val="0"/>
        <w:spacing w:afterAutospacing="0" w:beforeAutospacing="0" w:line="480" w:lineRule="exact"/>
        <w:rPr>
          <w:rFonts w:ascii="Times New Roman" w:hAnsi="Times New Roman" w:eastAsia="仿宋_GB2312"/>
          <w:sz w:val="30"/>
          <w:szCs w:val="30"/>
        </w:rPr>
      </w:pPr>
      <w:r>
        <w:rPr>
          <w:rFonts w:hint="eastAsia" w:ascii="Times New Roman" w:hAnsi="Times New Roman" w:eastAsia="仿宋_GB2312"/>
          <w:sz w:val="30"/>
          <w:szCs w:val="30"/>
        </w:rPr>
        <w:t>（三）未按期报告与认定条件有关重大变化情况，或累计两年未填报年度发展情况报表的。</w:t>
      </w:r>
    </w:p>
    <w:p>
      <w:pPr>
        <w:adjustRightInd w:val="0"/>
        <w:ind w:firstLine="600" w:firstLineChars="200"/>
        <w:snapToGrid w:val="0"/>
        <w:spacing w:afterAutospacing="0" w:beforeAutospacing="0" w:line="480" w:lineRule="exact"/>
      </w:pPr>
      <w:r>
        <w:rPr>
          <w:rFonts w:hint="eastAsia" w:ascii="Times New Roman" w:hAnsi="Times New Roman" w:eastAsia="仿宋_GB2312"/>
          <w:sz w:val="30"/>
          <w:szCs w:val="30"/>
        </w:rPr>
        <w:t>对被取消高新技术企业资格的企业，由认定机构通知税务机关按《税收征管法》及有关规定，追缴其自发生上述行为之日所属年度起已享受的高新技术企业税收优惠。</w:t>
      </w:r>
    </w:p>
    <w:sectPr>
      <w:cols w:space="720"/>
      <w:docGrid w:charSpace="-4227" w:linePitch="637" w:type="linesAndChars"/>
      <w:pgMar w:top="2098" w:right="1418" w:bottom="1985" w:left="1588" w:header="851" w:footer="992" w:gutter="0"/>
      <w:pgSz w:h="16838" w:w="11906"/>
    </w:sectPr>
  </w:body>
</w:document>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w:footnote w:type="separator" w:id="-1">
    <w:p>
      <w:pPr/>
      <w:r>
        <w:rPr/>
      </w:r>
    </w:p>
  </w:footnote>
  <w:footnote w:type="continuationSeparator" w:id="0">
    <w:p>
      <w:pPr/>
      <w:r>
        <w:rP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file>

<file path=word/settings.xml><?xml version="1.0" encoding="utf-8"?>
<w:settings xmlns:w="http://schemas.openxmlformats.org/wordprocessingml/2006/main" xmlns:m="http://schemas.openxmlformats.org/officeDocument/2006/math" xmlns:v="urn:schemas-microsoft-com:vml">
  <w:defaultTabStop w:val="420"/>
  <w:drawingGridHorizontalSpacing w:val="189"/>
  <w:drawingGridVerticalSpacing w:val="637"/>
  <w:noPunctuationKerning w:val="1"/>
  <w:characterSpacingControl w:val="compressPunctuation"/>
  <w:noLineBreaksAfter w:lang="" w:val="([{·‘“〈《「『【〔〖（．［｛￡￥"/>
  <w:noLineBreaksBefore w:lang="" w:val="!),.:;?]}¨·ˇˉ―‖’”…∶、。〃々〉》」』】〕〗！＂＇），．：；？］｀｜｝～￠"/>
  <w:compat>
    <w:spaceForUL w:val="1"/>
    <w:balanceSingleByteDoubleByteWidth w:val="1"/>
    <w:doNotLeaveBackslashAlone w:val="1"/>
    <w:ulTrailSpace w:val="1"/>
    <w:doNotExpandShiftReturn w:val="1"/>
    <w:adjustLineHeightInTable w:val="1"/>
    <w:compatSetting w:name="compatibilityMode" w:uri="http://schemas.microsoft.com/office/word" w:val="15"/>
  </w:compat>
  <m:mathPr>
    <m:mathFont m:val="Cambria Math"/>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docDefaults>
    <w:rPrDefault>
      <w:rPr>
        <w:lang w:val="en-US" w:eastAsia="zh-CN" w:bidi="ar-SA"/>
        <w:rFonts w:ascii="Times New Roman" w:hAnsi="Times New Roman" w:eastAsia="宋体" w:cs="Times New Roman"/>
      </w:rPr>
    </w:rPrDefault>
    <w:pPrDefault/>
  </w:docDefaults>
  <w:style w:type="paragraph" w:styleId="Normal" w:default="1">
    <w:name w:val="Normal"/>
    <w:qFormat w:val="1"/>
    <w:pPr>
      <w:jc w:val="both"/>
      <w:widowControl w:val="0"/>
    </w:pPr>
    <w:rPr>
      <w:kern w:val="2"/>
      <w:lang w:val="en-US" w:eastAsia="zh-CN" w:bidi="ar-SA"/>
      <w:rFonts w:ascii="Calibri" w:hAnsi="Calibri"/>
      <w:sz w:val="21"/>
      <w:szCs w:val="24"/>
    </w:rPr>
  </w:style>
  <w:style w:type="character" w:styleId="DefaultParagraphFont" w:default="1">
    <w:name w:val="Default Paragraph Font"/>
  </w:style>
  <w:style w:type="table" w:styleId="TableNormal" w:default="1">
    <w:name w:val="Normal Table"/>
    <w:tblPr>
      <w:tblCellMar>
        <w:top w:w="0" w:type="dxa"/>
        <w:left w:w="108" w:type="dxa"/>
        <w:bottom w:w="0" w:type="dxa"/>
        <w:right w:w="108" w:type="dxa"/>
      </w:tblCellMar>
    </w:tblPr>
  </w:style>
  <w:style w:type="numbering" w:styleId="NoList" w:default="1">
    <w:name w:val="No List"/>
    <w:uiPriority w:val="99"/>
  </w:style>
  <w:style w:type="paragraph" w:styleId="NormalWeb">
    <w:name w:val="Normal (Web)"/>
    <w:basedOn w:val="Normal"/>
    <w:pPr>
      <w:ind w:left="0" w:right="0"/>
      <w:jc w:val="left"/>
      <w:spacing w:after="100" w:afterAutospacing="1" w:before="100" w:beforeAutospacing="1"/>
    </w:pPr>
    <w:rPr>
      <w:kern w:val="0"/>
      <w:lang w:val="en-US" w:eastAsia="zh-CN" w:bidi="ar"/>
      <w:sz w:val="24"/>
    </w:rPr>
  </w:style>
  <w:style w:type="paragraph" w:styleId="Header">
    <w:name w:val="Header"/>
    <w:basedOn w:val="Normal"/>
    <w:link w:val="Char"/>
    <w:pPr>
      <w:jc w:val="center"/>
      <w:pBdr>
        <w:bottom w:val="single" w:color="auto" w:sz="6" w:space="1"/>
      </w:pBdr>
      <w:snapToGrid w:val="0"/>
      <w:tabs>
        <w:tab w:val="center" w:pos="4153"/>
        <w:tab w:val="right" w:pos="8306"/>
      </w:tabs>
    </w:pPr>
    <w:rPr>
      <w:lang w:val="x-none" w:eastAsia="x-none"/>
      <w:sz w:val="18"/>
      <w:szCs w:val="18"/>
    </w:rPr>
  </w:style>
  <w:style w:type="character" w:styleId="Char">
    <w:name w:val="页眉 Char"/>
    <w:link w:val="Header"/>
    <w:rPr>
      <w:kern w:val="2"/>
      <w:rFonts w:ascii="Calibri" w:hAnsi="Calibri"/>
      <w:sz w:val="18"/>
      <w:szCs w:val="18"/>
    </w:rPr>
  </w:style>
  <w:style w:type="paragraph" w:styleId="Footer">
    <w:name w:val="Footer"/>
    <w:basedOn w:val="Normal"/>
    <w:link w:val="Char0"/>
    <w:pPr>
      <w:jc w:val="left"/>
      <w:snapToGrid w:val="0"/>
      <w:tabs>
        <w:tab w:val="center" w:pos="4153"/>
        <w:tab w:val="right" w:pos="8306"/>
      </w:tabs>
    </w:pPr>
    <w:rPr>
      <w:lang w:val="x-none" w:eastAsia="x-none"/>
      <w:sz w:val="18"/>
      <w:szCs w:val="18"/>
    </w:rPr>
  </w:style>
  <w:style w:type="character" w:styleId="Char0">
    <w:name w:val="页脚 Char"/>
    <w:link w:val="Footer"/>
    <w:rPr>
      <w:kern w:val="2"/>
      <w:rFonts w:ascii="Calibri" w:hAnsi="Calibri"/>
      <w:sz w:val="18"/>
      <w:szCs w:val="18"/>
    </w:rPr>
  </w:style>
  <w:style w:type="paragraph" w:styleId="BalloonText">
    <w:name w:val="Balloon Text"/>
    <w:basedOn w:val="Normal"/>
    <w:link w:val="Char1"/>
    <w:rPr>
      <w:lang w:val="x-none" w:eastAsia="x-none"/>
      <w:sz w:val="18"/>
      <w:szCs w:val="18"/>
    </w:rPr>
  </w:style>
  <w:style w:type="character" w:styleId="Char1">
    <w:name w:val="批注框文本 Char"/>
    <w:link w:val="BalloonText"/>
    <w:rPr>
      <w:kern w:val="2"/>
      <w:rFonts w:ascii="Calibri" w:hAnsi="Calibri"/>
      <w:sz w:val="18"/>
      <w:szCs w:val="18"/>
    </w:rPr>
  </w:style>
</w:styles>
</file>

<file path=word/_rels/document.xml.rels><?xml version="1.0" encoding="UTF-8" standalone="yes"?><Relationships xmlns="http://schemas.openxmlformats.org/package/2006/relationships"><Relationship Id="rId1" Type="http://schemas.openxmlformats.org/officeDocument/2006/relationships/theme" TargetMode="Internal" Target="theme/theme1.xml"/><Relationship Id="rId2" Type="http://schemas.openxmlformats.org/officeDocument/2006/relationships/settings" TargetMode="Internal" Target="settings.xml"/><Relationship Id="rId4" Type="http://schemas.openxmlformats.org/officeDocument/2006/relationships/footnotes" TargetMode="Internal" Target="footnotes.xml"/><Relationship Id="rId5" Type="http://schemas.openxmlformats.org/officeDocument/2006/relationships/numbering" TargetMode="Internal" Target="numbering.xml"/><Relationship Id="rId3" Type="http://schemas.openxmlformats.org/officeDocument/2006/relationships/styles" TargetMode="Internal"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