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E5B39">
      <w:pPr>
        <w:keepNext w:val="0"/>
        <w:keepLines w:val="0"/>
        <w:pageBreakBefore w:val="0"/>
        <w:kinsoku/>
        <w:wordWrap/>
        <w:overflowPunct/>
        <w:topLinePunct w:val="0"/>
        <w:autoSpaceDE w:val="0"/>
        <w:autoSpaceDN w:val="0"/>
        <w:bidi w:val="0"/>
        <w:adjustRightInd w:val="0"/>
        <w:snapToGrid/>
        <w:spacing w:line="580" w:lineRule="exact"/>
        <w:contextualSpacing/>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天津经济技术开发区生态环境局关于龙灯作物科技（天津）有限公司50000吨/年农药制剂生产项目环境影响报告书的批复</w:t>
      </w:r>
    </w:p>
    <w:p w14:paraId="1A3C336C">
      <w:pPr>
        <w:keepNext w:val="0"/>
        <w:keepLines w:val="0"/>
        <w:pageBreakBefore w:val="0"/>
        <w:kinsoku/>
        <w:wordWrap/>
        <w:overflowPunct/>
        <w:topLinePunct w:val="0"/>
        <w:bidi w:val="0"/>
        <w:snapToGrid/>
        <w:spacing w:line="580" w:lineRule="exact"/>
        <w:textAlignment w:val="auto"/>
        <w:rPr>
          <w:rFonts w:hint="eastAsia" w:ascii="仿宋_GB2312" w:eastAsia="仿宋_GB2312"/>
          <w:bCs/>
          <w:color w:val="000000"/>
          <w:kern w:val="0"/>
          <w:sz w:val="32"/>
          <w:szCs w:val="32"/>
        </w:rPr>
      </w:pPr>
    </w:p>
    <w:p w14:paraId="73BBDD8A">
      <w:pPr>
        <w:keepNext w:val="0"/>
        <w:keepLines w:val="0"/>
        <w:pageBreakBefore w:val="0"/>
        <w:kinsoku/>
        <w:wordWrap/>
        <w:overflowPunct/>
        <w:topLinePunct w:val="0"/>
        <w:bidi w:val="0"/>
        <w:snapToGrid/>
        <w:spacing w:line="580" w:lineRule="exact"/>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龙灯作物科技（天津）有限公司：</w:t>
      </w:r>
    </w:p>
    <w:p w14:paraId="422FA1EA">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你公司所报《龙灯作物科技（天津）有限公司50000吨/年农药制剂生产项目环境影响报告书》（以下简称报告书）等材料收悉，经审核后批复如下：</w:t>
      </w:r>
    </w:p>
    <w:p w14:paraId="648FC145">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一、你公司拟在</w:t>
      </w:r>
      <w:r>
        <w:rPr>
          <w:rFonts w:hint="eastAsia" w:ascii="仿宋_GB2312" w:eastAsia="仿宋_GB2312"/>
          <w:color w:val="000000"/>
          <w:sz w:val="32"/>
          <w:szCs w:val="32"/>
        </w:rPr>
        <w:t>现代产业区黄山路16号（现有厂区内），</w:t>
      </w:r>
      <w:r>
        <w:rPr>
          <w:rFonts w:hint="eastAsia" w:ascii="仿宋_GB2312" w:eastAsia="仿宋_GB2312"/>
          <w:bCs/>
          <w:color w:val="000000"/>
          <w:kern w:val="0"/>
          <w:sz w:val="32"/>
          <w:szCs w:val="32"/>
        </w:rPr>
        <w:t>建设“50000吨/年农药制剂生产项目”。该项目主要建设内容包括：一阶段在SL车间5、SL车间3各新建1条液体生产线；调整现有生产线产品种类及产量。二阶段新建车间</w:t>
      </w:r>
      <w:r>
        <w:rPr>
          <w:rFonts w:hint="eastAsia" w:ascii="仿宋_GB2312" w:eastAsia="仿宋_GB2312"/>
          <w:bCs/>
          <w:color w:val="000000"/>
          <w:kern w:val="0"/>
          <w:sz w:val="32"/>
          <w:szCs w:val="32"/>
          <w:lang w:val="en-US" w:eastAsia="zh-CN"/>
        </w:rPr>
        <w:t>建</w:t>
      </w:r>
      <w:r>
        <w:rPr>
          <w:rFonts w:hint="eastAsia" w:ascii="仿宋_GB2312" w:eastAsia="仿宋_GB2312"/>
          <w:bCs/>
          <w:color w:val="000000"/>
          <w:kern w:val="0"/>
          <w:sz w:val="32"/>
          <w:szCs w:val="32"/>
        </w:rPr>
        <w:t>设2条固体生产线、3条液体生产线，配套建设污水处理站等设施（项目工艺不涉及农药</w:t>
      </w:r>
      <w:r>
        <w:rPr>
          <w:rFonts w:hint="eastAsia" w:ascii="仿宋_GB2312" w:eastAsia="仿宋_GB2312"/>
          <w:bCs/>
          <w:color w:val="000000"/>
          <w:kern w:val="0"/>
          <w:sz w:val="32"/>
          <w:szCs w:val="32"/>
          <w:lang w:eastAsia="zh-CN"/>
        </w:rPr>
        <w:t>中间体</w:t>
      </w:r>
      <w:r>
        <w:rPr>
          <w:rFonts w:hint="eastAsia" w:ascii="仿宋_GB2312" w:eastAsia="仿宋_GB2312"/>
          <w:bCs/>
          <w:color w:val="000000"/>
          <w:kern w:val="0"/>
          <w:sz w:val="32"/>
          <w:szCs w:val="32"/>
        </w:rPr>
        <w:t>合成）。该项目设计年新增产能</w:t>
      </w:r>
      <w:r>
        <w:rPr>
          <w:rFonts w:ascii="仿宋_GB2312" w:eastAsia="仿宋_GB2312"/>
          <w:bCs/>
          <w:color w:val="000000"/>
          <w:kern w:val="0"/>
          <w:sz w:val="32"/>
          <w:szCs w:val="32"/>
        </w:rPr>
        <w:t>27525</w:t>
      </w:r>
      <w:r>
        <w:rPr>
          <w:rFonts w:hint="eastAsia" w:ascii="仿宋_GB2312" w:eastAsia="仿宋_GB2312"/>
          <w:bCs/>
          <w:color w:val="000000"/>
          <w:kern w:val="0"/>
          <w:sz w:val="32"/>
          <w:szCs w:val="32"/>
        </w:rPr>
        <w:t>吨，实现全厂年总产能为50000吨。该项目总投资</w:t>
      </w:r>
      <w:r>
        <w:rPr>
          <w:rFonts w:ascii="仿宋_GB2312" w:eastAsia="仿宋_GB2312"/>
          <w:bCs/>
          <w:color w:val="000000"/>
          <w:kern w:val="0"/>
          <w:sz w:val="32"/>
          <w:szCs w:val="32"/>
        </w:rPr>
        <w:t>24149.48</w:t>
      </w:r>
      <w:r>
        <w:rPr>
          <w:rFonts w:hint="eastAsia" w:ascii="仿宋_GB2312" w:eastAsia="仿宋_GB2312"/>
          <w:bCs/>
          <w:color w:val="000000"/>
          <w:kern w:val="0"/>
          <w:sz w:val="32"/>
          <w:szCs w:val="32"/>
        </w:rPr>
        <w:t>万元，环保投资650万元，约占总投资额的</w:t>
      </w:r>
      <w:r>
        <w:rPr>
          <w:rFonts w:ascii="仿宋_GB2312" w:eastAsia="仿宋_GB2312"/>
          <w:bCs/>
          <w:color w:val="000000"/>
          <w:kern w:val="0"/>
          <w:sz w:val="32"/>
          <w:szCs w:val="32"/>
        </w:rPr>
        <w:t>2.7</w:t>
      </w:r>
      <w:r>
        <w:rPr>
          <w:rFonts w:hint="eastAsia" w:ascii="仿宋_GB2312" w:eastAsia="仿宋_GB2312"/>
          <w:bCs/>
          <w:color w:val="000000"/>
          <w:kern w:val="0"/>
          <w:sz w:val="32"/>
          <w:szCs w:val="32"/>
        </w:rPr>
        <w:t>%。</w:t>
      </w:r>
    </w:p>
    <w:p w14:paraId="63F964EA">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color w:val="000000"/>
          <w:sz w:val="32"/>
          <w:szCs w:val="32"/>
        </w:rPr>
        <w:t>二</w:t>
      </w:r>
      <w:r>
        <w:rPr>
          <w:rFonts w:hint="eastAsia" w:ascii="仿宋_GB2312" w:eastAsia="仿宋_GB2312"/>
          <w:bCs/>
          <w:color w:val="000000"/>
          <w:kern w:val="0"/>
          <w:sz w:val="32"/>
          <w:szCs w:val="32"/>
        </w:rPr>
        <w:t>、</w:t>
      </w:r>
      <w:r>
        <w:rPr>
          <w:rFonts w:hint="eastAsia" w:ascii="仿宋_GB2312" w:eastAsia="仿宋_GB2312"/>
          <w:bCs/>
          <w:color w:val="000000"/>
          <w:kern w:val="0"/>
          <w:sz w:val="32"/>
          <w:szCs w:val="32"/>
          <w:lang w:eastAsia="zh-CN"/>
        </w:rPr>
        <w:t>我局于</w:t>
      </w:r>
      <w:r>
        <w:rPr>
          <w:rFonts w:hint="eastAsia" w:ascii="仿宋_GB2312" w:eastAsia="仿宋_GB2312"/>
          <w:bCs/>
          <w:color w:val="000000"/>
          <w:kern w:val="0"/>
          <w:sz w:val="32"/>
          <w:szCs w:val="32"/>
          <w:lang w:val="en-US" w:eastAsia="zh-CN"/>
        </w:rPr>
        <w:t>2024年12月16日至27日将报告书</w:t>
      </w:r>
      <w:r>
        <w:rPr>
          <w:rFonts w:hint="eastAsia" w:ascii="仿宋_GB2312" w:eastAsia="仿宋_GB2312"/>
          <w:bCs/>
          <w:color w:val="000000"/>
          <w:kern w:val="0"/>
          <w:sz w:val="32"/>
          <w:szCs w:val="32"/>
        </w:rPr>
        <w:t>全本信息进行了公示</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根据该项目完成的报告书结论及《关于龙灯作物科技（天津）有限公司50000吨/年农药制剂生产项目环境影响报告书的技术评估报告》（开发评估书〔202</w:t>
      </w:r>
      <w:r>
        <w:rPr>
          <w:rFonts w:ascii="仿宋_GB2312" w:eastAsia="仿宋_GB2312"/>
          <w:bCs/>
          <w:color w:val="000000"/>
          <w:kern w:val="0"/>
          <w:sz w:val="32"/>
          <w:szCs w:val="32"/>
        </w:rPr>
        <w:t>4</w:t>
      </w:r>
      <w:r>
        <w:rPr>
          <w:rFonts w:hint="eastAsia" w:ascii="仿宋_GB2312" w:eastAsia="仿宋_GB2312"/>
          <w:bCs/>
          <w:color w:val="000000"/>
          <w:kern w:val="0"/>
          <w:sz w:val="32"/>
          <w:szCs w:val="32"/>
        </w:rPr>
        <w:t>〕0</w:t>
      </w:r>
      <w:r>
        <w:rPr>
          <w:rFonts w:ascii="仿宋_GB2312" w:eastAsia="仿宋_GB2312"/>
          <w:bCs/>
          <w:color w:val="000000"/>
          <w:kern w:val="0"/>
          <w:sz w:val="32"/>
          <w:szCs w:val="32"/>
        </w:rPr>
        <w:t>28</w:t>
      </w:r>
      <w:r>
        <w:rPr>
          <w:rFonts w:hint="eastAsia" w:ascii="仿宋_GB2312" w:eastAsia="仿宋_GB2312"/>
          <w:bCs/>
          <w:color w:val="000000"/>
          <w:kern w:val="0"/>
          <w:sz w:val="32"/>
          <w:szCs w:val="32"/>
        </w:rPr>
        <w:t>号），在该项目落实报告书提出的各项环保治理措施，确保各项污染物稳定达标排放的条件下，我局原则同意你公司按照报告书中所列建设项目的性质、规模、工艺、地点和环境保护对策措施进行项目建设。</w:t>
      </w:r>
    </w:p>
    <w:p w14:paraId="4D9D231C">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三、该项目建设应严格执行配套建设的环境保护设施与主体工程同时设计、同时施工、同时投产使用的环境保护“三同时”制度，落实各项环保措施，其中应重点落实以下内容：</w:t>
      </w:r>
    </w:p>
    <w:p w14:paraId="734D011D">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（一）严格落实各项大气污染防治措施。</w:t>
      </w:r>
    </w:p>
    <w:p w14:paraId="6551411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根据各类工艺段粉尘、恶臭污染物、有机废气等污染物的性质及特点，合理选择除尘、喷淋、洗涤、吸附等不同技术路线，确定污染治理设施的处理能力、效率及排气筒高度，确保大气污染物排放满足国家和天津市相关标准要求及管理要求。</w:t>
      </w:r>
    </w:p>
    <w:p w14:paraId="5528E50A">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color w:val="000000"/>
          <w:kern w:val="0"/>
          <w:sz w:val="32"/>
          <w:szCs w:val="32"/>
        </w:rPr>
        <w:t>你公司应做好车间的密闭管理，严格控制项目无组织废气的排放，同时加强废气治理设施运行维护，合理设置风机风量，及时清理除尘设备、更换喷淋废液、废活性炭，保证废气有效收集、处理、达标排放。</w:t>
      </w:r>
    </w:p>
    <w:p w14:paraId="167893B7">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w:t>
      </w:r>
      <w:r>
        <w:rPr>
          <w:rFonts w:hint="eastAsia" w:ascii="仿宋_GB2312" w:hAnsi="仿宋" w:eastAsia="仿宋_GB2312"/>
          <w:sz w:val="32"/>
          <w:szCs w:val="32"/>
        </w:rPr>
        <w:t>严格落实各项水污染防治措施。经隔油池、化粪池后的生活污水与车间地面清洗水、OD产品生产线换线设备吹扫蒸汽冷凝水、喷淋塔排水、设备清洗低浓度废水、化验室器皿清洗废水一同进入采用“调节池+铁碳微电解+混凝沉淀+综合调节池+二级水解酸化+接触氧化+MBR”工艺的污水处理站（生活污水直接进入综合调节池），达标排入市政污水管网。</w:t>
      </w:r>
    </w:p>
    <w:p w14:paraId="1DDD5D8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严格落实单位产品基准排水量要求，加强环境精细化管理，严禁废水稀释排放，从源头降低废水排放量。</w:t>
      </w:r>
    </w:p>
    <w:p w14:paraId="11457D74">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（三）</w:t>
      </w:r>
      <w:r>
        <w:rPr>
          <w:rFonts w:hint="eastAsia" w:ascii="仿宋_GB2312" w:hAnsi="仿宋" w:eastAsia="仿宋_GB2312"/>
          <w:sz w:val="32"/>
          <w:szCs w:val="32"/>
        </w:rPr>
        <w:t>严格落实声环境保护措施。</w:t>
      </w:r>
      <w:r>
        <w:rPr>
          <w:rFonts w:eastAsia="仿宋_GB2312"/>
          <w:sz w:val="32"/>
          <w:szCs w:val="32"/>
        </w:rPr>
        <w:t>采用低噪声设备，对主要噪声源采取防震、降噪、隔声等措施，确保厂界噪声达标。</w:t>
      </w:r>
    </w:p>
    <w:p w14:paraId="196F48AC">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（四）</w:t>
      </w:r>
      <w:r>
        <w:rPr>
          <w:rFonts w:hint="eastAsia" w:ascii="仿宋_GB2312" w:hAnsi="仿宋" w:eastAsia="仿宋_GB2312"/>
          <w:sz w:val="32"/>
          <w:szCs w:val="32"/>
        </w:rPr>
        <w:t>严格落实固体废物污染防治措施。</w:t>
      </w:r>
      <w:r>
        <w:rPr>
          <w:rFonts w:hint="eastAsia" w:ascii="仿宋_GB2312" w:eastAsia="仿宋_GB2312"/>
          <w:bCs/>
          <w:color w:val="000000"/>
          <w:kern w:val="0"/>
          <w:sz w:val="32"/>
          <w:szCs w:val="32"/>
        </w:rPr>
        <w:t>投产后产生的一般工业固体废物应按照《一般工业固体废物贮存和填埋污染控制标准》（GB18599-2020）相关规定，做好收集</w:t>
      </w:r>
      <w:r>
        <w:rPr>
          <w:rFonts w:hint="eastAsia" w:ascii="仿宋_GB2312" w:eastAsia="仿宋_GB2312"/>
          <w:bCs/>
          <w:color w:val="000000"/>
          <w:kern w:val="0"/>
          <w:sz w:val="32"/>
          <w:szCs w:val="32"/>
          <w:lang w:eastAsia="zh-CN"/>
        </w:rPr>
        <w:t>、</w:t>
      </w:r>
      <w:r>
        <w:rPr>
          <w:rFonts w:hint="eastAsia" w:ascii="仿宋_GB2312" w:eastAsia="仿宋_GB2312"/>
          <w:bCs/>
          <w:color w:val="000000"/>
          <w:kern w:val="0"/>
          <w:sz w:val="32"/>
          <w:szCs w:val="32"/>
        </w:rPr>
        <w:t>转运、处置及利用；危险废物应遵照《危险废物贮存污染控制标准》（GB18597-20</w:t>
      </w:r>
      <w:r>
        <w:rPr>
          <w:rFonts w:ascii="仿宋_GB2312" w:eastAsia="仿宋_GB2312"/>
          <w:bCs/>
          <w:color w:val="000000"/>
          <w:kern w:val="0"/>
          <w:sz w:val="32"/>
          <w:szCs w:val="32"/>
        </w:rPr>
        <w:t>23</w:t>
      </w:r>
      <w:r>
        <w:rPr>
          <w:rFonts w:hint="eastAsia" w:ascii="仿宋_GB2312" w:eastAsia="仿宋_GB2312"/>
          <w:bCs/>
          <w:color w:val="000000"/>
          <w:kern w:val="0"/>
          <w:sz w:val="32"/>
          <w:szCs w:val="32"/>
        </w:rPr>
        <w:t>）的要求，妥善收集、储存，并按照《中华人民共和国固体废物污染</w:t>
      </w:r>
      <w:r>
        <w:rPr>
          <w:rFonts w:hint="eastAsia" w:ascii="仿宋_GB2312" w:eastAsia="仿宋_GB2312"/>
          <w:bCs/>
          <w:kern w:val="0"/>
          <w:sz w:val="32"/>
          <w:szCs w:val="32"/>
        </w:rPr>
        <w:t>环境防治法》有关规定，委托有处理资质的单位进行处理或综合利用。</w:t>
      </w:r>
    </w:p>
    <w:p w14:paraId="44EB1F20">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sz w:val="32"/>
          <w:szCs w:val="32"/>
        </w:rPr>
      </w:pPr>
      <w:r>
        <w:rPr>
          <w:rFonts w:hint="eastAsia" w:ascii="仿宋_GB2312" w:eastAsia="仿宋_GB2312"/>
          <w:bCs/>
          <w:kern w:val="0"/>
          <w:sz w:val="32"/>
          <w:szCs w:val="32"/>
        </w:rPr>
        <w:t>（五）</w:t>
      </w:r>
      <w:r>
        <w:rPr>
          <w:rFonts w:hint="eastAsia" w:ascii="仿宋_GB2312" w:hAnsi="仿宋" w:eastAsia="仿宋_GB2312"/>
          <w:sz w:val="32"/>
          <w:szCs w:val="32"/>
        </w:rPr>
        <w:t>切实落实土壤和地下水污染防治措施。</w:t>
      </w:r>
      <w:r>
        <w:rPr>
          <w:rFonts w:hint="eastAsia" w:ascii="仿宋_GB2312" w:eastAsia="仿宋_GB2312"/>
          <w:bCs/>
          <w:kern w:val="0"/>
          <w:sz w:val="32"/>
          <w:szCs w:val="32"/>
        </w:rPr>
        <w:t>落实报告书提出的</w:t>
      </w:r>
      <w:r>
        <w:rPr>
          <w:rFonts w:hint="eastAsia" w:ascii="仿宋_GB2312" w:hAnsi="仿宋" w:eastAsia="仿宋_GB2312"/>
          <w:sz w:val="32"/>
          <w:szCs w:val="32"/>
        </w:rPr>
        <w:t>土壤和地下水</w:t>
      </w:r>
      <w:r>
        <w:rPr>
          <w:rFonts w:hint="eastAsia" w:ascii="仿宋_GB2312" w:eastAsia="仿宋_GB2312"/>
          <w:bCs/>
          <w:kern w:val="0"/>
          <w:sz w:val="32"/>
          <w:szCs w:val="32"/>
        </w:rPr>
        <w:t>污染防控措施与对策，根据划分的防渗分区，严格落实防渗、防泄漏、防腐蚀等防范措施；</w:t>
      </w:r>
      <w:r>
        <w:rPr>
          <w:rFonts w:hint="eastAsia" w:ascii="仿宋_GB2312" w:eastAsia="仿宋_GB2312"/>
          <w:sz w:val="32"/>
          <w:szCs w:val="32"/>
        </w:rPr>
        <w:t>建立完善的土壤和地下水监测制度。根据重点防渗区平面布置、地下水流向，合理设置土壤和地下水监测井，严格落实土壤和地下水监测计划。完善土壤和地下水污染应急预案和应急措施，减少对土壤和地下水的不利环境影响。</w:t>
      </w:r>
    </w:p>
    <w:p w14:paraId="41B1D48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（六）</w:t>
      </w:r>
      <w:r>
        <w:rPr>
          <w:rFonts w:hint="eastAsia" w:ascii="仿宋_GB2312" w:hAnsi="仿宋" w:eastAsia="仿宋_GB2312"/>
          <w:sz w:val="32"/>
          <w:szCs w:val="32"/>
        </w:rPr>
        <w:t>强化各项环境风险防范措施，有效防范环境风险。该项目应</w:t>
      </w:r>
      <w:r>
        <w:rPr>
          <w:rFonts w:hint="eastAsia" w:ascii="仿宋_GB2312" w:eastAsia="仿宋_GB2312"/>
          <w:sz w:val="32"/>
          <w:szCs w:val="32"/>
        </w:rPr>
        <w:t>根据《关于进一步加强环境影响评价管理防范环境风险的通知》（环发〔2012〕77号）等文件的要求，严格落实环境风险控制及事故应急措施，避免事故状态下产生的次生和伴生环境影响及污染。</w:t>
      </w:r>
    </w:p>
    <w:p w14:paraId="3D73604A">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七）按照原市环保局《关于加强我市排放口规范化整合工作的通知》（津环保监理〔2002〕71号）、《关于发布&lt;天津市污染源排放口规范化技术要求&gt;的通知》（津环保监测〔2007〕57号）要求，该项目应严格落实排污口规范化有关规定；排污口应按照《环境监测管理办法》规定和技术规范的要求，设计、建设、维护永久性采样口、采样测试平台和排污口标志，满足《工业企业挥发性有机物排放控制标准》（DB12/524-2020）及相关附录中的要求。</w:t>
      </w:r>
    </w:p>
    <w:p w14:paraId="0A929C20">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（八）你公司须完善环境保护管理机构及相关环境管理制度，严格落实</w:t>
      </w:r>
      <w:r>
        <w:rPr>
          <w:rFonts w:hint="eastAsia" w:ascii="仿宋_GB2312" w:eastAsia="仿宋_GB2312"/>
          <w:bCs/>
          <w:kern w:val="0"/>
          <w:sz w:val="32"/>
          <w:szCs w:val="32"/>
          <w:lang w:eastAsia="zh-CN"/>
        </w:rPr>
        <w:t>报告书提出的</w:t>
      </w:r>
      <w:r>
        <w:rPr>
          <w:rFonts w:hint="eastAsia" w:ascii="仿宋_GB2312" w:eastAsia="仿宋_GB2312"/>
          <w:bCs/>
          <w:kern w:val="0"/>
          <w:sz w:val="32"/>
          <w:szCs w:val="32"/>
        </w:rPr>
        <w:t>环境监测计划。</w:t>
      </w:r>
    </w:p>
    <w:p w14:paraId="1239E210">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（九）根据《建设项目环境保护管理条例》，在该项目投入生产或使用前对配套建设的环境保护设施进行自主验收，编制验收报告；同时依法向社会公开验收报告。</w:t>
      </w:r>
    </w:p>
    <w:p w14:paraId="3571AF4C">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十）该项目报告书经批准后，项目的性质、规模、地点或者防治污染的措施发生重大变动的，应当重新报批该项目的环境影响报告书。自报告书批复文件批准之日起超过5年，方决定该项目开工建设的，报告书应当报我局重新审核。</w:t>
      </w:r>
    </w:p>
    <w:p w14:paraId="65536BB0">
      <w:pPr>
        <w:keepNext w:val="0"/>
        <w:keepLines w:val="0"/>
        <w:pageBreakBefore w:val="0"/>
        <w:widowControl/>
        <w:tabs>
          <w:tab w:val="left" w:pos="0"/>
          <w:tab w:val="left" w:pos="1134"/>
          <w:tab w:val="left" w:pos="1418"/>
          <w:tab w:val="left" w:pos="1560"/>
        </w:tabs>
        <w:kinsoku/>
        <w:wordWrap/>
        <w:overflowPunct/>
        <w:topLinePunct w:val="0"/>
        <w:bidi w:val="0"/>
        <w:snapToGrid/>
        <w:spacing w:line="580" w:lineRule="exact"/>
        <w:ind w:firstLine="640" w:firstLineChars="200"/>
        <w:textAlignment w:val="auto"/>
        <w:rPr>
          <w:rFonts w:hint="eastAsia" w:ascii="仿宋_GB2312" w:eastAsia="仿宋_GB2312"/>
          <w:bCs/>
          <w:kern w:val="0"/>
          <w:sz w:val="32"/>
          <w:szCs w:val="32"/>
          <w:lang w:eastAsia="zh-CN"/>
        </w:rPr>
      </w:pPr>
      <w:r>
        <w:rPr>
          <w:rFonts w:hint="eastAsia" w:ascii="仿宋_GB2312" w:eastAsia="仿宋_GB2312"/>
          <w:bCs/>
          <w:kern w:val="0"/>
          <w:sz w:val="32"/>
          <w:szCs w:val="32"/>
        </w:rPr>
        <w:t>四、你公司应严格落实《天津市水污染防治条例》的要求，禁止新建、扩建农药合成等严重污染水环境的生产项目</w:t>
      </w:r>
      <w:r>
        <w:rPr>
          <w:rFonts w:hint="eastAsia" w:ascii="仿宋_GB2312" w:eastAsia="仿宋_GB2312"/>
          <w:bCs/>
          <w:kern w:val="0"/>
          <w:sz w:val="32"/>
          <w:szCs w:val="32"/>
          <w:lang w:eastAsia="zh-CN"/>
        </w:rPr>
        <w:t>；</w:t>
      </w:r>
      <w:r>
        <w:rPr>
          <w:rFonts w:hint="eastAsia" w:ascii="仿宋_GB2312" w:hAnsi="仿宋_GB2312" w:eastAsia="仿宋_GB2312" w:cs="仿宋_GB2312"/>
          <w:sz w:val="32"/>
          <w:szCs w:val="32"/>
        </w:rPr>
        <w:t>不得生产《环境保护综合名录（2021年版）》中“高污染、高环境风险”相关产品</w:t>
      </w:r>
      <w:r>
        <w:rPr>
          <w:rFonts w:hint="eastAsia" w:ascii="仿宋_GB2312" w:hAnsi="仿宋_GB2312" w:eastAsia="仿宋_GB2312" w:cs="仿宋_GB2312"/>
          <w:sz w:val="32"/>
          <w:szCs w:val="32"/>
          <w:lang w:eastAsia="zh-CN"/>
        </w:rPr>
        <w:t>。</w:t>
      </w:r>
    </w:p>
    <w:p w14:paraId="1612B4E3">
      <w:pPr>
        <w:keepNext w:val="0"/>
        <w:keepLines w:val="0"/>
        <w:pageBreakBefore w:val="0"/>
        <w:widowControl/>
        <w:tabs>
          <w:tab w:val="left" w:pos="0"/>
          <w:tab w:val="left" w:pos="1134"/>
          <w:tab w:val="left" w:pos="1418"/>
          <w:tab w:val="left" w:pos="1560"/>
        </w:tabs>
        <w:kinsoku/>
        <w:wordWrap/>
        <w:overflowPunct/>
        <w:topLinePunct w:val="0"/>
        <w:bidi w:val="0"/>
        <w:snapToGrid/>
        <w:spacing w:line="580" w:lineRule="exact"/>
        <w:ind w:firstLine="640" w:firstLineChars="200"/>
        <w:textAlignment w:val="auto"/>
        <w:rPr>
          <w:rFonts w:ascii="仿宋_GB2312" w:eastAsia="仿宋_GB2312"/>
          <w:bCs/>
          <w:kern w:val="0"/>
          <w:sz w:val="32"/>
          <w:szCs w:val="32"/>
        </w:rPr>
      </w:pPr>
      <w:r>
        <w:rPr>
          <w:rFonts w:hint="eastAsia" w:ascii="仿宋_GB2312" w:eastAsia="仿宋_GB2312"/>
          <w:bCs/>
          <w:kern w:val="0"/>
          <w:sz w:val="32"/>
          <w:szCs w:val="32"/>
        </w:rPr>
        <w:t>五、根据报告书核算，该项目建成后新增大气污染物排放总量为：VOCs</w:t>
      </w:r>
      <w:r>
        <w:rPr>
          <w:rFonts w:ascii="仿宋_GB2312" w:eastAsia="仿宋_GB2312"/>
          <w:bCs/>
          <w:kern w:val="0"/>
          <w:sz w:val="32"/>
          <w:szCs w:val="32"/>
        </w:rPr>
        <w:t>0.1579</w:t>
      </w:r>
      <w:r>
        <w:rPr>
          <w:rFonts w:hint="eastAsia" w:ascii="仿宋_GB2312" w:eastAsia="仿宋_GB2312"/>
          <w:bCs/>
          <w:kern w:val="0"/>
          <w:sz w:val="32"/>
          <w:szCs w:val="32"/>
        </w:rPr>
        <w:t>吨/年；新增水污染物排放总量为：C</w:t>
      </w:r>
      <w:r>
        <w:rPr>
          <w:rFonts w:ascii="仿宋_GB2312" w:eastAsia="仿宋_GB2312"/>
          <w:bCs/>
          <w:kern w:val="0"/>
          <w:sz w:val="32"/>
          <w:szCs w:val="32"/>
        </w:rPr>
        <w:t>OD</w:t>
      </w:r>
      <w:r>
        <w:rPr>
          <w:rFonts w:hint="eastAsia" w:ascii="仿宋_GB2312" w:eastAsia="仿宋_GB2312"/>
          <w:bCs/>
          <w:kern w:val="0"/>
          <w:sz w:val="32"/>
          <w:szCs w:val="32"/>
        </w:rPr>
        <w:t>0.5647吨/年。</w:t>
      </w:r>
    </w:p>
    <w:p w14:paraId="59342402">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六、根据《企业事业单位突发环境事件应急预案备案管理办法（试行）》（环发〔2015〕4号）等有关规定，你公司应在投产前</w:t>
      </w:r>
      <w:r>
        <w:rPr>
          <w:rFonts w:hint="eastAsia" w:ascii="仿宋_GB2312" w:eastAsia="仿宋_GB2312"/>
          <w:bCs/>
          <w:color w:val="000000"/>
          <w:kern w:val="0"/>
          <w:sz w:val="32"/>
          <w:szCs w:val="32"/>
          <w:lang w:eastAsia="zh-CN"/>
        </w:rPr>
        <w:t>开展</w:t>
      </w:r>
      <w:r>
        <w:rPr>
          <w:rFonts w:hint="eastAsia" w:ascii="仿宋_GB2312" w:eastAsia="仿宋_GB2312"/>
          <w:bCs/>
          <w:color w:val="000000"/>
          <w:kern w:val="0"/>
          <w:sz w:val="32"/>
          <w:szCs w:val="32"/>
        </w:rPr>
        <w:t>“环境应急预案”编制（修订）</w:t>
      </w:r>
      <w:r>
        <w:rPr>
          <w:rFonts w:hint="eastAsia" w:ascii="仿宋_GB2312" w:eastAsia="仿宋_GB2312"/>
          <w:bCs/>
          <w:color w:val="000000"/>
          <w:kern w:val="0"/>
          <w:sz w:val="32"/>
          <w:szCs w:val="32"/>
          <w:lang w:eastAsia="zh-CN"/>
        </w:rPr>
        <w:t>工作并履行</w:t>
      </w:r>
      <w:r>
        <w:rPr>
          <w:rFonts w:hint="eastAsia" w:ascii="仿宋_GB2312" w:eastAsia="仿宋_GB2312"/>
          <w:bCs/>
          <w:color w:val="000000"/>
          <w:kern w:val="0"/>
          <w:sz w:val="32"/>
          <w:szCs w:val="32"/>
        </w:rPr>
        <w:t>备案</w:t>
      </w:r>
      <w:r>
        <w:rPr>
          <w:rFonts w:hint="eastAsia" w:ascii="仿宋_GB2312" w:eastAsia="仿宋_GB2312"/>
          <w:bCs/>
          <w:color w:val="000000"/>
          <w:kern w:val="0"/>
          <w:sz w:val="32"/>
          <w:szCs w:val="32"/>
          <w:lang w:eastAsia="zh-CN"/>
        </w:rPr>
        <w:t>手续</w:t>
      </w:r>
      <w:r>
        <w:rPr>
          <w:rFonts w:hint="eastAsia" w:ascii="仿宋_GB2312" w:eastAsia="仿宋_GB2312"/>
          <w:bCs/>
          <w:color w:val="000000"/>
          <w:kern w:val="0"/>
          <w:sz w:val="32"/>
          <w:szCs w:val="32"/>
        </w:rPr>
        <w:t>。</w:t>
      </w:r>
    </w:p>
    <w:p w14:paraId="0F45029F">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七、你公司应按照相关法律法规及排污许可证申请与核发技术规范要求及时延续、变更排污许可证，不得无证排污或不按证排污。</w:t>
      </w:r>
    </w:p>
    <w:p w14:paraId="636188B7">
      <w:pPr>
        <w:keepNext w:val="0"/>
        <w:keepLines w:val="0"/>
        <w:pageBreakBefore w:val="0"/>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hAnsi="仿宋" w:eastAsia="仿宋_GB2312"/>
          <w:sz w:val="32"/>
          <w:szCs w:val="32"/>
        </w:rPr>
        <w:t>八、</w:t>
      </w:r>
      <w:r>
        <w:rPr>
          <w:rFonts w:hint="eastAsia" w:ascii="仿宋_GB2312" w:eastAsia="仿宋_GB2312"/>
          <w:bCs/>
          <w:color w:val="000000"/>
          <w:kern w:val="0"/>
          <w:sz w:val="32"/>
          <w:szCs w:val="32"/>
        </w:rPr>
        <w:t>你公司应按照相关部门要求及时针对污染防治设施开展安全风险辨识和评估，将其安全管理措施一并纳入全厂安全生产规章制度中，自觉接受相关部门监管。</w:t>
      </w:r>
    </w:p>
    <w:p w14:paraId="0A7E20C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九、该项目执行的污染物排放标准：</w:t>
      </w:r>
    </w:p>
    <w:p w14:paraId="265EE247">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1</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《农药制造工业大气污染物排放标准》（GB39727-2020）；</w:t>
      </w:r>
    </w:p>
    <w:p w14:paraId="762EEAA9">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2</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《恶臭污染物排放标准》（DB12/059-2018）；</w:t>
      </w:r>
    </w:p>
    <w:p w14:paraId="2277333F">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3</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《工业企业挥发性有机物排放控制标准》（DB12/524-2020）；</w:t>
      </w:r>
    </w:p>
    <w:p w14:paraId="38F12C59">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4</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《大气污染物综合排放标准》（GB16297-1996）；</w:t>
      </w:r>
    </w:p>
    <w:p w14:paraId="7C49DC24">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5</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w:t>
      </w:r>
      <w:r>
        <w:rPr>
          <w:rFonts w:ascii="仿宋_GB2312" w:eastAsia="仿宋_GB2312"/>
          <w:bCs/>
          <w:color w:val="000000"/>
          <w:kern w:val="0"/>
          <w:sz w:val="32"/>
          <w:szCs w:val="32"/>
        </w:rPr>
        <w:t>餐饮业油烟排放标准》 （DB12/644-2016）</w:t>
      </w:r>
      <w:r>
        <w:rPr>
          <w:rFonts w:hint="eastAsia" w:ascii="仿宋_GB2312" w:eastAsia="仿宋_GB2312"/>
          <w:bCs/>
          <w:color w:val="000000"/>
          <w:kern w:val="0"/>
          <w:sz w:val="32"/>
          <w:szCs w:val="32"/>
        </w:rPr>
        <w:t>；</w:t>
      </w:r>
    </w:p>
    <w:p w14:paraId="51F216C7">
      <w:pPr>
        <w:keepNext w:val="0"/>
        <w:keepLines w:val="0"/>
        <w:pageBreakBefore w:val="0"/>
        <w:widowControl/>
        <w:kinsoku/>
        <w:wordWrap/>
        <w:overflowPunct/>
        <w:topLinePunct w:val="0"/>
        <w:bidi w:val="0"/>
        <w:snapToGrid/>
        <w:spacing w:line="580" w:lineRule="exact"/>
        <w:ind w:firstLine="640" w:firstLineChars="200"/>
        <w:textAlignment w:val="auto"/>
        <w:rPr>
          <w:rFonts w:hint="eastAsia" w:ascii="仿宋_GB2312" w:eastAsia="仿宋_GB2312"/>
          <w:bCs/>
          <w:color w:val="000000"/>
          <w:kern w:val="0"/>
          <w:sz w:val="32"/>
          <w:szCs w:val="32"/>
        </w:rPr>
      </w:pPr>
      <w:r>
        <w:rPr>
          <w:rFonts w:hint="eastAsia" w:ascii="仿宋_GB2312" w:eastAsia="仿宋_GB2312"/>
          <w:bCs/>
          <w:color w:val="000000"/>
          <w:kern w:val="0"/>
          <w:sz w:val="32"/>
          <w:szCs w:val="32"/>
        </w:rPr>
        <w:t>6</w:t>
      </w:r>
      <w:r>
        <w:rPr>
          <w:rFonts w:hint="default" w:ascii="仿宋_GB2312" w:eastAsia="仿宋_GB2312"/>
          <w:bCs/>
          <w:color w:val="000000"/>
          <w:kern w:val="0"/>
          <w:sz w:val="32"/>
          <w:szCs w:val="32"/>
          <w:lang w:val="en"/>
        </w:rPr>
        <w:t>.</w:t>
      </w:r>
      <w:r>
        <w:rPr>
          <w:rFonts w:ascii="仿宋_GB2312" w:eastAsia="仿宋_GB2312"/>
          <w:bCs/>
          <w:color w:val="000000"/>
          <w:kern w:val="0"/>
          <w:sz w:val="32"/>
          <w:szCs w:val="32"/>
        </w:rPr>
        <w:t>《农药工业水污染物排放标准》（GB21523-2024）</w:t>
      </w:r>
      <w:r>
        <w:rPr>
          <w:rFonts w:hint="eastAsia" w:ascii="仿宋_GB2312" w:eastAsia="仿宋_GB2312"/>
          <w:bCs/>
          <w:color w:val="000000"/>
          <w:kern w:val="0"/>
          <w:sz w:val="32"/>
          <w:szCs w:val="32"/>
        </w:rPr>
        <w:t>；</w:t>
      </w:r>
    </w:p>
    <w:p w14:paraId="69189879">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7</w:t>
      </w:r>
      <w:r>
        <w:rPr>
          <w:rFonts w:hint="default" w:ascii="仿宋_GB2312" w:eastAsia="仿宋_GB2312"/>
          <w:bCs/>
          <w:color w:val="000000"/>
          <w:kern w:val="0"/>
          <w:sz w:val="32"/>
          <w:szCs w:val="32"/>
          <w:lang w:val="en"/>
        </w:rPr>
        <w:t>.</w:t>
      </w:r>
      <w:r>
        <w:rPr>
          <w:rFonts w:ascii="仿宋_GB2312" w:eastAsia="仿宋_GB2312"/>
          <w:bCs/>
          <w:color w:val="000000"/>
          <w:kern w:val="0"/>
          <w:sz w:val="32"/>
          <w:szCs w:val="32"/>
        </w:rPr>
        <w:t>《污水综合排放标准》（DB12/356-2018）；</w:t>
      </w:r>
    </w:p>
    <w:p w14:paraId="3A62F6A5">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8</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《工业企业厂界环境噪声排放标准》（GB12348-2008）；</w:t>
      </w:r>
    </w:p>
    <w:p w14:paraId="51823942">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9</w:t>
      </w:r>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《一般工业固体废物贮存和填埋污染控制标准》（GB18599-2020）;</w:t>
      </w:r>
    </w:p>
    <w:p w14:paraId="473B943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ascii="仿宋_GB2312" w:eastAsia="仿宋_GB2312"/>
          <w:bCs/>
          <w:color w:val="000000"/>
          <w:kern w:val="0"/>
          <w:sz w:val="32"/>
          <w:szCs w:val="32"/>
        </w:rPr>
        <w:t>10</w:t>
      </w:r>
      <w:bookmarkStart w:id="0" w:name="OLE_LINK35"/>
      <w:bookmarkStart w:id="1" w:name="OLE_LINK36"/>
      <w:r>
        <w:rPr>
          <w:rFonts w:hint="default" w:ascii="仿宋_GB2312" w:eastAsia="仿宋_GB2312"/>
          <w:bCs/>
          <w:color w:val="000000"/>
          <w:kern w:val="0"/>
          <w:sz w:val="32"/>
          <w:szCs w:val="32"/>
          <w:lang w:val="en"/>
        </w:rPr>
        <w:t>.</w:t>
      </w:r>
      <w:r>
        <w:rPr>
          <w:rFonts w:hint="eastAsia" w:ascii="仿宋_GB2312" w:eastAsia="仿宋_GB2312"/>
          <w:bCs/>
          <w:color w:val="000000"/>
          <w:kern w:val="0"/>
          <w:sz w:val="32"/>
          <w:szCs w:val="32"/>
        </w:rPr>
        <w:t>《危险废物贮存污染控制标准》</w:t>
      </w:r>
      <w:bookmarkEnd w:id="0"/>
      <w:bookmarkEnd w:id="1"/>
      <w:r>
        <w:rPr>
          <w:rFonts w:hint="eastAsia" w:ascii="仿宋_GB2312" w:eastAsia="仿宋_GB2312"/>
          <w:bCs/>
          <w:color w:val="000000"/>
          <w:kern w:val="0"/>
          <w:sz w:val="32"/>
          <w:szCs w:val="32"/>
        </w:rPr>
        <w:t>（GB</w:t>
      </w:r>
      <w:bookmarkStart w:id="2" w:name="_Hlk141260859"/>
      <w:r>
        <w:rPr>
          <w:rFonts w:hint="eastAsia" w:ascii="仿宋_GB2312" w:eastAsia="仿宋_GB2312"/>
          <w:bCs/>
          <w:color w:val="000000"/>
          <w:kern w:val="0"/>
          <w:sz w:val="32"/>
          <w:szCs w:val="32"/>
        </w:rPr>
        <w:t>18597-2023</w:t>
      </w:r>
      <w:bookmarkEnd w:id="2"/>
      <w:r>
        <w:rPr>
          <w:rFonts w:hint="eastAsia" w:ascii="仿宋_GB2312" w:eastAsia="仿宋_GB2312"/>
          <w:bCs/>
          <w:color w:val="000000"/>
          <w:kern w:val="0"/>
          <w:sz w:val="32"/>
          <w:szCs w:val="32"/>
        </w:rPr>
        <w:t>）。</w:t>
      </w:r>
    </w:p>
    <w:p w14:paraId="08CC4278">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特此批复。</w:t>
      </w:r>
    </w:p>
    <w:p w14:paraId="298D3ECD">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p>
    <w:p w14:paraId="1A3EC4E1">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p>
    <w:p w14:paraId="19B6923E">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p>
    <w:p w14:paraId="7D1267EA">
      <w:pPr>
        <w:keepNext w:val="0"/>
        <w:keepLines w:val="0"/>
        <w:pageBreakBefore w:val="0"/>
        <w:widowControl/>
        <w:kinsoku/>
        <w:wordWrap/>
        <w:overflowPunct/>
        <w:topLinePunct w:val="0"/>
        <w:bidi w:val="0"/>
        <w:snapToGrid/>
        <w:spacing w:line="580" w:lineRule="exact"/>
        <w:ind w:firstLine="640" w:firstLineChars="200"/>
        <w:textAlignment w:val="auto"/>
        <w:rPr>
          <w:rFonts w:ascii="仿宋_GB2312" w:eastAsia="仿宋_GB2312"/>
          <w:bCs/>
          <w:color w:val="000000"/>
          <w:kern w:val="0"/>
          <w:sz w:val="32"/>
          <w:szCs w:val="32"/>
        </w:rPr>
      </w:pPr>
    </w:p>
    <w:p w14:paraId="6D54B033">
      <w:pPr>
        <w:keepNext w:val="0"/>
        <w:keepLines w:val="0"/>
        <w:pageBreakBefore w:val="0"/>
        <w:widowControl/>
        <w:kinsoku/>
        <w:wordWrap/>
        <w:overflowPunct/>
        <w:topLinePunct w:val="0"/>
        <w:bidi w:val="0"/>
        <w:snapToGrid/>
        <w:spacing w:line="580" w:lineRule="exact"/>
        <w:ind w:firstLine="640" w:firstLineChars="200"/>
        <w:jc w:val="right"/>
        <w:textAlignment w:val="auto"/>
        <w:rPr>
          <w:rFonts w:ascii="仿宋_GB2312" w:eastAsia="仿宋_GB2312"/>
          <w:bCs/>
          <w:color w:val="000000"/>
          <w:kern w:val="0"/>
          <w:sz w:val="32"/>
          <w:szCs w:val="32"/>
        </w:rPr>
      </w:pPr>
      <w:r>
        <w:rPr>
          <w:rFonts w:hint="eastAsia" w:ascii="仿宋_GB2312" w:eastAsia="仿宋_GB2312"/>
          <w:bCs/>
          <w:color w:val="000000"/>
          <w:kern w:val="0"/>
          <w:sz w:val="32"/>
          <w:szCs w:val="32"/>
        </w:rPr>
        <w:t>天津经济技术开发区生态环境局</w:t>
      </w:r>
    </w:p>
    <w:p w14:paraId="36DC361A">
      <w:pPr>
        <w:keepNext w:val="0"/>
        <w:keepLines w:val="0"/>
        <w:pageBreakBefore w:val="0"/>
        <w:widowControl/>
        <w:kinsoku/>
        <w:wordWrap/>
        <w:overflowPunct/>
        <w:topLinePunct w:val="0"/>
        <w:bidi w:val="0"/>
        <w:snapToGrid/>
        <w:spacing w:line="580" w:lineRule="exact"/>
        <w:ind w:firstLine="4960" w:firstLineChars="1550"/>
        <w:textAlignment w:val="auto"/>
        <w:rPr>
          <w:rFonts w:ascii="仿宋_GB2312" w:eastAsia="仿宋_GB2312" w:cs="Tahoma"/>
          <w:kern w:val="0"/>
          <w:sz w:val="32"/>
          <w:szCs w:val="32"/>
        </w:rPr>
      </w:pPr>
      <w:r>
        <w:rPr>
          <w:rFonts w:hint="eastAsia" w:ascii="仿宋_GB2312" w:eastAsia="仿宋_GB2312" w:cs="Tahoma"/>
          <w:kern w:val="0"/>
          <w:sz w:val="32"/>
          <w:szCs w:val="32"/>
          <w:lang w:val="en-US" w:eastAsia="zh-CN"/>
        </w:rPr>
        <w:t xml:space="preserve">    </w:t>
      </w:r>
      <w:r>
        <w:rPr>
          <w:rFonts w:hint="eastAsia" w:ascii="仿宋_GB2312" w:eastAsia="仿宋_GB2312" w:cs="Tahoma"/>
          <w:kern w:val="0"/>
          <w:sz w:val="32"/>
          <w:szCs w:val="32"/>
        </w:rPr>
        <w:t>20</w:t>
      </w:r>
      <w:r>
        <w:rPr>
          <w:rFonts w:ascii="仿宋_GB2312" w:eastAsia="仿宋_GB2312" w:cs="Tahoma"/>
          <w:kern w:val="0"/>
          <w:sz w:val="32"/>
          <w:szCs w:val="32"/>
        </w:rPr>
        <w:t>25</w:t>
      </w:r>
      <w:r>
        <w:rPr>
          <w:rFonts w:hint="eastAsia" w:ascii="仿宋_GB2312" w:eastAsia="仿宋_GB2312" w:cs="Tahoma"/>
          <w:kern w:val="0"/>
          <w:sz w:val="32"/>
          <w:szCs w:val="32"/>
        </w:rPr>
        <w:t>年</w:t>
      </w:r>
      <w:r>
        <w:rPr>
          <w:rFonts w:ascii="仿宋_GB2312" w:eastAsia="仿宋_GB2312" w:cs="Tahoma"/>
          <w:kern w:val="0"/>
          <w:sz w:val="32"/>
          <w:szCs w:val="32"/>
        </w:rPr>
        <w:t>1</w:t>
      </w:r>
      <w:r>
        <w:rPr>
          <w:rFonts w:hint="eastAsia" w:ascii="仿宋_GB2312" w:eastAsia="仿宋_GB2312" w:cs="Tahoma"/>
          <w:kern w:val="0"/>
          <w:sz w:val="32"/>
          <w:szCs w:val="32"/>
        </w:rPr>
        <w:t>月</w:t>
      </w:r>
      <w:r>
        <w:rPr>
          <w:rFonts w:hint="default" w:ascii="仿宋_GB2312" w:eastAsia="仿宋_GB2312" w:cs="Tahoma"/>
          <w:kern w:val="0"/>
          <w:sz w:val="32"/>
          <w:szCs w:val="32"/>
          <w:lang w:val="en"/>
        </w:rPr>
        <w:t>22</w:t>
      </w:r>
      <w:r>
        <w:rPr>
          <w:rFonts w:hint="eastAsia" w:ascii="仿宋_GB2312" w:eastAsia="仿宋_GB2312" w:cs="Tahoma"/>
          <w:kern w:val="0"/>
          <w:sz w:val="32"/>
          <w:szCs w:val="32"/>
        </w:rPr>
        <w:t>日</w:t>
      </w:r>
    </w:p>
    <w:p w14:paraId="76662C57">
      <w:pPr>
        <w:keepNext w:val="0"/>
        <w:keepLines w:val="0"/>
        <w:pageBreakBefore w:val="0"/>
        <w:widowControl/>
        <w:kinsoku/>
        <w:wordWrap/>
        <w:overflowPunct/>
        <w:topLinePunct w:val="0"/>
        <w:bidi w:val="0"/>
        <w:snapToGrid/>
        <w:spacing w:line="580" w:lineRule="exact"/>
        <w:ind w:firstLine="640" w:firstLineChars="200"/>
        <w:textAlignment w:val="auto"/>
        <w:rPr>
          <w:rFonts w:hint="eastAsia" w:ascii="仿宋_GB2312" w:hAnsi="Times New Roman" w:eastAsia="仿宋_GB2312" w:cs="Tahoma"/>
          <w:color w:val="000000"/>
          <w:kern w:val="0"/>
          <w:sz w:val="32"/>
          <w:szCs w:val="32"/>
          <w:lang w:eastAsia="zh-CN"/>
        </w:rPr>
      </w:pPr>
      <w:r>
        <w:rPr>
          <w:rFonts w:hint="eastAsia" w:ascii="仿宋_GB2312" w:hAnsi="Times New Roman" w:eastAsia="仿宋_GB2312" w:cs="Tahoma"/>
          <w:color w:val="000000"/>
          <w:kern w:val="0"/>
          <w:sz w:val="32"/>
          <w:szCs w:val="32"/>
          <w:lang w:eastAsia="zh-CN"/>
        </w:rPr>
        <w:t>（此件主动公开）</w:t>
      </w:r>
    </w:p>
    <w:p w14:paraId="30E373BC">
      <w:pPr>
        <w:spacing w:line="588" w:lineRule="exact"/>
        <w:rPr>
          <w:rFonts w:hint="eastAsia" w:ascii="仿宋_GB2312" w:eastAsia="仿宋_GB2312"/>
          <w:sz w:val="28"/>
          <w:szCs w:val="28"/>
          <w:u w:val="single"/>
        </w:rPr>
      </w:pPr>
    </w:p>
    <w:p w14:paraId="51B88690">
      <w:pPr>
        <w:spacing w:line="588" w:lineRule="exact"/>
        <w:rPr>
          <w:rFonts w:hint="default" w:ascii="仿宋_GB2312" w:eastAsia="仿宋_GB2312"/>
          <w:sz w:val="28"/>
          <w:szCs w:val="28"/>
          <w:u w:val="single"/>
          <w:lang w:val="en-US" w:eastAsia="zh-CN"/>
        </w:rPr>
      </w:pPr>
      <w:bookmarkStart w:id="3" w:name="_GoBack"/>
      <w:bookmarkEnd w:id="3"/>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24A9F20A">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1AE5B95A">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D96EE">
    <w:pPr>
      <w:pStyle w:val="5"/>
      <w:jc w:val="both"/>
      <w:rPr>
        <w:rFonts w:asciiTheme="minorEastAsia" w:hAnsiTheme="minorEastAsia"/>
        <w:sz w:val="28"/>
      </w:rPr>
    </w:pP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- 2 -</w:t>
    </w:r>
    <w:r>
      <w:rPr>
        <w:rStyle w:val="10"/>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8AB"/>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5722"/>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2B1"/>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594E"/>
    <w:rsid w:val="001E70C5"/>
    <w:rsid w:val="001E79A7"/>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105BA"/>
    <w:rsid w:val="00210AB7"/>
    <w:rsid w:val="00210DF2"/>
    <w:rsid w:val="00212171"/>
    <w:rsid w:val="00214769"/>
    <w:rsid w:val="00216F18"/>
    <w:rsid w:val="00217111"/>
    <w:rsid w:val="0022130B"/>
    <w:rsid w:val="00222208"/>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32A"/>
    <w:rsid w:val="003305C3"/>
    <w:rsid w:val="003308D2"/>
    <w:rsid w:val="00330B49"/>
    <w:rsid w:val="00330E08"/>
    <w:rsid w:val="0033123F"/>
    <w:rsid w:val="00331472"/>
    <w:rsid w:val="003336B8"/>
    <w:rsid w:val="00333A9D"/>
    <w:rsid w:val="00333C54"/>
    <w:rsid w:val="0033476B"/>
    <w:rsid w:val="00334A0E"/>
    <w:rsid w:val="00334DB7"/>
    <w:rsid w:val="0033523B"/>
    <w:rsid w:val="00335365"/>
    <w:rsid w:val="0033702A"/>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3012"/>
    <w:rsid w:val="003737BE"/>
    <w:rsid w:val="00375379"/>
    <w:rsid w:val="00375C61"/>
    <w:rsid w:val="0038298D"/>
    <w:rsid w:val="00384AD4"/>
    <w:rsid w:val="003861F4"/>
    <w:rsid w:val="00386B28"/>
    <w:rsid w:val="0038708E"/>
    <w:rsid w:val="0039019A"/>
    <w:rsid w:val="00391773"/>
    <w:rsid w:val="003917F7"/>
    <w:rsid w:val="0039277B"/>
    <w:rsid w:val="00392863"/>
    <w:rsid w:val="00393382"/>
    <w:rsid w:val="00393BA1"/>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7C2"/>
    <w:rsid w:val="004449D0"/>
    <w:rsid w:val="004454A1"/>
    <w:rsid w:val="0044554B"/>
    <w:rsid w:val="0044674B"/>
    <w:rsid w:val="00447E5B"/>
    <w:rsid w:val="00447F9B"/>
    <w:rsid w:val="0045106D"/>
    <w:rsid w:val="00451BE0"/>
    <w:rsid w:val="00451C00"/>
    <w:rsid w:val="0045215D"/>
    <w:rsid w:val="0045233C"/>
    <w:rsid w:val="0045238A"/>
    <w:rsid w:val="00452C60"/>
    <w:rsid w:val="00452C93"/>
    <w:rsid w:val="00452DBB"/>
    <w:rsid w:val="0045386C"/>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3F99"/>
    <w:rsid w:val="005640AA"/>
    <w:rsid w:val="0056446F"/>
    <w:rsid w:val="00565073"/>
    <w:rsid w:val="0056555B"/>
    <w:rsid w:val="005678BD"/>
    <w:rsid w:val="00571D44"/>
    <w:rsid w:val="00571D6D"/>
    <w:rsid w:val="00571DED"/>
    <w:rsid w:val="00571EFF"/>
    <w:rsid w:val="00574D79"/>
    <w:rsid w:val="00575D41"/>
    <w:rsid w:val="00576397"/>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21E5"/>
    <w:rsid w:val="006A28D3"/>
    <w:rsid w:val="006A2D8E"/>
    <w:rsid w:val="006A2E46"/>
    <w:rsid w:val="006A2F43"/>
    <w:rsid w:val="006A4E50"/>
    <w:rsid w:val="006A6200"/>
    <w:rsid w:val="006A6DBD"/>
    <w:rsid w:val="006A7CC6"/>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AE8"/>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1052"/>
    <w:rsid w:val="00761CE1"/>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01B"/>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66BE"/>
    <w:rsid w:val="00826CC6"/>
    <w:rsid w:val="008273CE"/>
    <w:rsid w:val="0082762E"/>
    <w:rsid w:val="00827F34"/>
    <w:rsid w:val="00830321"/>
    <w:rsid w:val="00832B9C"/>
    <w:rsid w:val="00832F0F"/>
    <w:rsid w:val="00833C31"/>
    <w:rsid w:val="008346A4"/>
    <w:rsid w:val="0083490D"/>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15F5"/>
    <w:rsid w:val="00891DB6"/>
    <w:rsid w:val="008925F2"/>
    <w:rsid w:val="008928DD"/>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640E"/>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B8"/>
    <w:rsid w:val="00917638"/>
    <w:rsid w:val="0092027F"/>
    <w:rsid w:val="009210BD"/>
    <w:rsid w:val="00921517"/>
    <w:rsid w:val="009228E6"/>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E0BC8"/>
    <w:rsid w:val="009E0FD7"/>
    <w:rsid w:val="009E24CA"/>
    <w:rsid w:val="009E3339"/>
    <w:rsid w:val="009E3B94"/>
    <w:rsid w:val="009E79BA"/>
    <w:rsid w:val="009F0BCB"/>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A40"/>
    <w:rsid w:val="00A23C99"/>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68C9"/>
    <w:rsid w:val="00A90CED"/>
    <w:rsid w:val="00A91070"/>
    <w:rsid w:val="00A9243E"/>
    <w:rsid w:val="00A93E57"/>
    <w:rsid w:val="00A94A03"/>
    <w:rsid w:val="00A94CCA"/>
    <w:rsid w:val="00A95532"/>
    <w:rsid w:val="00A95E7A"/>
    <w:rsid w:val="00A95F6E"/>
    <w:rsid w:val="00A96198"/>
    <w:rsid w:val="00A96B8C"/>
    <w:rsid w:val="00A977E9"/>
    <w:rsid w:val="00A97BDE"/>
    <w:rsid w:val="00AA0004"/>
    <w:rsid w:val="00AA06B3"/>
    <w:rsid w:val="00AA1271"/>
    <w:rsid w:val="00AA201F"/>
    <w:rsid w:val="00AA39E1"/>
    <w:rsid w:val="00AA5A6F"/>
    <w:rsid w:val="00AA5C63"/>
    <w:rsid w:val="00AA67AF"/>
    <w:rsid w:val="00AA6A11"/>
    <w:rsid w:val="00AA7613"/>
    <w:rsid w:val="00AA7F5B"/>
    <w:rsid w:val="00AB0016"/>
    <w:rsid w:val="00AB0112"/>
    <w:rsid w:val="00AB0331"/>
    <w:rsid w:val="00AB16D5"/>
    <w:rsid w:val="00AB1B34"/>
    <w:rsid w:val="00AB208D"/>
    <w:rsid w:val="00AB2A02"/>
    <w:rsid w:val="00AB380D"/>
    <w:rsid w:val="00AB3A38"/>
    <w:rsid w:val="00AB4038"/>
    <w:rsid w:val="00AB4C89"/>
    <w:rsid w:val="00AB4DD4"/>
    <w:rsid w:val="00AB5A1B"/>
    <w:rsid w:val="00AB7C08"/>
    <w:rsid w:val="00AC09AB"/>
    <w:rsid w:val="00AC0E1D"/>
    <w:rsid w:val="00AC2021"/>
    <w:rsid w:val="00AC2A63"/>
    <w:rsid w:val="00AC3451"/>
    <w:rsid w:val="00AC360F"/>
    <w:rsid w:val="00AC36AB"/>
    <w:rsid w:val="00AC3A7D"/>
    <w:rsid w:val="00AC47F6"/>
    <w:rsid w:val="00AC5E69"/>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58D4"/>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FCB"/>
    <w:rsid w:val="00B42707"/>
    <w:rsid w:val="00B436DC"/>
    <w:rsid w:val="00B45F46"/>
    <w:rsid w:val="00B4706D"/>
    <w:rsid w:val="00B473A1"/>
    <w:rsid w:val="00B47877"/>
    <w:rsid w:val="00B5058F"/>
    <w:rsid w:val="00B512D9"/>
    <w:rsid w:val="00B517B7"/>
    <w:rsid w:val="00B5187B"/>
    <w:rsid w:val="00B518DB"/>
    <w:rsid w:val="00B5204D"/>
    <w:rsid w:val="00B525F6"/>
    <w:rsid w:val="00B52DB3"/>
    <w:rsid w:val="00B52E1E"/>
    <w:rsid w:val="00B53054"/>
    <w:rsid w:val="00B5547F"/>
    <w:rsid w:val="00B55F17"/>
    <w:rsid w:val="00B56882"/>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2949"/>
    <w:rsid w:val="00C42ADD"/>
    <w:rsid w:val="00C4375A"/>
    <w:rsid w:val="00C43C86"/>
    <w:rsid w:val="00C43F25"/>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A42"/>
    <w:rsid w:val="00CC6BC7"/>
    <w:rsid w:val="00CC6F18"/>
    <w:rsid w:val="00CC73A1"/>
    <w:rsid w:val="00CC7FE9"/>
    <w:rsid w:val="00CD075D"/>
    <w:rsid w:val="00CD115D"/>
    <w:rsid w:val="00CD1791"/>
    <w:rsid w:val="00CD17EC"/>
    <w:rsid w:val="00CD1EB7"/>
    <w:rsid w:val="00CD2363"/>
    <w:rsid w:val="00CD31C3"/>
    <w:rsid w:val="00CD3813"/>
    <w:rsid w:val="00CD4033"/>
    <w:rsid w:val="00CD50A3"/>
    <w:rsid w:val="00CD5718"/>
    <w:rsid w:val="00CD64FB"/>
    <w:rsid w:val="00CD7E00"/>
    <w:rsid w:val="00CD7EA2"/>
    <w:rsid w:val="00CE034B"/>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F2D"/>
    <w:rsid w:val="00D06CDF"/>
    <w:rsid w:val="00D0706A"/>
    <w:rsid w:val="00D10E1E"/>
    <w:rsid w:val="00D1115D"/>
    <w:rsid w:val="00D13A2D"/>
    <w:rsid w:val="00D1419C"/>
    <w:rsid w:val="00D14601"/>
    <w:rsid w:val="00D157BB"/>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C0390"/>
    <w:rsid w:val="00DC06D7"/>
    <w:rsid w:val="00DC0BBD"/>
    <w:rsid w:val="00DC1F90"/>
    <w:rsid w:val="00DC25E2"/>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1AC1"/>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E7DB5"/>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D83"/>
    <w:rsid w:val="00E3538E"/>
    <w:rsid w:val="00E3725C"/>
    <w:rsid w:val="00E3794A"/>
    <w:rsid w:val="00E37C07"/>
    <w:rsid w:val="00E4152E"/>
    <w:rsid w:val="00E41750"/>
    <w:rsid w:val="00E4194C"/>
    <w:rsid w:val="00E41AA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5FD8"/>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59F"/>
    <w:rsid w:val="00EA6B17"/>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275"/>
    <w:rsid w:val="00F004D6"/>
    <w:rsid w:val="00F00978"/>
    <w:rsid w:val="00F0110A"/>
    <w:rsid w:val="00F01BE0"/>
    <w:rsid w:val="00F01F4B"/>
    <w:rsid w:val="00F02090"/>
    <w:rsid w:val="00F02984"/>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E80"/>
    <w:rsid w:val="00F473F2"/>
    <w:rsid w:val="00F47E94"/>
    <w:rsid w:val="00F502AC"/>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6EEB"/>
    <w:rsid w:val="00F57E65"/>
    <w:rsid w:val="00F57F7C"/>
    <w:rsid w:val="00F60D45"/>
    <w:rsid w:val="00F6164B"/>
    <w:rsid w:val="00F6358E"/>
    <w:rsid w:val="00F64F8A"/>
    <w:rsid w:val="00F66B83"/>
    <w:rsid w:val="00F70FA0"/>
    <w:rsid w:val="00F7101A"/>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4D1"/>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4DB1"/>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6DCF"/>
    <w:rsid w:val="00FE7356"/>
    <w:rsid w:val="00FE7AED"/>
    <w:rsid w:val="00FF02B1"/>
    <w:rsid w:val="00FF0AA8"/>
    <w:rsid w:val="00FF10F0"/>
    <w:rsid w:val="00FF1434"/>
    <w:rsid w:val="00FF14D5"/>
    <w:rsid w:val="00FF1EA6"/>
    <w:rsid w:val="00FF31AE"/>
    <w:rsid w:val="00FF34D2"/>
    <w:rsid w:val="00FF4AD4"/>
    <w:rsid w:val="00FF50D3"/>
    <w:rsid w:val="00FF5A88"/>
    <w:rsid w:val="00FF6A79"/>
    <w:rsid w:val="021145DE"/>
    <w:rsid w:val="6DF7D6D7"/>
    <w:rsid w:val="7BCF23A9"/>
    <w:rsid w:val="CB640FA8"/>
    <w:rsid w:val="CDF7DF6F"/>
    <w:rsid w:val="F3BFAD23"/>
    <w:rsid w:val="FF5AD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rPr>
      <w:rFonts w:ascii="Times New Roman" w:hAnsi="Times New Roman" w:eastAsia="文星仿宋" w:cs="Times New Roman"/>
      <w:sz w:val="32"/>
      <w:szCs w:val="24"/>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semiHidden/>
    <w:unhideWhenUsed/>
    <w:qFormat/>
    <w:uiPriority w:val="0"/>
    <w:rPr>
      <w:rFonts w:hint="default" w:ascii="Times New Roman" w:hAnsi="Times New Roman" w:cs="Times New Roman"/>
      <w:color w:val="0000FF"/>
      <w:u w:val="single"/>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character" w:customStyle="1" w:styleId="14">
    <w:name w:val="页眉 Char"/>
    <w:basedOn w:val="8"/>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6">
    <w:name w:val="日期 Char"/>
    <w:basedOn w:val="8"/>
    <w:link w:val="3"/>
    <w:semiHidden/>
    <w:qFormat/>
    <w:uiPriority w:val="99"/>
  </w:style>
  <w:style w:type="character" w:customStyle="1" w:styleId="17">
    <w:name w:val="中文报告书样式 Char Char"/>
    <w:link w:val="18"/>
    <w:qFormat/>
    <w:locked/>
    <w:uiPriority w:val="0"/>
    <w:rPr>
      <w:rFonts w:ascii="Times New Roman" w:hAnsi="Times New Roman" w:eastAsia="宋体" w:cs="Times New Roman"/>
      <w:kern w:val="24"/>
      <w:sz w:val="24"/>
      <w:szCs w:val="20"/>
    </w:rPr>
  </w:style>
  <w:style w:type="paragraph" w:customStyle="1" w:styleId="18">
    <w:name w:val="中文报告书样式 Char"/>
    <w:basedOn w:val="1"/>
    <w:link w:val="17"/>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9">
    <w:name w:val="List Paragraph"/>
    <w:basedOn w:val="1"/>
    <w:qFormat/>
    <w:uiPriority w:val="34"/>
    <w:pPr>
      <w:ind w:firstLine="420" w:firstLineChars="200"/>
    </w:pPr>
  </w:style>
  <w:style w:type="character" w:customStyle="1" w:styleId="20">
    <w:name w:val="正文文本 Char"/>
    <w:basedOn w:val="8"/>
    <w:link w:val="2"/>
    <w:qFormat/>
    <w:uiPriority w:val="0"/>
    <w:rPr>
      <w:rFonts w:ascii="Times New Roman" w:hAnsi="Times New Roman" w:eastAsia="文星仿宋" w:cs="Times New Roman"/>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2568</Words>
  <Characters>2827</Characters>
  <Lines>2</Lines>
  <Paragraphs>1</Paragraphs>
  <TotalTime>4</TotalTime>
  <ScaleCrop>false</ScaleCrop>
  <LinksUpToDate>false</LinksUpToDate>
  <CharactersWithSpaces>3006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2020-08-23T01:13:00Z</dcterms:created>
  <dc:creator>环保局文书</dc:creator>
  <cp:lastModifiedBy>zoe</cp:lastModifiedBy>
  <cp:lastPrinted>2020-11-03T21:13:00Z</cp:lastPrinted>
  <dcterms:modified xsi:type="dcterms:W3CDTF">2025-02-06T06:05:58Z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F4BCE92DC7A648BAAC606C18FCDFF023_12</vt:lpwstr>
  </property>
</Properties>
</file>