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540" w:lineRule="exact"/>
        <w:textAlignment w:val="auto"/>
        <w:rPr>
          <w:rStyle w:val="8"/>
          <w:b w:val="0"/>
        </w:rPr>
      </w:pPr>
    </w:p>
    <w:p>
      <w:pPr>
        <w:keepNext w:val="0"/>
        <w:keepLines w:val="0"/>
        <w:pageBreakBefore w:val="0"/>
        <w:kinsoku/>
        <w:wordWrap/>
        <w:overflowPunct/>
        <w:topLinePunct w:val="0"/>
        <w:autoSpaceDE/>
        <w:autoSpaceDN/>
        <w:bidi w:val="0"/>
        <w:snapToGrid/>
        <w:spacing w:line="54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天津经济技术开发区生态环境局关于国网天津东丽公司京滨高铁110千伏本生线电力设施</w:t>
      </w:r>
    </w:p>
    <w:p>
      <w:pPr>
        <w:keepNext w:val="0"/>
        <w:keepLines w:val="0"/>
        <w:pageBreakBefore w:val="0"/>
        <w:kinsoku/>
        <w:wordWrap/>
        <w:overflowPunct/>
        <w:topLinePunct w:val="0"/>
        <w:autoSpaceDE/>
        <w:autoSpaceDN/>
        <w:bidi w:val="0"/>
        <w:snapToGrid/>
        <w:spacing w:line="54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迁改工程环境影响报告表的批复</w:t>
      </w:r>
    </w:p>
    <w:p>
      <w:pPr>
        <w:keepNext w:val="0"/>
        <w:keepLines w:val="0"/>
        <w:pageBreakBefore w:val="0"/>
        <w:kinsoku/>
        <w:wordWrap/>
        <w:overflowPunct/>
        <w:topLinePunct w:val="0"/>
        <w:autoSpaceDE/>
        <w:autoSpaceDN/>
        <w:bidi w:val="0"/>
        <w:snapToGrid/>
        <w:spacing w:line="540" w:lineRule="exact"/>
        <w:jc w:val="center"/>
        <w:textAlignment w:val="auto"/>
        <w:rPr>
          <w:b/>
          <w:sz w:val="32"/>
          <w:szCs w:val="32"/>
        </w:rPr>
      </w:pPr>
    </w:p>
    <w:p>
      <w:pPr>
        <w:keepNext w:val="0"/>
        <w:keepLines w:val="0"/>
        <w:pageBreakBefore w:val="0"/>
        <w:kinsoku/>
        <w:wordWrap/>
        <w:overflowPunct/>
        <w:topLinePunct w:val="0"/>
        <w:autoSpaceDE/>
        <w:autoSpaceDN/>
        <w:bidi w:val="0"/>
        <w:snapToGrid/>
        <w:spacing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国网天津市电力公司东丽供电分公司：</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你公司所报《国网天津东丽公司京滨高铁110千伏本生线电力设施迁改工程环境影响报告表》收悉，经审核后批复如下：</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西区东金路进行“京滨高铁110千伏本生线电力设施迁改工程”建设。该项目对东金路东侧的现有110kV本生线电力设施进行改建，主要工程内容包括：拆除部分现有电力设施和线路，新建110kV输电线路596米，其中新建单回110kV电缆359米，新建单回110kV架空线路237米（导线利旧），新建双回电缆终端铁塔1基、耐张铁塔1基、独立电缆平台1座、电缆工井2座、余缆沟槽1座、电缆竖井1座。该项目总投资780万元，环保投资40万元，约占投资总额的5.13%。</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二、根据建设项目环境影响评价政府信息公开有关要求，你公司已完成了该项目环评报告表信息的全本公示，并提交公示情况的说明报告。我局将该项目环评报告表全本信息在我局政务网上进行了公示。</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应严格落实《天津市大气污染防治条例》《天津市建设工程文明施工管理规定》《天津市重污染天气应急预案》等有关规定，落实“六个百分之百”和重污染天气应急响应等大气环境保护措施；严格落实报告表中提出的各项水污染防治措施，废水严禁排入附近地表水体或平地漫流；采取隔声减振措施，合理安排施工作业时间，最大程度降低施工噪声对周围环境的影响；废导线、金具、铁塔构架等交由物资回收部门回收利用，泥浆钻渣、弃渣、淤泥等按主管部门要求运至指定的消纳场所处置；充分利用现有条件，减少临时用地面积，对临时性占用的土地，在项目竣工前应恢复或优化原使用功能。</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（二）根据环评报告分析，该项目施工期、运营期均不涉及占用、穿（跨）越生态保护红线。</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（三）根据环评报告分析，该项目运营期无废气、废水及固体废物产生。</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（四）该项目输电线路沿线声环境质量执行《声环境质量标准》（GB3096-2008）2类标准。</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（五）该项目电磁辐射主要来自架空输电线路，其工频电场强度、工频磁感应强度执行《电磁环境控制限值》（GB8702-2014）相应限值。</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四、该项目无新增污染物排放总量指标。</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五、根据《建设项目环境保护管理条例》，你公司应严格按照《建设项目竣工环境保护验收技术规范 输变电》要求进行自主验收，编制验收报告；同时应当依法向社会公开验收报告。</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六、该项目报告表经批准后，项目的性质、规模、地点</w:t>
      </w:r>
      <w:r>
        <w:rPr>
          <w:rFonts w:hint="eastAsia" w:ascii="仿宋_GB2312" w:hAnsi="仿宋" w:eastAsia="仿宋_GB2312"/>
          <w:sz w:val="32"/>
          <w:szCs w:val="32"/>
          <w:lang w:val="en-US" w:eastAsia="zh-CN"/>
        </w:rPr>
        <w:t>，</w:t>
      </w:r>
      <w:r>
        <w:rPr>
          <w:rFonts w:hint="eastAsia" w:ascii="仿宋_GB2312" w:hAnsi="仿宋" w:eastAsia="仿宋_GB2312"/>
          <w:sz w:val="32"/>
          <w:szCs w:val="32"/>
        </w:rPr>
        <w:t>或者防治污染的措施发生重大变动的，应当重新报批该项目的环境影响报告。自报告表批复文件批准之日起超过5年，方决定该项目开工建设的，报告表应当报我局重新审核。</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bookmarkStart w:id="0" w:name="_GoBack"/>
      <w:bookmarkEnd w:id="0"/>
    </w:p>
    <w:p>
      <w:pPr>
        <w:keepNext w:val="0"/>
        <w:keepLines w:val="0"/>
        <w:pageBreakBefore w:val="0"/>
        <w:widowControl/>
        <w:kinsoku/>
        <w:overflowPunct/>
        <w:topLinePunct w:val="0"/>
        <w:bidi w:val="0"/>
        <w:snapToGrid/>
        <w:spacing w:line="588" w:lineRule="exact"/>
        <w:ind w:firstLine="560" w:firstLineChars="200"/>
        <w:contextualSpacing/>
        <w:jc w:val="right"/>
        <w:textAlignment w:val="auto"/>
        <w:rPr>
          <w:rFonts w:hint="eastAsia" w:ascii="仿宋_GB2312" w:eastAsia="仿宋_GB2312"/>
          <w:sz w:val="32"/>
          <w:szCs w:val="32"/>
        </w:rPr>
      </w:pPr>
      <w:r>
        <w:rPr>
          <w:rFonts w:hint="eastAsia" w:ascii="仿宋_GB2312" w:eastAsia="仿宋_GB2312"/>
          <w:sz w:val="28"/>
          <w:szCs w:val="28"/>
          <w:u w:val="none"/>
        </w:rPr>
        <w:t>天津经济技术开发区生态环境局</w:t>
      </w:r>
    </w:p>
    <w:p>
      <w:pPr>
        <w:keepNext w:val="0"/>
        <w:keepLines w:val="0"/>
        <w:pageBreakBefore w:val="0"/>
        <w:kinsoku/>
        <w:wordWrap w:val="0"/>
        <w:overflowPunct/>
        <w:topLinePunct w:val="0"/>
        <w:autoSpaceDE/>
        <w:autoSpaceDN/>
        <w:bidi w:val="0"/>
        <w:snapToGrid/>
        <w:spacing w:line="540"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2024年5月2</w:t>
      </w:r>
      <w:r>
        <w:rPr>
          <w:rFonts w:hint="eastAsia" w:ascii="仿宋_GB2312" w:hAnsi="仿宋" w:eastAsia="仿宋_GB2312"/>
          <w:sz w:val="32"/>
          <w:szCs w:val="32"/>
          <w:lang w:val="en-US" w:eastAsia="zh-CN"/>
        </w:rPr>
        <w:t>2</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sz w:val="32"/>
          <w:szCs w:val="32"/>
        </w:rPr>
      </w:pPr>
    </w:p>
    <w:p>
      <w:pPr>
        <w:widowControl/>
        <w:spacing w:line="460" w:lineRule="exact"/>
        <w:outlineLvl w:val="0"/>
        <w:rPr>
          <w:rFonts w:ascii="仿宋_GB2312" w:hAnsi="Tahoma" w:eastAsia="仿宋_GB2312" w:cs="Tahoma"/>
          <w:color w:val="000000"/>
          <w:sz w:val="32"/>
          <w:szCs w:val="32"/>
          <w:u w:val="thick"/>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765499"/>
    <w:rsid w:val="37F10E9B"/>
    <w:rsid w:val="3FEECFA3"/>
    <w:rsid w:val="6FFD3F7B"/>
    <w:rsid w:val="7AF6F996"/>
    <w:rsid w:val="7FE380AC"/>
    <w:rsid w:val="CBBF3012"/>
    <w:rsid w:val="D7EE8C27"/>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1233</Words>
  <Characters>1300</Characters>
  <Lines>2</Lines>
  <Paragraphs>1</Paragraphs>
  <TotalTime>0</TotalTime>
  <ScaleCrop>false</ScaleCrop>
  <LinksUpToDate>false</LinksUpToDate>
  <CharactersWithSpaces>1574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2024-05-28T07:31:49Z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6662C4D8CE1C462083087DD951EB3034_12</vt:lpwstr>
  </property>
</Properties>
</file>