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spacing w:line="52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天津经济技术开发区生态环境局关于国网天津东丽供电分公司110千伏生三线、空慧三煤气支、生众三煤气支线电力迁改工程（经开区</w:t>
      </w:r>
    </w:p>
    <w:p>
      <w:pPr>
        <w:keepNext w:val="0"/>
        <w:keepLines w:val="0"/>
        <w:pageBreakBefore w:val="0"/>
        <w:kinsoku/>
        <w:overflowPunct/>
        <w:topLinePunct w:val="0"/>
        <w:autoSpaceDE/>
        <w:autoSpaceDN/>
        <w:bidi w:val="0"/>
        <w:snapToGrid/>
        <w:spacing w:line="52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西区）环境影响报告表的批复</w:t>
      </w:r>
    </w:p>
    <w:p>
      <w:pPr>
        <w:keepNext w:val="0"/>
        <w:keepLines w:val="0"/>
        <w:pageBreakBefore w:val="0"/>
        <w:kinsoku/>
        <w:overflowPunct/>
        <w:topLinePunct w:val="0"/>
        <w:autoSpaceDE/>
        <w:autoSpaceDN/>
        <w:bidi w:val="0"/>
        <w:snapToGrid/>
        <w:spacing w:line="520" w:lineRule="exact"/>
        <w:jc w:val="center"/>
        <w:textAlignment w:val="auto"/>
        <w:outlineLvl w:val="0"/>
        <w:rPr>
          <w:rFonts w:hint="eastAsia" w:ascii="方正小标宋简体" w:eastAsia="方正小标宋简体"/>
          <w:bCs/>
          <w:sz w:val="44"/>
          <w:szCs w:val="44"/>
        </w:rPr>
      </w:pPr>
    </w:p>
    <w:p>
      <w:pPr>
        <w:keepNext w:val="0"/>
        <w:keepLines w:val="0"/>
        <w:pageBreakBefore w:val="0"/>
        <w:kinsoku/>
        <w:overflowPunct/>
        <w:topLinePunct w:val="0"/>
        <w:autoSpaceDE/>
        <w:autoSpaceDN/>
        <w:bidi w:val="0"/>
        <w:snapToGrid/>
        <w:spacing w:line="520" w:lineRule="exact"/>
        <w:textAlignment w:val="auto"/>
        <w:rPr>
          <w:rFonts w:hint="eastAsia" w:ascii="仿宋_GB2312" w:hAnsi="仿宋" w:eastAsia="仿宋_GB2312"/>
          <w:sz w:val="32"/>
          <w:szCs w:val="32"/>
        </w:rPr>
      </w:pPr>
      <w:r>
        <w:rPr>
          <w:rFonts w:hint="eastAsia" w:ascii="仿宋_GB2312" w:hAnsi="仿宋" w:eastAsia="仿宋_GB2312"/>
          <w:sz w:val="32"/>
          <w:szCs w:val="32"/>
        </w:rPr>
        <w:t>国网天津市电力公司东丽供电分公司：</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你公司所报《国网天津东丽供电分公司110千伏生三线、空慧三煤气支、生众三煤气支线电力迁改工程（经开区西区）环境影响报告表》收悉，经审核后批复如下：</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西区泰民路与环泰南街交口进行“110千伏生三线、空慧三煤气支、生众三煤气支线电力迁改工程（经开区西区）”建设。该项目对泰民路与环泰南街交口现有110kV生三线、空慧三煤气支、生众三煤气支线电力设施进行改建，主要工程内容包括：拆除部分现有电力设施和线路，新建110kV输电线路1411米，其中新建110kV单回电缆402米，新建110kV单回架空线路1009米。该项目总投资1731万元，环保投资35万元，约占投资总额的2.02%。</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二、根据建设项目环境影响评价政府信息公开有关要求，你公司已完成了该项目环评报告表信息的全本公示，并提交公示情况的说明报告。我局将该项目环评报告表全本信息在我局政务网上进行了公示。</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应严格落实《天津市大气污染防治条例》《天津市建设工程文明施工管理规定》《天津市重污染天气应急预案》等有关规定，落实“六个百分之百”和重污染天气应急响应等大气环境保护措施；严格落实报告表中提出的各项水污染防治措施，废水严禁排入附近地表水体或平地漫流；采取隔声减振措施，合理安排施工作业时间，最大程度降低施工噪声对周围环境的影响；废导线、金具、铁塔构架等交由物资回收部门回收利用，泥浆钻渣、弃渣、淤泥等按主管部门要求运至指定的消纳场所处置；充分利用现有条件，减少临时用地面积，对临时性占用的土地，在项目竣工前应恢复或优化原使用功能。</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（二）根据环评报告分析，该项目施工期、运营期均不涉及占用、穿（跨）越生态保护红线。</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（三）根据环评报告分析，该项目运营期无废气、废水及固体废物产生。</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（四）该项目输电线路沿线声环境质量执行《声环境质量标准》（GB3096-2008）3类标准。</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（五）该项目电磁辐射主要来自架空输电线路，其工频电场强度、工频磁感应强度执行《电磁环境控制限值》（GB8702-2014）相应限值。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四、该项目无新增污染物排放总量指标。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五、根据《建设项目环境保护管理条例》，你公司应严格按照《建设项目竣工环境保护验收技术规范 输变电》要求进行自主验收，编制验收报告；同时应当依法向社会公开验收报告。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lang w:eastAsia="zh-CN"/>
        </w:rPr>
      </w:pP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lang w:eastAsia="zh-CN"/>
        </w:rPr>
      </w:pP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lang w:eastAsia="zh-CN"/>
        </w:rPr>
      </w:pP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lang w:eastAsia="zh-CN"/>
        </w:rPr>
      </w:pPr>
      <w:bookmarkStart w:id="0" w:name="_GoBack"/>
      <w:bookmarkEnd w:id="0"/>
    </w:p>
    <w:p>
      <w:pPr>
        <w:keepNext w:val="0"/>
        <w:keepLines w:val="0"/>
        <w:pageBreakBefore w:val="0"/>
        <w:widowControl/>
        <w:kinsoku/>
        <w:overflowPunct/>
        <w:topLinePunct w:val="0"/>
        <w:bidi w:val="0"/>
        <w:snapToGrid/>
        <w:spacing w:line="588" w:lineRule="exact"/>
        <w:ind w:firstLine="560" w:firstLineChars="200"/>
        <w:contextualSpacing/>
        <w:jc w:val="right"/>
        <w:textAlignment w:val="auto"/>
        <w:rPr>
          <w:rFonts w:hint="eastAsia" w:ascii="仿宋_GB2312" w:eastAsia="仿宋_GB2312"/>
          <w:sz w:val="32"/>
          <w:szCs w:val="32"/>
        </w:rPr>
      </w:pPr>
      <w:r>
        <w:rPr>
          <w:rFonts w:hint="eastAsia" w:ascii="仿宋_GB2312" w:eastAsia="仿宋_GB2312"/>
          <w:sz w:val="28"/>
          <w:szCs w:val="28"/>
          <w:u w:val="none"/>
        </w:rPr>
        <w:t>天津经济技术开发区生态环境局</w:t>
      </w:r>
    </w:p>
    <w:p>
      <w:pPr>
        <w:keepNext w:val="0"/>
        <w:keepLines w:val="0"/>
        <w:pageBreakBefore w:val="0"/>
        <w:kinsoku/>
        <w:wordWrap w:val="0"/>
        <w:overflowPunct/>
        <w:topLinePunct w:val="0"/>
        <w:autoSpaceDE/>
        <w:autoSpaceDN/>
        <w:bidi w:val="0"/>
        <w:snapToGrid/>
        <w:spacing w:line="52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2024年5月2</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pPr>
        <w:keepNext w:val="0"/>
        <w:keepLines w:val="0"/>
        <w:pageBreakBefore w:val="0"/>
        <w:kinsoku/>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forms" w:enforcement="0"/>
  <w:defaultTabStop w:val="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1DD7A764"/>
    <w:rsid w:val="37F10E9B"/>
    <w:rsid w:val="5F45A186"/>
    <w:rsid w:val="6FFD3F7B"/>
    <w:rsid w:val="77983812"/>
    <w:rsid w:val="7AF6F996"/>
    <w:rsid w:val="CBBF3012"/>
    <w:rsid w:val="EF6B5B84"/>
    <w:rsid w:val="FBFF6B9B"/>
    <w:rsid w:val="FDFF3A71"/>
    <w:rsid w:val="FF37DD14"/>
    <w:rsid w:val="FFFB3D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1257</Words>
  <Characters>1327</Characters>
  <Lines>2</Lines>
  <Paragraphs>1</Paragraphs>
  <TotalTime>0</TotalTime>
  <ScaleCrop>false</ScaleCrop>
  <LinksUpToDate>false</LinksUpToDate>
  <CharactersWithSpaces>1600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2024-05-28T07:31:24Z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5CB6EFB51BBE4E58A876C2A4C3870A3E_12</vt:lpwstr>
  </property>
</Properties>
</file>