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ascii="方正小标宋简体" w:hAnsi="方正小标宋简体" w:eastAsia="方正小标宋简体" w:cs="Times New Roman"/>
          <w:b w:val="0"/>
          <w:sz w:val="44"/>
        </w:rPr>
      </w:pPr>
      <w:bookmarkStart w:id="0" w:name="_GoBack"/>
      <w:r>
        <w:rPr>
          <w:rFonts w:ascii="方正小标宋简体" w:hAnsi="方正小标宋简体" w:eastAsia="方正小标宋简体" w:cs="Times New Roman"/>
          <w:b w:val="0"/>
          <w:sz w:val="44"/>
        </w:rPr>
        <w:t>天津经济技术开发区生态环境服务第三方机构自主信息公开20</w:t>
      </w:r>
      <w:r>
        <w:rPr>
          <w:rFonts w:hint="eastAsia" w:ascii="方正小标宋简体" w:hAnsi="方正小标宋简体" w:eastAsia="方正小标宋简体" w:cs="Times New Roman"/>
          <w:b w:val="0"/>
          <w:sz w:val="44"/>
        </w:rPr>
        <w:t>23</w:t>
      </w:r>
      <w:r>
        <w:rPr>
          <w:rFonts w:ascii="方正小标宋简体" w:hAnsi="方正小标宋简体" w:eastAsia="方正小标宋简体" w:cs="Times New Roman"/>
          <w:b w:val="0"/>
          <w:sz w:val="44"/>
        </w:rPr>
        <w:t>年度报告</w:t>
      </w:r>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cs="Times New Roman"/>
        </w:rPr>
      </w:pPr>
      <w:r>
        <w:rPr>
          <w:rFonts w:hint="eastAsia" w:cs="Times New Roman"/>
        </w:rPr>
        <w:t>根据《关于深入推进园区环境污染第三方治理的通知》（发改办环资〔2019〕785号），落实加强第三方环境服务机构信息公开，建立第三方环境服务企业评价和诚信机制，天津经开区生态环境局充分发挥政府整合资源优势，以“深化企业服务、加强第三方机构监管、提升服务质量”为原则，依托泰达智慧环保平台，开发设计了生态环境第三方服务机构自主信息公开平台。该平台由第三方服务机构自主公开运营信息及在天津经开区范围内的服务项目信息，2022年2月上线以来，已运行近两年，得到了第三方服务机构和企业的认可。</w:t>
      </w:r>
      <w:r>
        <w:rPr>
          <w:rFonts w:hint="eastAsia"/>
        </w:rPr>
        <w:t>现将平台2023年运行情况进行总结分析，形成以下报告。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rPr>
      </w:pPr>
      <w:r>
        <w:rPr>
          <w:rFonts w:hint="eastAsia" w:ascii="黑体" w:hAnsi="黑体" w:eastAsia="黑体" w:cs="黑体"/>
          <w:b w:val="0"/>
          <w:bCs/>
        </w:rPr>
        <w:t>一、总体情况</w:t>
      </w:r>
    </w:p>
    <w:p>
      <w:pPr>
        <w:pStyle w:val="11"/>
        <w:keepNext w:val="0"/>
        <w:keepLines w:val="0"/>
        <w:pageBreakBefore w:val="0"/>
        <w:widowControl w:val="0"/>
        <w:numPr>
          <w:ilvl w:val="0"/>
          <w:numId w:val="1"/>
        </w:numPr>
        <w:tabs>
          <w:tab w:val="left" w:pos="993"/>
        </w:tabs>
        <w:kinsoku/>
        <w:wordWrap/>
        <w:overflowPunct/>
        <w:topLinePunct w:val="0"/>
        <w:autoSpaceDE/>
        <w:autoSpaceDN/>
        <w:bidi w:val="0"/>
        <w:adjustRightInd/>
        <w:snapToGrid/>
        <w:spacing w:line="600" w:lineRule="exact"/>
        <w:ind w:left="0" w:firstLine="643"/>
        <w:textAlignment w:val="auto"/>
        <w:outlineLvl w:val="1"/>
        <w:rPr>
          <w:rFonts w:cs="Times New Roman"/>
          <w:b/>
        </w:rPr>
      </w:pPr>
      <w:r>
        <w:rPr>
          <w:rFonts w:hint="eastAsia" w:cs="Times New Roman"/>
          <w:b/>
        </w:rPr>
        <w:t>注册</w:t>
      </w:r>
      <w:r>
        <w:rPr>
          <w:rFonts w:cs="Times New Roman"/>
          <w:b/>
        </w:rPr>
        <w:t>情况、地区分布情况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cs="Times New Roman"/>
        </w:rPr>
      </w:pPr>
      <w:r>
        <w:rPr>
          <w:rFonts w:hint="eastAsia" w:cs="Times New Roman"/>
        </w:rPr>
        <w:t>截至2023年12月底，平台累计注册环境服务第三方机构191家企业，</w:t>
      </w:r>
      <w:r>
        <w:rPr>
          <w:rFonts w:hint="eastAsia"/>
        </w:rPr>
        <w:t>较去年新增11家企业</w:t>
      </w:r>
      <w:r>
        <w:rPr>
          <w:rFonts w:hint="eastAsia" w:cs="Times New Roman"/>
        </w:rPr>
        <w:t>，主要分布在天津地区，其中注册在天津范围的企业167家，占比87%。在天津经开区设立办公场地的企业共有45家，区内常驻服务人员2252人。</w:t>
      </w:r>
    </w:p>
    <w:p>
      <w:pPr>
        <w:jc w:val="center"/>
        <w:rPr>
          <w:rFonts w:eastAsia="黑体" w:cs="Times New Roman"/>
          <w:sz w:val="28"/>
        </w:rPr>
      </w:pPr>
      <w:r>
        <w:drawing>
          <wp:inline distT="0" distB="0" distL="0" distR="0">
            <wp:extent cx="4635500" cy="2162175"/>
            <wp:effectExtent l="0" t="0" r="1270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 xml:space="preserve"> </w:t>
      </w:r>
    </w:p>
    <w:p>
      <w:pPr>
        <w:jc w:val="center"/>
        <w:outlineLvl w:val="5"/>
        <w:rPr>
          <w:rFonts w:eastAsia="黑体" w:cs="Times New Roman"/>
          <w:sz w:val="28"/>
        </w:rPr>
      </w:pPr>
      <w:r>
        <w:rPr>
          <w:rFonts w:eastAsia="黑体" w:cs="Times New Roman"/>
          <w:sz w:val="28"/>
        </w:rPr>
        <w:t>图1环境服务第三方机构地区分布情况图</w:t>
      </w:r>
    </w:p>
    <w:p>
      <w:pPr>
        <w:pStyle w:val="11"/>
        <w:numPr>
          <w:ilvl w:val="0"/>
          <w:numId w:val="1"/>
        </w:numPr>
        <w:tabs>
          <w:tab w:val="left" w:pos="993"/>
        </w:tabs>
        <w:ind w:left="0" w:firstLine="643"/>
        <w:outlineLvl w:val="1"/>
        <w:rPr>
          <w:rFonts w:cs="Times New Roman"/>
          <w:b/>
        </w:rPr>
      </w:pPr>
      <w:r>
        <w:rPr>
          <w:rFonts w:hint="eastAsia" w:cs="Times New Roman"/>
          <w:b/>
        </w:rPr>
        <w:t>经营类型分布情况</w:t>
      </w:r>
    </w:p>
    <w:p>
      <w:pPr>
        <w:ind w:firstLine="640" w:firstLineChars="200"/>
        <w:rPr>
          <w:rFonts w:cs="Times New Roman"/>
        </w:rPr>
      </w:pPr>
      <w:r>
        <w:rPr>
          <w:rFonts w:hint="eastAsia" w:cs="Times New Roman"/>
        </w:rPr>
        <w:t>平台注册的环境服务第三方机构共有153家填报经营类型，主要涉及环评机构、废水治理、废气治理、固废处置、环保咨询、在线运维、环境监测、低碳服务、节能改造/新能源建设以及其他类型10大类。其中涉及环保咨询类型的机构最多，共72家，占比47%。</w:t>
      </w:r>
    </w:p>
    <w:p>
      <w:pPr>
        <w:pStyle w:val="11"/>
        <w:tabs>
          <w:tab w:val="left" w:pos="993"/>
        </w:tabs>
        <w:ind w:firstLine="0" w:firstLineChars="0"/>
        <w:jc w:val="center"/>
        <w:rPr>
          <w:rFonts w:cs="Times New Roman"/>
        </w:rPr>
      </w:pPr>
      <w:r>
        <w:drawing>
          <wp:inline distT="0" distB="0" distL="0" distR="0">
            <wp:extent cx="5144135" cy="3180080"/>
            <wp:effectExtent l="0" t="0" r="18415" b="1270"/>
            <wp:docPr id="172100907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outlineLvl w:val="5"/>
        <w:rPr>
          <w:rFonts w:cs="Times New Roman"/>
        </w:rPr>
      </w:pPr>
      <w:r>
        <w:rPr>
          <w:rFonts w:eastAsia="黑体" w:cs="Times New Roman"/>
          <w:sz w:val="28"/>
        </w:rPr>
        <w:t>图</w:t>
      </w:r>
      <w:r>
        <w:rPr>
          <w:rFonts w:hint="eastAsia" w:eastAsia="黑体" w:cs="Times New Roman"/>
          <w:sz w:val="28"/>
        </w:rPr>
        <w:t>2</w:t>
      </w:r>
      <w:r>
        <w:rPr>
          <w:rFonts w:eastAsia="黑体" w:cs="Times New Roman"/>
          <w:sz w:val="28"/>
        </w:rPr>
        <w:t>环境服务第三方机构</w:t>
      </w:r>
      <w:r>
        <w:rPr>
          <w:rFonts w:hint="eastAsia" w:eastAsia="黑体" w:cs="Times New Roman"/>
          <w:sz w:val="28"/>
        </w:rPr>
        <w:t>经营</w:t>
      </w:r>
      <w:r>
        <w:rPr>
          <w:rFonts w:eastAsia="黑体" w:cs="Times New Roman"/>
          <w:sz w:val="28"/>
        </w:rPr>
        <w:t>类型分布情况图</w:t>
      </w:r>
    </w:p>
    <w:p>
      <w:pPr>
        <w:pStyle w:val="11"/>
        <w:numPr>
          <w:ilvl w:val="0"/>
          <w:numId w:val="1"/>
        </w:numPr>
        <w:tabs>
          <w:tab w:val="left" w:pos="993"/>
        </w:tabs>
        <w:ind w:left="0" w:firstLine="643"/>
        <w:outlineLvl w:val="1"/>
        <w:rPr>
          <w:rFonts w:cs="Times New Roman"/>
          <w:b/>
        </w:rPr>
      </w:pPr>
      <w:r>
        <w:rPr>
          <w:rFonts w:hint="eastAsia" w:cs="Times New Roman"/>
          <w:b/>
        </w:rPr>
        <w:t>项目业绩分布情况</w:t>
      </w:r>
    </w:p>
    <w:p>
      <w:pPr>
        <w:ind w:firstLine="640" w:firstLineChars="200"/>
        <w:rPr>
          <w:rFonts w:cs="Times New Roman"/>
          <w:highlight w:val="yellow"/>
        </w:rPr>
      </w:pPr>
      <w:r>
        <w:rPr>
          <w:rFonts w:cs="Times New Roman"/>
        </w:rPr>
        <w:t>截至</w:t>
      </w:r>
      <w:r>
        <w:rPr>
          <w:rFonts w:hint="eastAsia" w:cs="Times New Roman"/>
        </w:rPr>
        <w:t>2023年底，平台累计公开项目业绩1533项，主要为近三年服务项目（1161项目），服务区内企业</w:t>
      </w:r>
      <w:r>
        <w:rPr>
          <w:rFonts w:cs="Times New Roman"/>
        </w:rPr>
        <w:t>534</w:t>
      </w:r>
      <w:r>
        <w:rPr>
          <w:rFonts w:hint="eastAsia" w:cs="Times New Roman"/>
        </w:rPr>
        <w:t>家，其中已完成项目1414项，进行中项目119项。近三年各类型项目中，以环境监测（检测）项目为主，占总项目数的</w:t>
      </w:r>
      <w:r>
        <w:rPr>
          <w:rFonts w:cs="Times New Roman"/>
        </w:rPr>
        <w:t>51</w:t>
      </w:r>
      <w:r>
        <w:rPr>
          <w:rFonts w:hint="eastAsia" w:cs="Times New Roman"/>
        </w:rPr>
        <w:t>%，主要与该类型项目服务周期较短、企业需求量大有关；其次为环保咨询、环评服务和在线运维，占比分别为</w:t>
      </w:r>
      <w:r>
        <w:rPr>
          <w:rFonts w:cs="Times New Roman"/>
        </w:rPr>
        <w:t>16</w:t>
      </w:r>
      <w:r>
        <w:rPr>
          <w:rFonts w:hint="eastAsia" w:cs="Times New Roman"/>
        </w:rPr>
        <w:t>%、1</w:t>
      </w:r>
      <w:r>
        <w:rPr>
          <w:rFonts w:cs="Times New Roman"/>
        </w:rPr>
        <w:t>3</w:t>
      </w:r>
      <w:r>
        <w:rPr>
          <w:rFonts w:hint="eastAsia" w:cs="Times New Roman"/>
        </w:rPr>
        <w:t>%和1</w:t>
      </w:r>
      <w:r>
        <w:rPr>
          <w:rFonts w:cs="Times New Roman"/>
        </w:rPr>
        <w:t>3</w:t>
      </w:r>
      <w:r>
        <w:rPr>
          <w:rFonts w:hint="eastAsia" w:cs="Times New Roman"/>
        </w:rPr>
        <w:t>%。</w:t>
      </w:r>
      <w:r>
        <w:rPr>
          <w:rFonts w:hint="eastAsia"/>
        </w:rPr>
        <w:t>2022年项目业绩公开</w:t>
      </w:r>
      <w:r>
        <w:t>371</w:t>
      </w:r>
      <w:r>
        <w:rPr>
          <w:rFonts w:hint="eastAsia"/>
        </w:rPr>
        <w:t>项，2023年项目业绩公开</w:t>
      </w:r>
      <w:r>
        <w:t>30</w:t>
      </w:r>
      <w:r>
        <w:rPr>
          <w:rFonts w:hint="eastAsia"/>
        </w:rPr>
        <w:t>0项，较去年下降</w:t>
      </w:r>
      <w:r>
        <w:t>19</w:t>
      </w:r>
      <w:r>
        <w:rPr>
          <w:rFonts w:hint="eastAsia"/>
        </w:rPr>
        <w:t>%。</w:t>
      </w:r>
    </w:p>
    <w:p>
      <w:pPr>
        <w:pStyle w:val="11"/>
        <w:tabs>
          <w:tab w:val="left" w:pos="993"/>
        </w:tabs>
        <w:ind w:firstLine="0" w:firstLineChars="0"/>
        <w:jc w:val="center"/>
        <w:rPr>
          <w:rFonts w:cs="Times New Roman"/>
        </w:rPr>
      </w:pPr>
      <w:r>
        <w:drawing>
          <wp:inline distT="0" distB="0" distL="0" distR="0">
            <wp:extent cx="5274310" cy="3143250"/>
            <wp:effectExtent l="4445" t="4445" r="9525" b="6985"/>
            <wp:docPr id="68782588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outlineLvl w:val="5"/>
        <w:rPr>
          <w:rFonts w:cs="Times New Roman"/>
        </w:rPr>
      </w:pPr>
      <w:r>
        <w:rPr>
          <w:rFonts w:eastAsia="黑体" w:cs="Times New Roman"/>
          <w:sz w:val="28"/>
        </w:rPr>
        <w:t>图</w:t>
      </w:r>
      <w:r>
        <w:rPr>
          <w:rFonts w:hint="eastAsia" w:eastAsia="黑体" w:cs="Times New Roman"/>
          <w:sz w:val="28"/>
        </w:rPr>
        <w:t>3各类型</w:t>
      </w:r>
      <w:r>
        <w:rPr>
          <w:rFonts w:eastAsia="黑体" w:cs="Times New Roman"/>
          <w:sz w:val="28"/>
        </w:rPr>
        <w:t>项目业绩公开分布情况图</w:t>
      </w:r>
    </w:p>
    <w:p>
      <w:pPr>
        <w:ind w:firstLine="640" w:firstLineChars="200"/>
        <w:outlineLvl w:val="0"/>
        <w:rPr>
          <w:rFonts w:hint="eastAsia" w:ascii="黑体" w:hAnsi="黑体" w:eastAsia="黑体" w:cs="黑体"/>
          <w:b w:val="0"/>
          <w:bCs/>
        </w:rPr>
      </w:pPr>
      <w:r>
        <w:rPr>
          <w:rFonts w:hint="eastAsia" w:ascii="黑体" w:hAnsi="黑体" w:eastAsia="黑体" w:cs="黑体"/>
          <w:b w:val="0"/>
          <w:bCs/>
        </w:rPr>
        <w:t>二、平台使用情况</w:t>
      </w:r>
    </w:p>
    <w:p>
      <w:pPr>
        <w:pStyle w:val="11"/>
        <w:numPr>
          <w:ilvl w:val="0"/>
          <w:numId w:val="2"/>
        </w:numPr>
        <w:tabs>
          <w:tab w:val="left" w:pos="993"/>
        </w:tabs>
        <w:ind w:firstLineChars="0"/>
        <w:outlineLvl w:val="1"/>
        <w:rPr>
          <w:rFonts w:cs="Times New Roman"/>
          <w:b/>
        </w:rPr>
      </w:pPr>
      <w:r>
        <w:rPr>
          <w:rFonts w:hint="eastAsia" w:cs="Times New Roman"/>
          <w:b/>
        </w:rPr>
        <w:t>平台各端口使用总体情况</w:t>
      </w:r>
    </w:p>
    <w:p>
      <w:pPr>
        <w:ind w:firstLine="640" w:firstLineChars="200"/>
        <w:rPr>
          <w:rFonts w:ascii="仿宋_GB2312" w:hAnsi="仿宋_GB2312"/>
          <w:bCs/>
          <w:szCs w:val="32"/>
        </w:rPr>
      </w:pPr>
      <w:r>
        <w:rPr>
          <w:rFonts w:cs="Times New Roman"/>
        </w:rPr>
        <w:t>截至</w:t>
      </w:r>
      <w:r>
        <w:rPr>
          <w:rFonts w:hint="eastAsia" w:cs="Times New Roman"/>
        </w:rPr>
        <w:t>2023年底，近一年平台共操作21625次，其中以企业需求为主，企业端操作次数占比为48%，其次为机构端，操作次数占比42%。</w:t>
      </w:r>
    </w:p>
    <w:p>
      <w:pPr>
        <w:pStyle w:val="11"/>
        <w:tabs>
          <w:tab w:val="left" w:pos="993"/>
        </w:tabs>
        <w:ind w:left="-3" w:leftChars="-1" w:firstLine="0" w:firstLineChars="0"/>
        <w:jc w:val="center"/>
        <w:rPr>
          <w:rFonts w:ascii="仿宋_GB2312" w:hAnsi="仿宋_GB2312"/>
          <w:bCs/>
          <w:szCs w:val="32"/>
        </w:rPr>
      </w:pPr>
      <w:r>
        <w:drawing>
          <wp:inline distT="0" distB="0" distL="0" distR="0">
            <wp:extent cx="4182110" cy="2114550"/>
            <wp:effectExtent l="4445" t="5080" r="1968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outlineLvl w:val="5"/>
        <w:rPr>
          <w:rFonts w:eastAsia="黑体" w:cs="Times New Roman"/>
          <w:sz w:val="28"/>
        </w:rPr>
      </w:pPr>
      <w:r>
        <w:rPr>
          <w:rFonts w:hint="eastAsia" w:eastAsia="黑体" w:cs="Times New Roman"/>
          <w:sz w:val="28"/>
        </w:rPr>
        <w:t>图4 2023年平台日志各端口操作分布图</w:t>
      </w:r>
    </w:p>
    <w:p>
      <w:pPr>
        <w:pStyle w:val="11"/>
        <w:numPr>
          <w:ilvl w:val="0"/>
          <w:numId w:val="2"/>
        </w:numPr>
        <w:tabs>
          <w:tab w:val="left" w:pos="993"/>
        </w:tabs>
        <w:ind w:left="0" w:firstLine="643"/>
        <w:outlineLvl w:val="1"/>
        <w:rPr>
          <w:rFonts w:cs="Times New Roman"/>
          <w:b/>
        </w:rPr>
      </w:pPr>
      <w:r>
        <w:rPr>
          <w:rFonts w:hint="eastAsia" w:cs="Times New Roman"/>
          <w:b/>
        </w:rPr>
        <w:t>平台各模块使用情况</w:t>
      </w:r>
    </w:p>
    <w:p>
      <w:pPr>
        <w:ind w:firstLine="640" w:firstLineChars="200"/>
        <w:rPr>
          <w:rFonts w:cs="Times New Roman"/>
        </w:rPr>
      </w:pPr>
      <w:r>
        <w:rPr>
          <w:rFonts w:hint="eastAsia" w:cs="Times New Roman"/>
        </w:rPr>
        <w:t>信息公开平台设计包括机构概览、机构列表、经营类型、项目业绩、信息公开、企业评价、综合评价、文件等模块，其中操作次数较高的模块主要有机构列表、项目业绩、综合评价等模块，企业端用户更加关注机构列表、我的项目和综合评价，为企业选择第三方机构提供参考数据。</w:t>
      </w:r>
    </w:p>
    <w:p>
      <w:pPr>
        <w:jc w:val="center"/>
        <w:rPr>
          <w:rFonts w:cs="Times New Roman"/>
        </w:rPr>
      </w:pPr>
      <w:r>
        <w:drawing>
          <wp:inline distT="0" distB="0" distL="0" distR="0">
            <wp:extent cx="4972050" cy="2816225"/>
            <wp:effectExtent l="4445" t="4445" r="6985" b="13970"/>
            <wp:docPr id="161849869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outlineLvl w:val="5"/>
        <w:rPr>
          <w:rFonts w:eastAsia="黑体" w:cs="Times New Roman"/>
          <w:sz w:val="28"/>
        </w:rPr>
      </w:pPr>
      <w:r>
        <w:rPr>
          <w:rFonts w:hint="eastAsia" w:eastAsia="黑体" w:cs="Times New Roman"/>
          <w:sz w:val="28"/>
        </w:rPr>
        <w:t>图5 2023年平台日志各模块操作次数分布图</w:t>
      </w:r>
    </w:p>
    <w:p>
      <w:pPr>
        <w:pStyle w:val="11"/>
        <w:numPr>
          <w:ilvl w:val="0"/>
          <w:numId w:val="2"/>
        </w:numPr>
        <w:tabs>
          <w:tab w:val="left" w:pos="993"/>
        </w:tabs>
        <w:ind w:left="0" w:firstLine="643"/>
        <w:outlineLvl w:val="1"/>
        <w:rPr>
          <w:rFonts w:cs="Times New Roman"/>
          <w:b/>
        </w:rPr>
      </w:pPr>
      <w:r>
        <w:rPr>
          <w:rFonts w:hint="eastAsia" w:cs="Times New Roman"/>
          <w:b/>
        </w:rPr>
        <w:t>平台各操作行为统计情况</w:t>
      </w:r>
    </w:p>
    <w:p>
      <w:pPr>
        <w:ind w:firstLine="640" w:firstLineChars="200"/>
        <w:rPr>
          <w:rFonts w:cs="Times New Roman"/>
        </w:rPr>
      </w:pPr>
      <w:r>
        <w:rPr>
          <w:rFonts w:hint="eastAsia" w:cs="Times New Roman"/>
        </w:rPr>
        <w:t>各端口在平台中各种操作行为保持高度一致性，主要以查看和下载为主。鉴于信息平台的数据主要以机构端填报为主，因此除了查看、下载之外，机构端的操作行为还包括新增、上传、编辑等行为；由于管理端主要以数据质量把控和数据分析为主，除查看外，主要以下载行为主。</w:t>
      </w:r>
    </w:p>
    <w:p>
      <w:pPr>
        <w:jc w:val="center"/>
        <w:rPr>
          <w:rFonts w:cs="Times New Roman"/>
        </w:rPr>
      </w:pPr>
      <w:r>
        <w:drawing>
          <wp:inline distT="0" distB="0" distL="0" distR="0">
            <wp:extent cx="5266055" cy="2972435"/>
            <wp:effectExtent l="0" t="0" r="10795" b="18415"/>
            <wp:docPr id="37062708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outlineLvl w:val="5"/>
        <w:rPr>
          <w:rFonts w:eastAsia="黑体" w:cs="Times New Roman"/>
          <w:sz w:val="28"/>
        </w:rPr>
      </w:pPr>
      <w:r>
        <w:rPr>
          <w:rFonts w:hint="eastAsia" w:eastAsia="黑体" w:cs="Times New Roman"/>
          <w:sz w:val="28"/>
        </w:rPr>
        <w:t>图6 2023年各月平台操作行为频次分布图</w:t>
      </w:r>
    </w:p>
    <w:p>
      <w:pPr>
        <w:pStyle w:val="11"/>
        <w:numPr>
          <w:ilvl w:val="0"/>
          <w:numId w:val="2"/>
        </w:numPr>
        <w:tabs>
          <w:tab w:val="left" w:pos="993"/>
        </w:tabs>
        <w:ind w:left="0" w:firstLine="643"/>
        <w:outlineLvl w:val="1"/>
        <w:rPr>
          <w:rFonts w:cs="Times New Roman"/>
          <w:b/>
        </w:rPr>
      </w:pPr>
      <w:r>
        <w:rPr>
          <w:rFonts w:hint="eastAsia" w:cs="Times New Roman"/>
          <w:b/>
        </w:rPr>
        <w:t>平台各月份操作行为统计情况</w:t>
      </w:r>
    </w:p>
    <w:p>
      <w:pPr>
        <w:ind w:firstLine="640" w:firstLineChars="200"/>
        <w:rPr>
          <w:rFonts w:cs="Times New Roman"/>
        </w:rPr>
      </w:pPr>
      <w:r>
        <w:rPr>
          <w:rFonts w:hint="eastAsia" w:cs="Times New Roman"/>
        </w:rPr>
        <w:t>2023年1月—11月各端口在平台的操作行为频次各月趋势基本保持一致。12月第三方机构对全年信息进行更新，操作频次呈现大幅增加。</w:t>
      </w:r>
    </w:p>
    <w:p>
      <w:pPr>
        <w:pStyle w:val="11"/>
        <w:tabs>
          <w:tab w:val="left" w:pos="993"/>
        </w:tabs>
        <w:ind w:firstLine="0" w:firstLineChars="0"/>
        <w:jc w:val="center"/>
        <w:rPr>
          <w:rFonts w:eastAsia="黑体" w:cs="Times New Roman"/>
          <w:sz w:val="28"/>
        </w:rPr>
      </w:pPr>
      <w:r>
        <w:drawing>
          <wp:inline distT="0" distB="0" distL="114300" distR="114300">
            <wp:extent cx="5274310" cy="2649855"/>
            <wp:effectExtent l="0" t="0" r="2540" b="17145"/>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outlineLvl w:val="5"/>
        <w:rPr>
          <w:rFonts w:eastAsia="黑体" w:cs="Times New Roman"/>
          <w:sz w:val="28"/>
        </w:rPr>
      </w:pPr>
      <w:r>
        <w:rPr>
          <w:rFonts w:hint="eastAsia" w:eastAsia="黑体" w:cs="Times New Roman"/>
          <w:sz w:val="28"/>
        </w:rPr>
        <w:t>图</w:t>
      </w:r>
      <w:r>
        <w:rPr>
          <w:rFonts w:eastAsia="黑体" w:cs="Times New Roman"/>
          <w:sz w:val="28"/>
        </w:rPr>
        <w:t>7</w:t>
      </w:r>
      <w:r>
        <w:rPr>
          <w:rFonts w:hint="eastAsia" w:eastAsia="黑体" w:cs="Times New Roman"/>
          <w:sz w:val="28"/>
        </w:rPr>
        <w:t xml:space="preserve"> 2023年各月平台操作行为频次分布图</w:t>
      </w:r>
    </w:p>
    <w:p>
      <w:pPr>
        <w:ind w:firstLine="640" w:firstLineChars="200"/>
        <w:outlineLvl w:val="0"/>
        <w:rPr>
          <w:rFonts w:hint="eastAsia" w:ascii="黑体" w:hAnsi="黑体" w:eastAsia="黑体" w:cs="黑体"/>
          <w:b w:val="0"/>
          <w:bCs/>
        </w:rPr>
      </w:pPr>
      <w:r>
        <w:rPr>
          <w:rFonts w:hint="eastAsia" w:ascii="黑体" w:hAnsi="黑体" w:eastAsia="黑体" w:cs="黑体"/>
          <w:b w:val="0"/>
          <w:bCs/>
        </w:rPr>
        <w:t>三、综合评价情况</w:t>
      </w:r>
    </w:p>
    <w:p>
      <w:pPr>
        <w:ind w:firstLine="640" w:firstLineChars="200"/>
        <w:rPr>
          <w:rFonts w:hint="default" w:eastAsia="仿宋_GB2312" w:cs="Times New Roman"/>
          <w:lang w:val="en-US" w:eastAsia="zh-CN"/>
        </w:rPr>
      </w:pPr>
      <w:r>
        <w:rPr>
          <w:rFonts w:hint="eastAsia" w:cs="Times New Roman"/>
        </w:rPr>
        <w:t>2022年6月发布了《天津经济技术开发区第三方环境服务机构综合评价方案（试行）》，评价方法主要根据第三方环境服务机构在平台公示内容的完整度、人员状况、项目业绩、服务质量等内容分为三部分，主要包括客观评价、企业评价和管理评价，默认权重分别为40%、30%、30%</w:t>
      </w:r>
      <w:r>
        <w:rPr>
          <w:rFonts w:hint="eastAsia" w:cs="Times New Roman"/>
          <w:lang w:eastAsia="zh-CN"/>
        </w:rPr>
        <w:t>。</w:t>
      </w:r>
      <w:r>
        <w:rPr>
          <w:rFonts w:hint="eastAsia" w:cs="Times New Roman"/>
          <w:lang w:val="en-US" w:eastAsia="zh-CN"/>
        </w:rPr>
        <w:t>相关评价结果在平台动态发布。</w:t>
      </w:r>
    </w:p>
    <w:bookmarkEnd w:id="0"/>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B1467F-8EED-4E11-A113-CD92F66F08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EBE3F70-E2FA-4DE6-9456-7363E6FBECDD}"/>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A026D3E0-7FA4-4E03-BAD9-D89926E1801D}"/>
  </w:font>
  <w:font w:name="华文细黑">
    <w:panose1 w:val="02010600040101010101"/>
    <w:charset w:val="86"/>
    <w:family w:val="swiss"/>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833516"/>
    </w:sdtPr>
    <w:sdtContent>
      <w:p>
        <w:pPr>
          <w:pStyle w:val="4"/>
        </w:pPr>
        <w:r>
          <w:fldChar w:fldCharType="begin"/>
        </w:r>
        <w:r>
          <w:instrText xml:space="preserve">PAGE   \* MERGEFORMAT</w:instrText>
        </w:r>
        <w:r>
          <w:fldChar w:fldCharType="separate"/>
        </w:r>
        <w:r>
          <w:rPr>
            <w:lang w:val="zh-CN"/>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366D2"/>
    <w:multiLevelType w:val="multilevel"/>
    <w:tmpl w:val="252366D2"/>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36C3A64"/>
    <w:multiLevelType w:val="multilevel"/>
    <w:tmpl w:val="736C3A64"/>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MDMxNDczYjFlMDhkMzA4MjE1MmY4ODJmYzYzMGIifQ=="/>
  </w:docVars>
  <w:rsids>
    <w:rsidRoot w:val="00EA5C64"/>
    <w:rsid w:val="00005452"/>
    <w:rsid w:val="000377B5"/>
    <w:rsid w:val="00057372"/>
    <w:rsid w:val="00057D0B"/>
    <w:rsid w:val="000F502D"/>
    <w:rsid w:val="0011242B"/>
    <w:rsid w:val="00151C77"/>
    <w:rsid w:val="00152235"/>
    <w:rsid w:val="001B5B67"/>
    <w:rsid w:val="001C17F3"/>
    <w:rsid w:val="001F3372"/>
    <w:rsid w:val="00215376"/>
    <w:rsid w:val="00274D2F"/>
    <w:rsid w:val="002754D3"/>
    <w:rsid w:val="002A12E0"/>
    <w:rsid w:val="002B764F"/>
    <w:rsid w:val="0038785D"/>
    <w:rsid w:val="003F010A"/>
    <w:rsid w:val="004662F7"/>
    <w:rsid w:val="00482385"/>
    <w:rsid w:val="004918C0"/>
    <w:rsid w:val="004D222C"/>
    <w:rsid w:val="004F380E"/>
    <w:rsid w:val="00534FEF"/>
    <w:rsid w:val="00535025"/>
    <w:rsid w:val="005447AE"/>
    <w:rsid w:val="00573167"/>
    <w:rsid w:val="005C1970"/>
    <w:rsid w:val="005D0089"/>
    <w:rsid w:val="005D5C69"/>
    <w:rsid w:val="00600CFF"/>
    <w:rsid w:val="006012AD"/>
    <w:rsid w:val="006252F1"/>
    <w:rsid w:val="006306EA"/>
    <w:rsid w:val="00637DD6"/>
    <w:rsid w:val="00640706"/>
    <w:rsid w:val="006904CE"/>
    <w:rsid w:val="0069052D"/>
    <w:rsid w:val="006B6A49"/>
    <w:rsid w:val="006D0434"/>
    <w:rsid w:val="007809D7"/>
    <w:rsid w:val="007A08DD"/>
    <w:rsid w:val="007A1102"/>
    <w:rsid w:val="007C31E2"/>
    <w:rsid w:val="007C3243"/>
    <w:rsid w:val="007C7E7F"/>
    <w:rsid w:val="007E1A02"/>
    <w:rsid w:val="007F2980"/>
    <w:rsid w:val="008022E2"/>
    <w:rsid w:val="00895B5D"/>
    <w:rsid w:val="008A3A6D"/>
    <w:rsid w:val="008D4E1C"/>
    <w:rsid w:val="008F4975"/>
    <w:rsid w:val="00933D25"/>
    <w:rsid w:val="00950006"/>
    <w:rsid w:val="00962A78"/>
    <w:rsid w:val="009B416D"/>
    <w:rsid w:val="009C4130"/>
    <w:rsid w:val="009C7CA7"/>
    <w:rsid w:val="009D492A"/>
    <w:rsid w:val="009F61C5"/>
    <w:rsid w:val="00A10D34"/>
    <w:rsid w:val="00A71CCA"/>
    <w:rsid w:val="00A76B5D"/>
    <w:rsid w:val="00A90F37"/>
    <w:rsid w:val="00A923E0"/>
    <w:rsid w:val="00A9257E"/>
    <w:rsid w:val="00AD3ED5"/>
    <w:rsid w:val="00AD4514"/>
    <w:rsid w:val="00AE4383"/>
    <w:rsid w:val="00AF2B82"/>
    <w:rsid w:val="00B03A94"/>
    <w:rsid w:val="00B06836"/>
    <w:rsid w:val="00B25BF0"/>
    <w:rsid w:val="00B41003"/>
    <w:rsid w:val="00B61AA2"/>
    <w:rsid w:val="00B86D8D"/>
    <w:rsid w:val="00B91CD7"/>
    <w:rsid w:val="00BA7539"/>
    <w:rsid w:val="00C16868"/>
    <w:rsid w:val="00C5335D"/>
    <w:rsid w:val="00C60976"/>
    <w:rsid w:val="00CA04C5"/>
    <w:rsid w:val="00CF15F8"/>
    <w:rsid w:val="00D27510"/>
    <w:rsid w:val="00D33F0A"/>
    <w:rsid w:val="00D35EFF"/>
    <w:rsid w:val="00D445BF"/>
    <w:rsid w:val="00D75B0D"/>
    <w:rsid w:val="00DB5B6B"/>
    <w:rsid w:val="00DB6079"/>
    <w:rsid w:val="00DE6E86"/>
    <w:rsid w:val="00E77AB2"/>
    <w:rsid w:val="00E828D1"/>
    <w:rsid w:val="00E869BD"/>
    <w:rsid w:val="00EA133F"/>
    <w:rsid w:val="00EA5C64"/>
    <w:rsid w:val="00ED7CF3"/>
    <w:rsid w:val="00F1557D"/>
    <w:rsid w:val="00F51921"/>
    <w:rsid w:val="00F867F0"/>
    <w:rsid w:val="00FB46D2"/>
    <w:rsid w:val="02B14B0A"/>
    <w:rsid w:val="08BE5B95"/>
    <w:rsid w:val="139F43E0"/>
    <w:rsid w:val="19715A3A"/>
    <w:rsid w:val="2234537C"/>
    <w:rsid w:val="26FB67A0"/>
    <w:rsid w:val="277A1B5E"/>
    <w:rsid w:val="2865114C"/>
    <w:rsid w:val="2D895C4C"/>
    <w:rsid w:val="31E5776A"/>
    <w:rsid w:val="3B9D77CA"/>
    <w:rsid w:val="405B6EA5"/>
    <w:rsid w:val="4CCE3E8B"/>
    <w:rsid w:val="555B64D8"/>
    <w:rsid w:val="5A2F776C"/>
    <w:rsid w:val="5E586664"/>
    <w:rsid w:val="6674152E"/>
    <w:rsid w:val="69782E08"/>
    <w:rsid w:val="72C614F3"/>
    <w:rsid w:val="734A79B4"/>
    <w:rsid w:val="747B5A9E"/>
    <w:rsid w:val="7A3A2FB6"/>
    <w:rsid w:val="7A5B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仿宋_GB2312" w:cs="宋体"/>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semiHidden/>
    <w:unhideWhenUsed/>
    <w:qFormat/>
    <w:uiPriority w:val="99"/>
    <w:pPr>
      <w:ind w:left="100" w:leftChars="2500"/>
    </w:pPr>
  </w:style>
  <w:style w:type="paragraph" w:styleId="3">
    <w:name w:val="Balloon Text"/>
    <w:basedOn w:val="1"/>
    <w:link w:val="10"/>
    <w:autoRedefine/>
    <w:semiHidden/>
    <w:unhideWhenUsed/>
    <w:qFormat/>
    <w:uiPriority w:val="99"/>
    <w:pPr>
      <w:spacing w:line="240" w:lineRule="auto"/>
    </w:pPr>
    <w:rPr>
      <w:sz w:val="18"/>
      <w:szCs w:val="18"/>
    </w:rPr>
  </w:style>
  <w:style w:type="paragraph" w:styleId="4">
    <w:name w:val="footer"/>
    <w:basedOn w:val="1"/>
    <w:link w:val="14"/>
    <w:autoRedefine/>
    <w:unhideWhenUsed/>
    <w:qFormat/>
    <w:uiPriority w:val="99"/>
    <w:pPr>
      <w:tabs>
        <w:tab w:val="center" w:pos="4153"/>
        <w:tab w:val="right" w:pos="8306"/>
      </w:tabs>
      <w:snapToGrid w:val="0"/>
      <w:spacing w:line="240" w:lineRule="auto"/>
      <w:jc w:val="center"/>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5"/>
    <w:autoRedefine/>
    <w:qFormat/>
    <w:uiPriority w:val="10"/>
    <w:pPr>
      <w:spacing w:before="240" w:after="60"/>
      <w:jc w:val="center"/>
      <w:outlineLvl w:val="0"/>
    </w:pPr>
    <w:rPr>
      <w:rFonts w:eastAsia="宋体" w:asciiTheme="majorHAnsi" w:hAnsiTheme="majorHAnsi" w:cstheme="majorBidi"/>
      <w:b/>
      <w:bCs/>
      <w:szCs w:val="32"/>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批注框文本 Char"/>
    <w:basedOn w:val="8"/>
    <w:link w:val="3"/>
    <w:autoRedefine/>
    <w:semiHidden/>
    <w:qFormat/>
    <w:uiPriority w:val="99"/>
    <w:rPr>
      <w:rFonts w:ascii="Times New Roman" w:hAnsi="Times New Roman" w:eastAsia="仿宋_GB2312" w:cs="宋体"/>
      <w:sz w:val="18"/>
      <w:szCs w:val="18"/>
    </w:rPr>
  </w:style>
  <w:style w:type="paragraph" w:styleId="11">
    <w:name w:val="List Paragraph"/>
    <w:basedOn w:val="1"/>
    <w:autoRedefine/>
    <w:qFormat/>
    <w:uiPriority w:val="34"/>
    <w:pPr>
      <w:ind w:firstLine="420" w:firstLineChars="200"/>
    </w:pPr>
  </w:style>
  <w:style w:type="character" w:customStyle="1" w:styleId="12">
    <w:name w:val="日期 Char"/>
    <w:basedOn w:val="8"/>
    <w:link w:val="2"/>
    <w:autoRedefine/>
    <w:semiHidden/>
    <w:qFormat/>
    <w:uiPriority w:val="99"/>
    <w:rPr>
      <w:rFonts w:ascii="Times New Roman" w:hAnsi="Times New Roman" w:eastAsia="仿宋_GB2312" w:cs="宋体"/>
      <w:sz w:val="32"/>
    </w:rPr>
  </w:style>
  <w:style w:type="character" w:customStyle="1" w:styleId="13">
    <w:name w:val="页眉 Char"/>
    <w:basedOn w:val="8"/>
    <w:link w:val="5"/>
    <w:autoRedefine/>
    <w:qFormat/>
    <w:uiPriority w:val="99"/>
    <w:rPr>
      <w:rFonts w:ascii="Times New Roman" w:hAnsi="Times New Roman" w:eastAsia="仿宋_GB2312" w:cs="宋体"/>
      <w:sz w:val="18"/>
      <w:szCs w:val="18"/>
    </w:rPr>
  </w:style>
  <w:style w:type="character" w:customStyle="1" w:styleId="14">
    <w:name w:val="页脚 Char"/>
    <w:basedOn w:val="8"/>
    <w:link w:val="4"/>
    <w:autoRedefine/>
    <w:uiPriority w:val="99"/>
    <w:rPr>
      <w:rFonts w:eastAsia="仿宋_GB2312" w:cs="宋体"/>
      <w:kern w:val="2"/>
      <w:sz w:val="18"/>
      <w:szCs w:val="18"/>
    </w:rPr>
  </w:style>
  <w:style w:type="character" w:customStyle="1" w:styleId="15">
    <w:name w:val="标题 Char"/>
    <w:basedOn w:val="8"/>
    <w:link w:val="6"/>
    <w:autoRedefine/>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E:\01&#22253;&#21306;&#32511;&#33394;&#21457;&#23637;\12-&#22253;&#21306;&#31532;&#19977;&#26041;&#27835;&#29702;&#35797;&#28857;\&#31532;&#19977;&#26041;&#26426;&#26500;&#20449;&#24687;&#24179;&#21488;\20221230&#29983;&#24577;&#29615;&#22659;&#31532;&#19977;&#26041;&#26381;&#21153;&#26426;&#26500;&#33258;&#20027;&#20449;&#24687;&#20844;&#24320;&#24179;&#21488;&#26426;&#26500;&#21015;&#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1532;&#19977;&#26041;&#20449;&#24687;&#20844;&#24320;\20231231&#29983;&#24577;&#29615;&#22659;&#31532;&#19977;&#26041;&#26381;&#21153;&#26426;&#26500;&#33258;&#20027;&#20449;&#24687;&#20844;&#24320;&#24179;&#21488;&#20998;&#26512;&#32467;&#265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1532;&#19977;&#26041;&#20449;&#24687;&#20844;&#24320;\20231231&#29983;&#24577;&#29615;&#22659;&#31532;&#19977;&#26041;&#26381;&#21153;&#26426;&#26500;&#33258;&#20027;&#20449;&#24687;&#20844;&#24320;&#24179;&#21488;&#20998;&#26512;&#32467;&#265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01&#22253;&#21306;&#32511;&#33394;&#21457;&#23637;\12-&#22253;&#21306;&#31532;&#19977;&#26041;&#27835;&#29702;&#35797;&#28857;\&#31532;&#19977;&#26041;&#26426;&#26500;&#20449;&#24687;&#24179;&#21488;\20221230&#29983;&#24577;&#29615;&#22659;&#31532;&#19977;&#26041;&#26381;&#21153;&#26426;&#26500;&#33258;&#20027;&#20449;&#24687;&#20844;&#24320;&#24179;&#21488;&#26426;&#26500;&#21015;&#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1532;&#19977;&#26041;&#20449;&#24687;&#20844;&#24320;\20231231&#29983;&#24577;&#29615;&#22659;&#31532;&#19977;&#26041;&#26381;&#21153;&#26426;&#26500;&#33258;&#20027;&#20449;&#24687;&#20844;&#24320;&#24179;&#21488;&#20998;&#26512;&#32467;&#265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31532;&#19977;&#26041;&#20449;&#24687;&#20844;&#24320;\20231231&#29983;&#24577;&#29615;&#22659;&#31532;&#19977;&#26041;&#26381;&#21153;&#26426;&#26500;&#33258;&#20027;&#20449;&#24687;&#20844;&#24320;&#24179;&#21488;&#20998;&#26512;&#32467;&#265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M%20YAO\Documents\WeChat%20Files\yukoyao8811\FileStorage\File\2024-01\20231231&#29983;&#24577;&#29615;&#22659;&#31532;&#19977;&#26041;&#26381;&#21153;&#26426;&#26500;&#33258;&#20027;&#20449;&#24687;&#20844;&#24320;&#24179;&#21488;&#20998;&#26512;&#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项目列表!$E$1114</c:f>
              <c:strCache>
                <c:ptCount val="1"/>
                <c:pt idx="0">
                  <c:v>企业家数</c:v>
                </c:pt>
              </c:strCache>
            </c:strRef>
          </c:tx>
          <c:invertIfNegative val="0"/>
          <c:dLbls>
            <c:dLbl>
              <c:idx val="0"/>
              <c:layout>
                <c:manualLayout>
                  <c:x val="0.0166666666666667"/>
                  <c:y val="-0.0185185185185185"/>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r>
                      <a:rPr lang="en-US" altLang="zh-CN"/>
                      <a:t>167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4444444444444"/>
                  <c:y val="-0.01388888888888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4216133942162"/>
                  <c:y val="-0.00925925925925914"/>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r>
                      <a:rPr lang="en-US" altLang="zh-CN"/>
                      <a:t>14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项目列表!$D$1115:$D$1118</c:f>
              <c:strCache>
                <c:ptCount val="4"/>
                <c:pt idx="0">
                  <c:v>天津</c:v>
                </c:pt>
                <c:pt idx="1">
                  <c:v>河北</c:v>
                </c:pt>
                <c:pt idx="2">
                  <c:v>北京</c:v>
                </c:pt>
                <c:pt idx="3">
                  <c:v>其他</c:v>
                </c:pt>
              </c:strCache>
            </c:strRef>
          </c:cat>
          <c:val>
            <c:numRef>
              <c:f>项目列表!$E$1115:$E$1118</c:f>
              <c:numCache>
                <c:formatCode>General</c:formatCode>
                <c:ptCount val="4"/>
                <c:pt idx="0">
                  <c:v>157</c:v>
                </c:pt>
                <c:pt idx="1">
                  <c:v>8</c:v>
                </c:pt>
                <c:pt idx="2">
                  <c:v>2</c:v>
                </c:pt>
                <c:pt idx="3">
                  <c:v>13</c:v>
                </c:pt>
              </c:numCache>
            </c:numRef>
          </c:val>
        </c:ser>
        <c:dLbls>
          <c:showLegendKey val="0"/>
          <c:showVal val="0"/>
          <c:showCatName val="0"/>
          <c:showSerName val="0"/>
          <c:showPercent val="0"/>
          <c:showBubbleSize val="0"/>
        </c:dLbls>
        <c:gapWidth val="150"/>
        <c:axId val="238881792"/>
        <c:axId val="40417536"/>
      </c:barChart>
      <c:catAx>
        <c:axId val="23888179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华文细黑" panose="02010600040101010101" pitchFamily="2" charset="-122"/>
                <a:ea typeface="华文细黑" panose="02010600040101010101" pitchFamily="2" charset="-122"/>
                <a:cs typeface="+mn-cs"/>
              </a:defRPr>
            </a:pPr>
          </a:p>
        </c:txPr>
        <c:crossAx val="40417536"/>
        <c:crosses val="autoZero"/>
        <c:auto val="1"/>
        <c:lblAlgn val="ctr"/>
        <c:lblOffset val="100"/>
        <c:noMultiLvlLbl val="0"/>
      </c:catAx>
      <c:valAx>
        <c:axId val="40417536"/>
        <c:scaling>
          <c:orientation val="minMax"/>
        </c:scaling>
        <c:delete val="0"/>
        <c:axPos val="l"/>
        <c:numFmt formatCode="General" sourceLinked="1"/>
        <c:majorTickMark val="in"/>
        <c:minorTickMark val="none"/>
        <c:tickLblPos val="nextTo"/>
        <c:txPr>
          <a:bodyPr rot="-60000000" spcFirstLastPara="0" vertOverflow="ellipsis" vert="horz" wrap="square"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p>
        </c:txPr>
        <c:crossAx val="238881792"/>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100" b="1"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r>
              <a:rPr lang="zh-CN" altLang="en-US" sz="1100">
                <a:latin typeface="仿宋_GB2312" panose="02010609030101010101" pitchFamily="3" charset="-122"/>
                <a:ea typeface="仿宋_GB2312" panose="02010609030101010101" pitchFamily="3" charset="-122"/>
              </a:rPr>
              <a:t>企业数量（家）</a:t>
            </a:r>
            <a:endParaRPr lang="zh-CN" altLang="en-US" sz="1100">
              <a:latin typeface="仿宋_GB2312" panose="02010609030101010101" pitchFamily="3" charset="-122"/>
              <a:ea typeface="仿宋_GB2312" panose="02010609030101010101" pitchFamily="3" charset="-122"/>
            </a:endParaRPr>
          </a:p>
        </c:rich>
      </c:tx>
      <c:layout>
        <c:manualLayout>
          <c:xMode val="edge"/>
          <c:yMode val="edge"/>
          <c:x val="0.753968548648121"/>
          <c:y val="0.0758785942492013"/>
        </c:manualLayout>
      </c:layout>
      <c:overlay val="0"/>
      <c:spPr>
        <a:noFill/>
        <a:ln>
          <a:noFill/>
        </a:ln>
        <a:effectLst/>
      </c:spPr>
    </c:title>
    <c:autoTitleDeleted val="0"/>
    <c:plotArea>
      <c:layout>
        <c:manualLayout>
          <c:layoutTarget val="inner"/>
          <c:xMode val="edge"/>
          <c:yMode val="edge"/>
          <c:x val="0.0640189264084244"/>
          <c:y val="0.0690894568690096"/>
          <c:w val="0.908823932497884"/>
          <c:h val="0.596178398027723"/>
        </c:manualLayout>
      </c:layout>
      <c:barChart>
        <c:barDir val="col"/>
        <c:grouping val="clustered"/>
        <c:varyColors val="0"/>
        <c:ser>
          <c:idx val="0"/>
          <c:order val="0"/>
          <c:tx>
            <c:strRef>
              <c:f>机构列表!$C$196</c:f>
              <c:strCache>
                <c:ptCount val="1"/>
                <c:pt idx="0">
                  <c:v>企业数量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5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机构列表!$B$197:$B$206</c:f>
              <c:strCache>
                <c:ptCount val="10"/>
                <c:pt idx="0">
                  <c:v>环评机构</c:v>
                </c:pt>
                <c:pt idx="1">
                  <c:v>废气治理</c:v>
                </c:pt>
                <c:pt idx="2">
                  <c:v>废水治理</c:v>
                </c:pt>
                <c:pt idx="3">
                  <c:v>固废处置</c:v>
                </c:pt>
                <c:pt idx="4">
                  <c:v>环保咨询</c:v>
                </c:pt>
                <c:pt idx="5">
                  <c:v>环境监测</c:v>
                </c:pt>
                <c:pt idx="6">
                  <c:v>低碳服务</c:v>
                </c:pt>
                <c:pt idx="7">
                  <c:v>节能改造、新能源服务</c:v>
                </c:pt>
                <c:pt idx="8">
                  <c:v>其它类型</c:v>
                </c:pt>
                <c:pt idx="9">
                  <c:v>在线运维</c:v>
                </c:pt>
              </c:strCache>
            </c:strRef>
          </c:cat>
          <c:val>
            <c:numRef>
              <c:f>机构列表!$C$197:$C$206</c:f>
              <c:numCache>
                <c:formatCode>General</c:formatCode>
                <c:ptCount val="10"/>
                <c:pt idx="0">
                  <c:v>28</c:v>
                </c:pt>
                <c:pt idx="1">
                  <c:v>46</c:v>
                </c:pt>
                <c:pt idx="2">
                  <c:v>37</c:v>
                </c:pt>
                <c:pt idx="3">
                  <c:v>13</c:v>
                </c:pt>
                <c:pt idx="4">
                  <c:v>72</c:v>
                </c:pt>
                <c:pt idx="5">
                  <c:v>49</c:v>
                </c:pt>
                <c:pt idx="6">
                  <c:v>28</c:v>
                </c:pt>
                <c:pt idx="7">
                  <c:v>15</c:v>
                </c:pt>
                <c:pt idx="8">
                  <c:v>31</c:v>
                </c:pt>
                <c:pt idx="9">
                  <c:v>42</c:v>
                </c:pt>
              </c:numCache>
            </c:numRef>
          </c:val>
        </c:ser>
        <c:dLbls>
          <c:showLegendKey val="0"/>
          <c:showVal val="0"/>
          <c:showCatName val="0"/>
          <c:showSerName val="0"/>
          <c:showPercent val="0"/>
          <c:showBubbleSize val="0"/>
        </c:dLbls>
        <c:gapWidth val="150"/>
        <c:axId val="40127104"/>
        <c:axId val="40132992"/>
      </c:barChart>
      <c:catAx>
        <c:axId val="40127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p>
        </c:txPr>
        <c:crossAx val="40132992"/>
        <c:crosses val="autoZero"/>
        <c:auto val="1"/>
        <c:lblAlgn val="ctr"/>
        <c:lblOffset val="100"/>
        <c:noMultiLvlLbl val="0"/>
      </c:catAx>
      <c:valAx>
        <c:axId val="401329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4012710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58797104232596"/>
          <c:y val="0.0978863451677081"/>
        </c:manualLayout>
      </c:layout>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p>
      </c:txPr>
    </c:title>
    <c:autoTitleDeleted val="0"/>
    <c:plotArea>
      <c:layout>
        <c:manualLayout>
          <c:layoutTarget val="inner"/>
          <c:xMode val="edge"/>
          <c:yMode val="edge"/>
          <c:x val="0.0661312113292307"/>
          <c:y val="0.0841704262056211"/>
          <c:w val="0.910538990155393"/>
          <c:h val="0.576489758175246"/>
        </c:manualLayout>
      </c:layout>
      <c:barChart>
        <c:barDir val="col"/>
        <c:grouping val="clustered"/>
        <c:varyColors val="0"/>
        <c:ser>
          <c:idx val="0"/>
          <c:order val="0"/>
          <c:tx>
            <c:strRef>
              <c:f>项目数量（个）</c:f>
              <c:strCache>
                <c:ptCount val="1"/>
                <c:pt idx="0">
                  <c:v>项目数量（个）</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5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项目列表!$B$1541:$B$1550</c:f>
              <c:strCache>
                <c:ptCount val="10"/>
                <c:pt idx="0">
                  <c:v>低碳服务</c:v>
                </c:pt>
                <c:pt idx="1">
                  <c:v>废气治理</c:v>
                </c:pt>
                <c:pt idx="2">
                  <c:v>废水治理</c:v>
                </c:pt>
                <c:pt idx="3">
                  <c:v>固废处置</c:v>
                </c:pt>
                <c:pt idx="4">
                  <c:v>环保咨询</c:v>
                </c:pt>
                <c:pt idx="5">
                  <c:v>环境监测</c:v>
                </c:pt>
                <c:pt idx="6">
                  <c:v>环评机构</c:v>
                </c:pt>
                <c:pt idx="7">
                  <c:v>节能改造、新能源服务</c:v>
                </c:pt>
                <c:pt idx="8">
                  <c:v>其它类型</c:v>
                </c:pt>
                <c:pt idx="9">
                  <c:v>在线运维</c:v>
                </c:pt>
              </c:strCache>
            </c:strRef>
          </c:cat>
          <c:val>
            <c:numRef>
              <c:f>项目列表!$J$1554:$J$1563</c:f>
              <c:numCache>
                <c:formatCode>General</c:formatCode>
                <c:ptCount val="10"/>
                <c:pt idx="0">
                  <c:v>20</c:v>
                </c:pt>
                <c:pt idx="1">
                  <c:v>22</c:v>
                </c:pt>
                <c:pt idx="2">
                  <c:v>4</c:v>
                </c:pt>
                <c:pt idx="3">
                  <c:v>14</c:v>
                </c:pt>
                <c:pt idx="4">
                  <c:v>186</c:v>
                </c:pt>
                <c:pt idx="5">
                  <c:v>588</c:v>
                </c:pt>
                <c:pt idx="6">
                  <c:v>153</c:v>
                </c:pt>
                <c:pt idx="7">
                  <c:v>6</c:v>
                </c:pt>
                <c:pt idx="8">
                  <c:v>20</c:v>
                </c:pt>
                <c:pt idx="9">
                  <c:v>148</c:v>
                </c:pt>
              </c:numCache>
            </c:numRef>
          </c:val>
        </c:ser>
        <c:dLbls>
          <c:showLegendKey val="0"/>
          <c:showVal val="0"/>
          <c:showCatName val="0"/>
          <c:showSerName val="0"/>
          <c:showPercent val="0"/>
          <c:showBubbleSize val="0"/>
        </c:dLbls>
        <c:gapWidth val="150"/>
        <c:axId val="11961856"/>
        <c:axId val="11963392"/>
      </c:barChart>
      <c:catAx>
        <c:axId val="119618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mn-cs"/>
              </a:defRPr>
            </a:pPr>
          </a:p>
        </c:txPr>
        <c:crossAx val="11963392"/>
        <c:crosses val="autoZero"/>
        <c:auto val="1"/>
        <c:lblAlgn val="ctr"/>
        <c:lblOffset val="100"/>
        <c:noMultiLvlLbl val="0"/>
      </c:catAx>
      <c:valAx>
        <c:axId val="119633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96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94122922134733"/>
          <c:y val="0.145833333333333"/>
          <c:w val="0.685107392825897"/>
          <c:h val="0.773148148148148"/>
        </c:manualLayout>
      </c:layout>
      <c:pie3DChart>
        <c:varyColors val="1"/>
        <c:ser>
          <c:idx val="0"/>
          <c:order val="0"/>
          <c:tx>
            <c:strRef>
              <c:f>日志统计!$C$3</c:f>
              <c:strCache>
                <c:ptCount val="1"/>
                <c:pt idx="0">
                  <c:v>操作次数</c:v>
                </c:pt>
              </c:strCache>
            </c:strRef>
          </c:tx>
          <c:explosion val="0"/>
          <c:dPt>
            <c:idx val="0"/>
            <c:bubble3D val="0"/>
          </c:dPt>
          <c:dPt>
            <c:idx val="1"/>
            <c:bubble3D val="0"/>
          </c:dPt>
          <c:dPt>
            <c:idx val="2"/>
            <c:bubble3D val="0"/>
          </c:dPt>
          <c:dLbls>
            <c:dLbl>
              <c:idx val="0"/>
              <c:layout>
                <c:manualLayout>
                  <c:x val="-0.0731202195637732"/>
                  <c:y val="0.103706894366523"/>
                </c:manualLayout>
              </c:layout>
              <c:tx>
                <c:rich>
                  <a:bodyPr rot="0" spcFirstLastPara="0" vertOverflow="ellipsis" vert="horz" wrap="square" lIns="38100" tIns="19050" rIns="38100" bIns="19050"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r>
                      <a:rPr lang="en-US" altLang="zh-CN"/>
                      <a:t>10%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r>
                      <a:rPr lang="en-US" altLang="zh-CN"/>
                      <a:t>42%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r>
                      <a:rPr lang="en-US" altLang="zh-CN"/>
                      <a:t>48%</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日志统计!$B$4:$B$6</c:f>
              <c:strCache>
                <c:ptCount val="3"/>
                <c:pt idx="0">
                  <c:v>管理端</c:v>
                </c:pt>
                <c:pt idx="1">
                  <c:v>机构端</c:v>
                </c:pt>
                <c:pt idx="2">
                  <c:v>企业端</c:v>
                </c:pt>
              </c:strCache>
            </c:strRef>
          </c:cat>
          <c:val>
            <c:numRef>
              <c:f>日志统计!$C$4:$C$6</c:f>
              <c:numCache>
                <c:formatCode>General</c:formatCode>
                <c:ptCount val="3"/>
                <c:pt idx="0">
                  <c:v>12297</c:v>
                </c:pt>
                <c:pt idx="1">
                  <c:v>30848</c:v>
                </c:pt>
                <c:pt idx="2">
                  <c:v>33813</c:v>
                </c:pt>
              </c:numCache>
            </c:numRef>
          </c:val>
        </c:ser>
        <c:dLbls>
          <c:showLegendKey val="0"/>
          <c:showVal val="0"/>
          <c:showCatName val="0"/>
          <c:showSerName val="0"/>
          <c:showPercent val="1"/>
          <c:showBubbleSize val="0"/>
        </c:dLbls>
      </c:pie3DChart>
    </c:plotArea>
    <c:legend>
      <c:legendPos val="r"/>
      <c:layout>
        <c:manualLayout>
          <c:xMode val="edge"/>
          <c:yMode val="edge"/>
          <c:x val="0.811154199475066"/>
          <c:y val="0.379979585885098"/>
          <c:w val="0.130512467191601"/>
          <c:h val="0.2511515748031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0382861698602"/>
          <c:y val="0.0596653336314033"/>
          <c:w val="0.892933272419446"/>
          <c:h val="0.728670193828295"/>
        </c:manualLayout>
      </c:layout>
      <c:barChart>
        <c:barDir val="col"/>
        <c:grouping val="clustered"/>
        <c:varyColors val="0"/>
        <c:ser>
          <c:idx val="0"/>
          <c:order val="0"/>
          <c:tx>
            <c:strRef>
              <c:f>操作日志分析!$G$1</c:f>
              <c:strCache>
                <c:ptCount val="1"/>
                <c:pt idx="0">
                  <c:v>操作次数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操作日志分析!$W$1:$AF$1</c:f>
              <c:strCache>
                <c:ptCount val="10"/>
                <c:pt idx="0">
                  <c:v>机构总览</c:v>
                </c:pt>
                <c:pt idx="1">
                  <c:v>基本信息</c:v>
                </c:pt>
                <c:pt idx="2">
                  <c:v>机构列表</c:v>
                </c:pt>
                <c:pt idx="3">
                  <c:v>经营类型</c:v>
                </c:pt>
                <c:pt idx="4">
                  <c:v>企业评价</c:v>
                </c:pt>
                <c:pt idx="5">
                  <c:v>文件</c:v>
                </c:pt>
                <c:pt idx="6">
                  <c:v>我的项目</c:v>
                </c:pt>
                <c:pt idx="7">
                  <c:v>项目业绩</c:v>
                </c:pt>
                <c:pt idx="8">
                  <c:v>信息公开</c:v>
                </c:pt>
                <c:pt idx="9">
                  <c:v>综合评价</c:v>
                </c:pt>
              </c:strCache>
            </c:strRef>
          </c:cat>
          <c:val>
            <c:numRef>
              <c:f>操作日志分析!$W$5:$AF$5</c:f>
              <c:numCache>
                <c:formatCode>General</c:formatCode>
                <c:ptCount val="10"/>
                <c:pt idx="0">
                  <c:v>602</c:v>
                </c:pt>
                <c:pt idx="1">
                  <c:v>1054</c:v>
                </c:pt>
                <c:pt idx="2">
                  <c:v>4470</c:v>
                </c:pt>
                <c:pt idx="3">
                  <c:v>1198</c:v>
                </c:pt>
                <c:pt idx="4">
                  <c:v>316</c:v>
                </c:pt>
                <c:pt idx="5">
                  <c:v>2381</c:v>
                </c:pt>
                <c:pt idx="6">
                  <c:v>2712</c:v>
                </c:pt>
                <c:pt idx="7">
                  <c:v>3177</c:v>
                </c:pt>
                <c:pt idx="8">
                  <c:v>788</c:v>
                </c:pt>
                <c:pt idx="9">
                  <c:v>4756</c:v>
                </c:pt>
              </c:numCache>
            </c:numRef>
          </c:val>
        </c:ser>
        <c:dLbls>
          <c:showLegendKey val="0"/>
          <c:showVal val="0"/>
          <c:showCatName val="0"/>
          <c:showSerName val="0"/>
          <c:showPercent val="0"/>
          <c:showBubbleSize val="0"/>
        </c:dLbls>
        <c:gapWidth val="150"/>
        <c:axId val="40222720"/>
        <c:axId val="40224256"/>
      </c:barChart>
      <c:lineChart>
        <c:grouping val="standard"/>
        <c:varyColors val="0"/>
        <c:ser>
          <c:idx val="1"/>
          <c:order val="1"/>
          <c:tx>
            <c:strRef>
              <c:f>操作日志分析!$E$4</c:f>
              <c:strCache>
                <c:ptCount val="1"/>
                <c:pt idx="0">
                  <c:v>企业端</c:v>
                </c:pt>
              </c:strCache>
            </c:strRef>
          </c:tx>
          <c:spPr>
            <a:ln w="28575" cap="rnd" cmpd="sng" algn="ctr">
              <a:solidFill>
                <a:srgbClr val="FF0000"/>
              </a:solidFill>
              <a:prstDash val="solid"/>
              <a:round/>
            </a:ln>
          </c:spPr>
          <c:marker>
            <c:symbol val="circle"/>
            <c:size val="7"/>
            <c:spPr>
              <a:solidFill>
                <a:srgbClr val="FF0000"/>
              </a:solidFill>
            </c:spPr>
          </c:marker>
          <c:dLbls>
            <c:dLbl>
              <c:idx val="3"/>
              <c:layout>
                <c:manualLayout>
                  <c:x val="-0.00227531285551763"/>
                  <c:y val="-0.02103049421661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025236593059936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0.016824395373291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FF0000"/>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操作日志分析!$W$1:$AF$1</c:f>
              <c:strCache>
                <c:ptCount val="10"/>
                <c:pt idx="0">
                  <c:v>机构总览</c:v>
                </c:pt>
                <c:pt idx="1">
                  <c:v>基本信息</c:v>
                </c:pt>
                <c:pt idx="2">
                  <c:v>机构列表</c:v>
                </c:pt>
                <c:pt idx="3">
                  <c:v>经营类型</c:v>
                </c:pt>
                <c:pt idx="4">
                  <c:v>企业评价</c:v>
                </c:pt>
                <c:pt idx="5">
                  <c:v>文件</c:v>
                </c:pt>
                <c:pt idx="6">
                  <c:v>我的项目</c:v>
                </c:pt>
                <c:pt idx="7">
                  <c:v>项目业绩</c:v>
                </c:pt>
                <c:pt idx="8">
                  <c:v>信息公开</c:v>
                </c:pt>
                <c:pt idx="9">
                  <c:v>综合评价</c:v>
                </c:pt>
              </c:strCache>
            </c:strRef>
          </c:cat>
          <c:val>
            <c:numRef>
              <c:f>操作日志分析!$W$4:$AF$4</c:f>
              <c:numCache>
                <c:formatCode>General</c:formatCode>
                <c:ptCount val="10"/>
                <c:pt idx="2">
                  <c:v>3874</c:v>
                </c:pt>
                <c:pt idx="3">
                  <c:v>149</c:v>
                </c:pt>
                <c:pt idx="4">
                  <c:v>90</c:v>
                </c:pt>
                <c:pt idx="5">
                  <c:v>778</c:v>
                </c:pt>
                <c:pt idx="6">
                  <c:v>2673</c:v>
                </c:pt>
                <c:pt idx="7">
                  <c:v>430</c:v>
                </c:pt>
                <c:pt idx="8">
                  <c:v>484</c:v>
                </c:pt>
                <c:pt idx="9">
                  <c:v>2024</c:v>
                </c:pt>
              </c:numCache>
            </c:numRef>
          </c:val>
          <c:smooth val="0"/>
        </c:ser>
        <c:dLbls>
          <c:showLegendKey val="0"/>
          <c:showVal val="0"/>
          <c:showCatName val="0"/>
          <c:showSerName val="0"/>
          <c:showPercent val="0"/>
          <c:showBubbleSize val="0"/>
        </c:dLbls>
        <c:marker val="1"/>
        <c:smooth val="0"/>
        <c:axId val="40222720"/>
        <c:axId val="40224256"/>
      </c:lineChart>
      <c:catAx>
        <c:axId val="4022272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1"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crossAx val="40224256"/>
        <c:crosses val="autoZero"/>
        <c:auto val="1"/>
        <c:lblAlgn val="ctr"/>
        <c:lblOffset val="100"/>
        <c:noMultiLvlLbl val="0"/>
      </c:catAx>
      <c:valAx>
        <c:axId val="4022425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40222720"/>
        <c:crosses val="autoZero"/>
        <c:crossBetween val="between"/>
      </c:valAx>
    </c:plotArea>
    <c:legend>
      <c:legendPos val="t"/>
      <c:layout>
        <c:manualLayout>
          <c:xMode val="edge"/>
          <c:yMode val="edge"/>
          <c:x val="0.541410693970421"/>
          <c:y val="0.126182965299685"/>
          <c:w val="0.322184300341297"/>
          <c:h val="0.076058521076032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238407699038"/>
          <c:y val="0.0514005540974045"/>
          <c:w val="0.846915791776028"/>
          <c:h val="0.828939195100612"/>
        </c:manualLayout>
      </c:layout>
      <c:barChart>
        <c:barDir val="col"/>
        <c:grouping val="clustered"/>
        <c:varyColors val="0"/>
        <c:ser>
          <c:idx val="0"/>
          <c:order val="0"/>
          <c:tx>
            <c:strRef>
              <c:f>操作日志分析!$E$2</c:f>
              <c:strCache>
                <c:ptCount val="1"/>
                <c:pt idx="0">
                  <c:v>管理端</c:v>
                </c:pt>
              </c:strCache>
            </c:strRef>
          </c:tx>
          <c:invertIfNegative val="0"/>
          <c:dLbls>
            <c:dLbl>
              <c:idx val="0"/>
              <c:layout>
                <c:manualLayout>
                  <c:x val="-0.0100062539086929"/>
                  <c:y val="0.009259259259259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0064508821951"/>
                  <c:y val="7.638800644812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操作日志分析!$AG$1:$AM$1</c:f>
              <c:strCache>
                <c:ptCount val="7"/>
                <c:pt idx="0">
                  <c:v>保存</c:v>
                </c:pt>
                <c:pt idx="1">
                  <c:v>编辑</c:v>
                </c:pt>
                <c:pt idx="2">
                  <c:v>查看</c:v>
                </c:pt>
                <c:pt idx="3">
                  <c:v>删除</c:v>
                </c:pt>
                <c:pt idx="4">
                  <c:v>上传</c:v>
                </c:pt>
                <c:pt idx="5">
                  <c:v>下载</c:v>
                </c:pt>
                <c:pt idx="6">
                  <c:v>新增</c:v>
                </c:pt>
              </c:strCache>
            </c:strRef>
          </c:cat>
          <c:val>
            <c:numRef>
              <c:f>操作日志分析!$AG$2:$AM$2</c:f>
              <c:numCache>
                <c:formatCode>General</c:formatCode>
                <c:ptCount val="7"/>
                <c:pt idx="2">
                  <c:v>1792</c:v>
                </c:pt>
                <c:pt idx="3">
                  <c:v>1</c:v>
                </c:pt>
                <c:pt idx="5">
                  <c:v>162</c:v>
                </c:pt>
              </c:numCache>
            </c:numRef>
          </c:val>
        </c:ser>
        <c:ser>
          <c:idx val="1"/>
          <c:order val="1"/>
          <c:tx>
            <c:strRef>
              <c:f>操作日志分析!$E$3</c:f>
              <c:strCache>
                <c:ptCount val="1"/>
                <c:pt idx="0">
                  <c:v>机构端</c:v>
                </c:pt>
              </c:strCache>
            </c:strRef>
          </c:tx>
          <c:invertIfNegative val="0"/>
          <c:dLbls>
            <c:dLbl>
              <c:idx val="1"/>
              <c:layout>
                <c:manualLayout>
                  <c:x val="0.010006253908692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006253908692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0062539086929"/>
                  <c:y val="-0.009259259259259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504690431519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操作日志分析!$AG$1:$AM$1</c:f>
              <c:strCache>
                <c:ptCount val="7"/>
                <c:pt idx="0">
                  <c:v>保存</c:v>
                </c:pt>
                <c:pt idx="1">
                  <c:v>编辑</c:v>
                </c:pt>
                <c:pt idx="2">
                  <c:v>查看</c:v>
                </c:pt>
                <c:pt idx="3">
                  <c:v>删除</c:v>
                </c:pt>
                <c:pt idx="4">
                  <c:v>上传</c:v>
                </c:pt>
                <c:pt idx="5">
                  <c:v>下载</c:v>
                </c:pt>
                <c:pt idx="6">
                  <c:v>新增</c:v>
                </c:pt>
              </c:strCache>
            </c:strRef>
          </c:cat>
          <c:val>
            <c:numRef>
              <c:f>操作日志分析!$AG$3:$AM$3</c:f>
              <c:numCache>
                <c:formatCode>General</c:formatCode>
                <c:ptCount val="7"/>
                <c:pt idx="0">
                  <c:v>65</c:v>
                </c:pt>
                <c:pt idx="1">
                  <c:v>50</c:v>
                </c:pt>
                <c:pt idx="2">
                  <c:v>7083</c:v>
                </c:pt>
                <c:pt idx="4">
                  <c:v>121</c:v>
                </c:pt>
                <c:pt idx="5">
                  <c:v>1410</c:v>
                </c:pt>
                <c:pt idx="6">
                  <c:v>439</c:v>
                </c:pt>
              </c:numCache>
            </c:numRef>
          </c:val>
        </c:ser>
        <c:ser>
          <c:idx val="2"/>
          <c:order val="2"/>
          <c:tx>
            <c:strRef>
              <c:f>操作日志分析!$E$4</c:f>
              <c:strCache>
                <c:ptCount val="1"/>
                <c:pt idx="0">
                  <c:v>企业端</c:v>
                </c:pt>
              </c:strCache>
            </c:strRef>
          </c:tx>
          <c:invertIfNegative val="0"/>
          <c:dLbls>
            <c:dLbl>
              <c:idx val="0"/>
              <c:layout>
                <c:manualLayout>
                  <c:x val="0.015009380863039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504690431519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006253908692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91682793872154"/>
                  <c:y val="0.004629593175853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操作日志分析!$AG$1:$AM$1</c:f>
              <c:strCache>
                <c:ptCount val="7"/>
                <c:pt idx="0">
                  <c:v>保存</c:v>
                </c:pt>
                <c:pt idx="1">
                  <c:v>编辑</c:v>
                </c:pt>
                <c:pt idx="2">
                  <c:v>查看</c:v>
                </c:pt>
                <c:pt idx="3">
                  <c:v>删除</c:v>
                </c:pt>
                <c:pt idx="4">
                  <c:v>上传</c:v>
                </c:pt>
                <c:pt idx="5">
                  <c:v>下载</c:v>
                </c:pt>
                <c:pt idx="6">
                  <c:v>新增</c:v>
                </c:pt>
              </c:strCache>
            </c:strRef>
          </c:cat>
          <c:val>
            <c:numRef>
              <c:f>操作日志分析!$AG$4:$AM$4</c:f>
              <c:numCache>
                <c:formatCode>General</c:formatCode>
                <c:ptCount val="7"/>
                <c:pt idx="0">
                  <c:v>297</c:v>
                </c:pt>
                <c:pt idx="2">
                  <c:v>9427</c:v>
                </c:pt>
                <c:pt idx="4">
                  <c:v>1</c:v>
                </c:pt>
                <c:pt idx="5">
                  <c:v>777</c:v>
                </c:pt>
              </c:numCache>
            </c:numRef>
          </c:val>
        </c:ser>
        <c:dLbls>
          <c:showLegendKey val="0"/>
          <c:showVal val="0"/>
          <c:showCatName val="0"/>
          <c:showSerName val="0"/>
          <c:showPercent val="0"/>
          <c:showBubbleSize val="0"/>
        </c:dLbls>
        <c:gapWidth val="150"/>
        <c:axId val="40748544"/>
        <c:axId val="40750080"/>
      </c:barChart>
      <c:catAx>
        <c:axId val="407485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750080"/>
        <c:crosses val="autoZero"/>
        <c:auto val="1"/>
        <c:lblAlgn val="ctr"/>
        <c:lblOffset val="100"/>
        <c:noMultiLvlLbl val="0"/>
      </c:catAx>
      <c:valAx>
        <c:axId val="40750080"/>
        <c:scaling>
          <c:orientation val="minMax"/>
        </c:scaling>
        <c:delete val="0"/>
        <c:axPos val="l"/>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40748544"/>
        <c:crosses val="autoZero"/>
        <c:crossBetween val="between"/>
      </c:valAx>
      <c:spPr>
        <a:solidFill>
          <a:schemeClr val="bg1"/>
        </a:solidFill>
        <a:ln>
          <a:noFill/>
        </a:ln>
        <a:effectLst/>
      </c:spPr>
    </c:plotArea>
    <c:legend>
      <c:legendPos val="r"/>
      <c:layout>
        <c:manualLayout>
          <c:xMode val="edge"/>
          <c:yMode val="edge"/>
          <c:x val="0.491313764015896"/>
          <c:y val="0.0957204724409449"/>
          <c:w val="0.497179133858268"/>
          <c:h val="0.11642946194225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155074365704"/>
          <c:y val="0.0467709244677749"/>
          <c:w val="0.869332458442695"/>
          <c:h val="0.785265748031496"/>
        </c:manualLayout>
      </c:layout>
      <c:barChart>
        <c:barDir val="col"/>
        <c:grouping val="clustered"/>
        <c:varyColors val="0"/>
        <c:ser>
          <c:idx val="0"/>
          <c:order val="0"/>
          <c:tx>
            <c:strRef>
              <c:f>[20231231生态环境第三方服务机构自主信息公开平台分析结果.xlsx]操作日志分析!$E$2</c:f>
              <c:strCache>
                <c:ptCount val="1"/>
                <c:pt idx="0">
                  <c:v>管理端</c:v>
                </c:pt>
              </c:strCache>
            </c:strRef>
          </c:tx>
          <c:invertIfNegative val="0"/>
          <c:dLbls>
            <c:dLbl>
              <c:idx val="0"/>
              <c:layout>
                <c:manualLayout>
                  <c:x val="0"/>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314814814814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3240740740740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9297295360753e-17"/>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3240740740740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3240740740740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02777777777777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522875816993464"/>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[20231231生态环境第三方服务机构自主信息公开平台分析结果.xlsx]操作日志分析!$H$1:$S$1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[20231231生态环境第三方服务机构自主信息公开平台分析结果.xlsx]操作日志分析!$H$2:$S$2</c:f>
              <c:numCache>
                <c:formatCode>General</c:formatCode>
                <c:ptCount val="12"/>
                <c:pt idx="0">
                  <c:v>362</c:v>
                </c:pt>
                <c:pt idx="1">
                  <c:v>105</c:v>
                </c:pt>
                <c:pt idx="2">
                  <c:v>128</c:v>
                </c:pt>
                <c:pt idx="3">
                  <c:v>308</c:v>
                </c:pt>
                <c:pt idx="4">
                  <c:v>155</c:v>
                </c:pt>
                <c:pt idx="5">
                  <c:v>101</c:v>
                </c:pt>
                <c:pt idx="6">
                  <c:v>154</c:v>
                </c:pt>
                <c:pt idx="7">
                  <c:v>184</c:v>
                </c:pt>
                <c:pt idx="8">
                  <c:v>37</c:v>
                </c:pt>
                <c:pt idx="9">
                  <c:v>38</c:v>
                </c:pt>
                <c:pt idx="10">
                  <c:v>100</c:v>
                </c:pt>
                <c:pt idx="11">
                  <c:v>283</c:v>
                </c:pt>
              </c:numCache>
            </c:numRef>
          </c:val>
        </c:ser>
        <c:ser>
          <c:idx val="2"/>
          <c:order val="2"/>
          <c:tx>
            <c:strRef>
              <c:f>[20231231生态环境第三方服务机构自主信息公开平台分析结果.xlsx]操作日志分析!$E$4</c:f>
              <c:strCache>
                <c:ptCount val="1"/>
                <c:pt idx="0">
                  <c:v>企业端</c:v>
                </c:pt>
              </c:strCache>
            </c:strRef>
          </c:tx>
          <c:invertIfNegative val="0"/>
          <c:dLbls>
            <c:dLbl>
              <c:idx val="0"/>
              <c:layout>
                <c:manualLayout>
                  <c:x val="0"/>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61437908496732"/>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388888888888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009259259259259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522875816993464"/>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[20231231生态环境第三方服务机构自主信息公开平台分析结果.xlsx]操作日志分析!$H$1:$S$1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[20231231生态环境第三方服务机构自主信息公开平台分析结果.xlsx]操作日志分析!$H$4:$S$4</c:f>
              <c:numCache>
                <c:formatCode>General</c:formatCode>
                <c:ptCount val="12"/>
                <c:pt idx="0">
                  <c:v>661</c:v>
                </c:pt>
                <c:pt idx="1">
                  <c:v>677</c:v>
                </c:pt>
                <c:pt idx="2">
                  <c:v>636</c:v>
                </c:pt>
                <c:pt idx="3">
                  <c:v>436</c:v>
                </c:pt>
                <c:pt idx="4">
                  <c:v>720</c:v>
                </c:pt>
                <c:pt idx="5">
                  <c:v>572</c:v>
                </c:pt>
                <c:pt idx="6">
                  <c:v>1842</c:v>
                </c:pt>
                <c:pt idx="7">
                  <c:v>1350</c:v>
                </c:pt>
                <c:pt idx="8">
                  <c:v>598</c:v>
                </c:pt>
                <c:pt idx="9">
                  <c:v>572</c:v>
                </c:pt>
                <c:pt idx="10">
                  <c:v>1521</c:v>
                </c:pt>
                <c:pt idx="11">
                  <c:v>917</c:v>
                </c:pt>
              </c:numCache>
            </c:numRef>
          </c:val>
        </c:ser>
        <c:dLbls>
          <c:showLegendKey val="0"/>
          <c:showVal val="0"/>
          <c:showCatName val="0"/>
          <c:showSerName val="0"/>
          <c:showPercent val="0"/>
          <c:showBubbleSize val="0"/>
        </c:dLbls>
        <c:gapWidth val="150"/>
        <c:axId val="40364288"/>
        <c:axId val="40509440"/>
      </c:barChart>
      <c:lineChart>
        <c:grouping val="standard"/>
        <c:varyColors val="0"/>
        <c:ser>
          <c:idx val="1"/>
          <c:order val="1"/>
          <c:tx>
            <c:strRef>
              <c:f>[20231231生态环境第三方服务机构自主信息公开平台分析结果.xlsx]操作日志分析!$E$3</c:f>
              <c:strCache>
                <c:ptCount val="1"/>
                <c:pt idx="0">
                  <c:v>机构端</c:v>
                </c:pt>
              </c:strCache>
            </c:strRef>
          </c:tx>
          <c:spPr>
            <a:ln w="28575" cap="rnd" cmpd="sng" algn="ctr">
              <a:solidFill>
                <a:srgbClr val="FF0000"/>
              </a:solidFill>
              <a:prstDash val="solid"/>
              <a:round/>
            </a:ln>
          </c:spPr>
          <c:marker>
            <c:symbol val="circle"/>
            <c:size val="7"/>
            <c:spPr>
              <a:solidFill>
                <a:srgbClr val="FF0000"/>
              </a:solidFill>
              <a:ln w="9525" cap="flat" cmpd="sng" algn="ctr">
                <a:solidFill>
                  <a:srgbClr val="FF0000"/>
                </a:solidFill>
                <a:prstDash val="solid"/>
                <a:round/>
              </a:ln>
            </c:spPr>
          </c:marker>
          <c:dLbls>
            <c:dLbl>
              <c:idx val="0"/>
              <c:layout>
                <c:manualLayout>
                  <c:x val="-0.0444444444444444"/>
                  <c:y val="-0.040509259259259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92156862745098"/>
                  <c:y val="-0.06365740740740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44444444444444"/>
                  <c:y val="-0.040509259259259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509803921568628"/>
                  <c:y val="-0.04976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FF0000"/>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[20231231生态环境第三方服务机构自主信息公开平台分析结果.xlsx]操作日志分析!$H$1:$S$1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[20231231生态环境第三方服务机构自主信息公开平台分析结果.xlsx]操作日志分析!$H$3:$S$3</c:f>
              <c:numCache>
                <c:formatCode>General</c:formatCode>
                <c:ptCount val="12"/>
                <c:pt idx="0">
                  <c:v>383</c:v>
                </c:pt>
                <c:pt idx="1">
                  <c:v>301</c:v>
                </c:pt>
                <c:pt idx="2">
                  <c:v>175</c:v>
                </c:pt>
                <c:pt idx="3">
                  <c:v>435</c:v>
                </c:pt>
                <c:pt idx="4">
                  <c:v>547</c:v>
                </c:pt>
                <c:pt idx="5">
                  <c:v>192</c:v>
                </c:pt>
                <c:pt idx="6">
                  <c:v>223</c:v>
                </c:pt>
                <c:pt idx="7">
                  <c:v>425</c:v>
                </c:pt>
                <c:pt idx="8">
                  <c:v>444</c:v>
                </c:pt>
                <c:pt idx="9">
                  <c:v>193</c:v>
                </c:pt>
                <c:pt idx="10">
                  <c:v>406</c:v>
                </c:pt>
                <c:pt idx="11">
                  <c:v>5444</c:v>
                </c:pt>
              </c:numCache>
            </c:numRef>
          </c:val>
          <c:smooth val="0"/>
        </c:ser>
        <c:dLbls>
          <c:showLegendKey val="0"/>
          <c:showVal val="0"/>
          <c:showCatName val="0"/>
          <c:showSerName val="0"/>
          <c:showPercent val="0"/>
          <c:showBubbleSize val="0"/>
        </c:dLbls>
        <c:marker val="1"/>
        <c:smooth val="0"/>
        <c:axId val="40510976"/>
        <c:axId val="40512512"/>
      </c:lineChart>
      <c:catAx>
        <c:axId val="4036428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mn-ea"/>
                <a:cs typeface="Times New Roman" panose="02020603050405020304" charset="0"/>
              </a:defRPr>
            </a:pPr>
          </a:p>
        </c:txPr>
        <c:crossAx val="40509440"/>
        <c:crosses val="autoZero"/>
        <c:auto val="1"/>
        <c:lblAlgn val="ctr"/>
        <c:lblOffset val="100"/>
        <c:noMultiLvlLbl val="0"/>
      </c:catAx>
      <c:valAx>
        <c:axId val="40509440"/>
        <c:scaling>
          <c:orientation val="minMax"/>
        </c:scaling>
        <c:delete val="0"/>
        <c:axPos val="l"/>
        <c:numFmt formatCode="General" sourceLinked="1"/>
        <c:majorTickMark val="in"/>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40364288"/>
        <c:crosses val="autoZero"/>
        <c:crossBetween val="between"/>
      </c:valAx>
      <c:catAx>
        <c:axId val="4051097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512512"/>
        <c:crosses val="autoZero"/>
        <c:auto val="1"/>
        <c:lblAlgn val="ctr"/>
        <c:lblOffset val="100"/>
        <c:noMultiLvlLbl val="0"/>
      </c:catAx>
      <c:valAx>
        <c:axId val="40512512"/>
        <c:scaling>
          <c:orientation val="minMax"/>
        </c:scaling>
        <c:delete val="0"/>
        <c:axPos val="r"/>
        <c:numFmt formatCode="General" sourceLinked="1"/>
        <c:majorTickMark val="in"/>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40510976"/>
        <c:crosses val="max"/>
        <c:crossBetween val="between"/>
      </c:valAx>
    </c:plotArea>
    <c:legend>
      <c:legendPos val="r"/>
      <c:layout>
        <c:manualLayout>
          <c:xMode val="edge"/>
          <c:yMode val="edge"/>
          <c:x val="0.0791722257128725"/>
          <c:y val="0.0272018081073199"/>
          <c:w val="0.425553342334755"/>
          <c:h val="0.098373797025371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77FE-2E85-4C49-B30B-6AD4B9168C26}">
  <ds:schemaRefs/>
</ds:datastoreItem>
</file>

<file path=docProps/app.xml><?xml version="1.0" encoding="utf-8"?>
<Properties xmlns="http://schemas.openxmlformats.org/officeDocument/2006/extended-properties" xmlns:vt="http://schemas.openxmlformats.org/officeDocument/2006/docPropsVTypes">
  <Template>Normal</Template>
  <Pages>1</Pages>
  <Words>1740</Words>
  <Characters>9919</Characters>
  <Lines>82</Lines>
  <Paragraphs>23</Paragraphs>
  <TotalTime>6</TotalTime>
  <ScaleCrop>false</ScaleCrop>
  <LinksUpToDate>false</LinksUpToDate>
  <CharactersWithSpaces>11636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2024-03-01T08:38:00Z</dcterms:created>
  <dc:creator>ntko</dc:creator>
  <cp:lastModifiedBy>zoe</cp:lastModifiedBy>
  <dcterms:modified xsi:type="dcterms:W3CDTF">2024-03-08T04:42:29Z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78B3FAD2401148E398660647E7778759_13</vt:lpwstr>
  </property>
</Properties>
</file>