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1E1CC">
      <w:pPr>
        <w:keepNext w:val="0"/>
        <w:keepLines w:val="0"/>
        <w:pageBreakBefore w:val="0"/>
        <w:kinsoku/>
        <w:wordWrap/>
        <w:overflowPunct/>
        <w:topLinePunct w:val="0"/>
        <w:autoSpaceDE/>
        <w:autoSpaceDN/>
        <w:bidi w:val="0"/>
        <w:snapToGrid/>
        <w:spacing w:line="548"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天津经济技术开发区生态环境局关于天津绿菱气体股份有限公司新建三套电子特气生产装置项目环境影响报告表的批复</w:t>
      </w:r>
    </w:p>
    <w:p w14:paraId="2F24B839">
      <w:pPr>
        <w:keepNext w:val="0"/>
        <w:keepLines w:val="0"/>
        <w:pageBreakBefore w:val="0"/>
        <w:kinsoku/>
        <w:wordWrap/>
        <w:overflowPunct/>
        <w:topLinePunct w:val="0"/>
        <w:autoSpaceDE/>
        <w:autoSpaceDN/>
        <w:bidi w:val="0"/>
        <w:snapToGrid/>
        <w:spacing w:line="548" w:lineRule="exact"/>
        <w:jc w:val="center"/>
        <w:textAlignment w:val="auto"/>
        <w:rPr>
          <w:b/>
          <w:sz w:val="32"/>
          <w:szCs w:val="32"/>
        </w:rPr>
      </w:pPr>
    </w:p>
    <w:p w14:paraId="0CE70FAD">
      <w:pPr>
        <w:keepNext w:val="0"/>
        <w:keepLines w:val="0"/>
        <w:pageBreakBefore w:val="0"/>
        <w:kinsoku/>
        <w:wordWrap/>
        <w:overflowPunct/>
        <w:topLinePunct w:val="0"/>
        <w:autoSpaceDE/>
        <w:autoSpaceDN/>
        <w:bidi w:val="0"/>
        <w:snapToGrid/>
        <w:spacing w:line="54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天津绿菱气体股份有限公司：</w:t>
      </w:r>
    </w:p>
    <w:p w14:paraId="09D6203B">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你公司所报《天津绿菱气体股份有限公司新建三套电子特气生产装置项目环境影响报告表》（以下简称报告表）等材料收悉，经审核后批复如下：</w:t>
      </w:r>
    </w:p>
    <w:p w14:paraId="6885CB97">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同意你公司在南港工业区港达路12号进行“新建三套电子特气生产装置项目”建设。该项目拟增设2条精馏纯化生产线和1条转充分装生产线，进行三氟甲烷、四氟化碳、六氟化硫、六氟乙烷、八氟环丁烷的提纯和六氟乙烷、三氟甲烷、六氟化硫的转充分装。设计新增纯化能力1900吨/年，分装能力900吨/年。该项目总投资800万元，环保投资33万元，约占投资总额的4.1%。</w:t>
      </w:r>
    </w:p>
    <w:p w14:paraId="025558F3">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14:paraId="1D90ABC4">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置换废气、轻重组分排放废气和精馏纯化反冲洗废气经“活性炭吸附”装置处理，由现有1根22米高排气筒（P23）达标排放。钢瓶补漆废气经干式过滤除漆雾后进入“活性炭吸附+脱附+催化燃烧”装置处理，由现有1根22米高的排气筒（P3）达标排放。</w:t>
      </w:r>
    </w:p>
    <w:p w14:paraId="4CF631B9">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上述废气中TRVOC、非甲烷总烃应执行《工业企业挥发性有机物排放控制标准》（DB12/524-2020）相应限值要求，氟化物应执行《无机化学工业污染物排放标准》（GB31573-2015）表4标准限值要求。</w:t>
      </w:r>
    </w:p>
    <w:p w14:paraId="1DF8E49C">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你公司在实际建设和运行过程中，应有效收集废气，合理设置风机风量并做好废气处理设施的运行维护，及时更换活性炭，确保废气有效收集、处理及达标排放，严格控制无组织排放。</w:t>
      </w:r>
    </w:p>
    <w:p w14:paraId="71F64DC4">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冷却循环水排水排入市政污水管网。废水总排口水质应执行《无机化学工业污染物排放标准》（GB31573-2015）表1间接排放标准限值要求，其中五日生化需氧量、动植物油类应执行《污水综合排放标准》（DB12/356- 2018）三级标准限值要求。</w:t>
      </w:r>
    </w:p>
    <w:p w14:paraId="00239663">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（三）厂界噪声应执行《工业企业厂界环境噪声排放标准》（GB12348-2008）3类标准。</w:t>
      </w:r>
    </w:p>
    <w:p w14:paraId="32E1EDA7">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w:t>
      </w:r>
      <w:r>
        <w:rPr>
          <w:rFonts w:hint="eastAsia" w:ascii="仿宋_GB2312" w:hAnsi="仿宋" w:eastAsia="仿宋_GB2312"/>
          <w:sz w:val="32"/>
          <w:szCs w:val="32"/>
          <w:lang w:eastAsia="zh-CN"/>
        </w:rPr>
        <w:t>、</w:t>
      </w:r>
      <w:r>
        <w:rPr>
          <w:rFonts w:hint="eastAsia" w:ascii="仿宋_GB2312" w:hAnsi="仿宋" w:eastAsia="仿宋_GB2312"/>
          <w:sz w:val="32"/>
          <w:szCs w:val="32"/>
        </w:rPr>
        <w:t>转运、处置及利用；该项目投产后产生的危险废物应严格遵照《危险废物贮存污染控制标准》（GB18597-2023）、《危险废物收集贮存运输技术规范》（HJ2025-2012）等法律法规的要求，妥善收集、储存，并按照《中华人民共和国固体废物污染环境防治法》有关规定，委托有处理资质的单位进行处理或综合利用。</w:t>
      </w:r>
    </w:p>
    <w:p w14:paraId="38DDAC7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4680E142">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四、该项目建成后，新增重点大气污染物排放量为：VOCs 0.154吨/年。</w:t>
      </w:r>
    </w:p>
    <w:p w14:paraId="5C33DF0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五、根据《企业事业单位突发环境事件应急预案备案管理办法（试行）》（环发〔2015〕4号）等有关规定，你公司应在该项目投入生产或使用前履行“环境应急预案”编制（修订）及备案。</w:t>
      </w:r>
    </w:p>
    <w:p w14:paraId="1C399AE5">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六、根据《建设项目环境保护管理条例》，你公司应在投入生产或使用前对配套建设的环境保护设施进行自主验收，编制验收报告；同时应当依法向社会公开验收报告。</w:t>
      </w:r>
    </w:p>
    <w:p w14:paraId="558DC170">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0FFE92E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八、</w:t>
      </w:r>
      <w:r>
        <w:rPr>
          <w:rFonts w:hint="eastAsia" w:ascii="仿宋_GB2312" w:hAnsi="仿宋" w:eastAsia="仿宋_GB2312"/>
          <w:sz w:val="32"/>
          <w:szCs w:val="32"/>
          <w:lang w:eastAsia="zh-CN"/>
        </w:rPr>
        <w:t>该项目</w:t>
      </w:r>
      <w:r>
        <w:rPr>
          <w:rFonts w:hint="eastAsia" w:ascii="仿宋_GB2312" w:hAnsi="仿宋" w:eastAsia="仿宋_GB2312"/>
          <w:sz w:val="32"/>
          <w:szCs w:val="32"/>
          <w:lang w:val="en-US" w:eastAsia="zh-CN"/>
        </w:rPr>
        <w:t>三氟甲烷</w:t>
      </w:r>
      <w:r>
        <w:rPr>
          <w:rFonts w:hint="eastAsia" w:ascii="仿宋_GB2312" w:hAnsi="仿宋" w:eastAsia="仿宋_GB2312"/>
          <w:sz w:val="32"/>
          <w:szCs w:val="32"/>
        </w:rPr>
        <w:t>产品列入《中国受控消耗臭氧层物质清单》（2021年版）</w:t>
      </w:r>
      <w:r>
        <w:rPr>
          <w:rFonts w:hint="eastAsia" w:ascii="仿宋_GB2312" w:hAnsi="仿宋" w:eastAsia="仿宋_GB2312"/>
          <w:sz w:val="32"/>
          <w:szCs w:val="32"/>
          <w:lang w:val="en-US" w:eastAsia="zh-CN"/>
        </w:rPr>
        <w:t>和</w:t>
      </w:r>
      <w:r>
        <w:rPr>
          <w:rFonts w:hint="eastAsia" w:ascii="仿宋_GB2312" w:hAnsi="仿宋" w:eastAsia="仿宋_GB2312"/>
          <w:sz w:val="32"/>
          <w:szCs w:val="32"/>
        </w:rPr>
        <w:t>《关于严格控制氢氟碳化物化工生产建设项目的通知》（环办大气〔2024〕22号）</w:t>
      </w:r>
      <w:r>
        <w:rPr>
          <w:rFonts w:hint="eastAsia" w:ascii="仿宋_GB2312" w:hAnsi="仿宋" w:eastAsia="仿宋_GB2312"/>
          <w:sz w:val="32"/>
          <w:szCs w:val="32"/>
          <w:lang w:eastAsia="zh-CN"/>
        </w:rPr>
        <w:t>中，不得</w:t>
      </w:r>
      <w:r>
        <w:rPr>
          <w:rFonts w:hint="eastAsia" w:ascii="仿宋_GB2312" w:hAnsi="仿宋" w:eastAsia="仿宋_GB2312"/>
          <w:sz w:val="32"/>
          <w:szCs w:val="32"/>
        </w:rPr>
        <w:t>被用于制冷剂、发泡剂、灭火剂、溶剂、清洗剂、加工助剂、气雾剂、土壤熏蒸剂等领域</w:t>
      </w:r>
      <w:r>
        <w:rPr>
          <w:rFonts w:hint="eastAsia" w:ascii="仿宋_GB2312" w:hAnsi="仿宋" w:eastAsia="仿宋_GB2312"/>
          <w:sz w:val="32"/>
          <w:szCs w:val="32"/>
          <w:lang w:eastAsia="zh-CN"/>
        </w:rPr>
        <w:t>。你公司应履行生态环境保护主体责任，对该产品用途路径建立全流程管理台账制度，以满足相关行业监管部门的管控要求。</w:t>
      </w:r>
    </w:p>
    <w:p w14:paraId="05A7EF79">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九、</w:t>
      </w:r>
      <w:r>
        <w:rPr>
          <w:rFonts w:hint="eastAsia" w:ascii="仿宋_GB2312" w:hAnsi="仿宋" w:eastAsia="仿宋_GB2312"/>
          <w:sz w:val="32"/>
          <w:szCs w:val="32"/>
        </w:rPr>
        <w:t>你公司应按照相关部门要求及时针对污染防治设施开展安全风险辨识和评估，将其安全管理措施一并纳入全厂安全生产规章制度中，自觉接受相关部门监管。</w:t>
      </w:r>
    </w:p>
    <w:p w14:paraId="5CD40B63">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2AF5BE01">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2CAB19CE">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422C332D">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11E90979">
      <w:pPr>
        <w:keepNext w:val="0"/>
        <w:keepLines w:val="0"/>
        <w:pageBreakBefore w:val="0"/>
        <w:kinsoku/>
        <w:wordWrap/>
        <w:overflowPunct/>
        <w:topLinePunct w:val="0"/>
        <w:autoSpaceDE/>
        <w:autoSpaceDN/>
        <w:bidi w:val="0"/>
        <w:snapToGrid/>
        <w:spacing w:line="548" w:lineRule="exact"/>
        <w:ind w:firstLine="640"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天津经济技术开发区生态环境局</w:t>
      </w:r>
    </w:p>
    <w:p w14:paraId="46AD7F79">
      <w:pPr>
        <w:keepNext w:val="0"/>
        <w:keepLines w:val="0"/>
        <w:pageBreakBefore w:val="0"/>
        <w:kinsoku/>
        <w:wordWrap/>
        <w:overflowPunct/>
        <w:topLinePunct w:val="0"/>
        <w:autoSpaceDE/>
        <w:autoSpaceDN/>
        <w:bidi w:val="0"/>
        <w:snapToGrid/>
        <w:spacing w:line="548" w:lineRule="exact"/>
        <w:ind w:firstLine="640" w:firstLineChars="200"/>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2024年11月2</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119FF7D9">
      <w:pPr>
        <w:spacing w:line="588" w:lineRule="exact"/>
        <w:rPr>
          <w:rFonts w:ascii="仿宋_GB2312" w:hAnsi="仿宋" w:eastAsia="仿宋_GB2312"/>
          <w:sz w:val="32"/>
          <w:szCs w:val="32"/>
        </w:rPr>
      </w:pPr>
    </w:p>
    <w:p w14:paraId="4DD519A0">
      <w:pPr>
        <w:widowControl/>
        <w:spacing w:line="460" w:lineRule="exact"/>
        <w:outlineLvl w:val="0"/>
        <w:rPr>
          <w:rFonts w:ascii="仿宋_GB2312" w:hAnsi="Tahoma" w:eastAsia="仿宋_GB2312" w:cs="Tahoma"/>
          <w:color w:val="000000"/>
          <w:sz w:val="32"/>
          <w:szCs w:val="32"/>
          <w:u w:val="thick"/>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6E7E6C08">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127E8704">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2531">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6FFD3F7B"/>
    <w:rsid w:val="719DB9E3"/>
    <w:rsid w:val="724F6957"/>
    <w:rsid w:val="7AF6F996"/>
    <w:rsid w:val="A5FF156C"/>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 w:type="paragraph" w:customStyle="1" w:styleId="19">
    <w:name w:val="中文报告书样式"/>
    <w:basedOn w:val="1"/>
    <w:qFormat/>
    <w:uiPriority w:val="0"/>
    <w:pPr>
      <w:adjustRightInd w:val="0"/>
      <w:spacing w:line="480" w:lineRule="atLeast"/>
      <w:ind w:firstLine="482"/>
      <w:textAlignment w:val="baseline"/>
    </w:pPr>
    <w:rPr>
      <w:rFonts w:eastAsia="宋体"/>
      <w:kern w:val="24"/>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1743</Words>
  <Characters>1892</Characters>
  <Lines>2</Lines>
  <Paragraphs>1</Paragraphs>
  <TotalTime>3</TotalTime>
  <ScaleCrop>false</ScaleCrop>
  <LinksUpToDate>false</LinksUpToDate>
  <CharactersWithSpaces>2193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2024-12-02T08:34:05Z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7E42897055954FB8BCEBCB2FE9D5DDC4_12</vt:lpwstr>
  </property>
</Properties>
</file>