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40107">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天津经济技术开发区生态环境局关于保利泰科汽车零部件（天津）有限公司扩建生产M282发动机进气管产线项目环境影响报告表的批复</w:t>
      </w:r>
    </w:p>
    <w:p w14:paraId="323F5573">
      <w:pPr>
        <w:keepNext w:val="0"/>
        <w:keepLines w:val="0"/>
        <w:pageBreakBefore w:val="0"/>
        <w:kinsoku/>
        <w:wordWrap/>
        <w:overflowPunct/>
        <w:topLinePunct w:val="0"/>
        <w:autoSpaceDE/>
        <w:autoSpaceDN/>
        <w:bidi w:val="0"/>
        <w:snapToGrid/>
        <w:spacing w:line="560" w:lineRule="exact"/>
        <w:jc w:val="center"/>
        <w:textAlignment w:val="auto"/>
        <w:outlineLvl w:val="0"/>
        <w:rPr>
          <w:rFonts w:hint="eastAsia" w:ascii="方正小标宋简体" w:eastAsia="方正小标宋简体"/>
          <w:bCs/>
          <w:sz w:val="44"/>
          <w:szCs w:val="44"/>
        </w:rPr>
      </w:pPr>
    </w:p>
    <w:p w14:paraId="4A39AB8E">
      <w:pPr>
        <w:keepNext w:val="0"/>
        <w:keepLines w:val="0"/>
        <w:pageBreakBefore w:val="0"/>
        <w:kinsoku/>
        <w:wordWrap/>
        <w:overflowPunct/>
        <w:topLinePunct w:val="0"/>
        <w:autoSpaceDE/>
        <w:autoSpaceDN/>
        <w:bidi w:val="0"/>
        <w:snapToGrid/>
        <w:spacing w:line="560" w:lineRule="exact"/>
        <w:textAlignment w:val="auto"/>
        <w:rPr>
          <w:rFonts w:hint="eastAsia" w:ascii="仿宋_GB2312" w:hAnsi="仿宋" w:eastAsia="仿宋_GB2312"/>
          <w:sz w:val="32"/>
          <w:szCs w:val="32"/>
        </w:rPr>
      </w:pPr>
      <w:r>
        <w:rPr>
          <w:rFonts w:hint="eastAsia" w:ascii="仿宋_GB2312" w:hAnsi="仿宋" w:eastAsia="仿宋_GB2312"/>
          <w:sz w:val="32"/>
          <w:szCs w:val="32"/>
        </w:rPr>
        <w:t>保利泰科汽车零部件（天津）有限公司：</w:t>
      </w:r>
    </w:p>
    <w:p w14:paraId="45F47D5D">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你公司所报《保利泰科汽车零部件（天津）有限公司扩建生产M282发动机进气管产线项目环境影响报告表》收悉，经审核后批复如下：</w:t>
      </w:r>
    </w:p>
    <w:p w14:paraId="51ADBDBC">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西区环泰南街55号进行“扩建生产M282发动机进气管产线项目”建设。该项目拟在现有厂房预留区域扩建一条M282发动机进气管生产线，主要包括干燥、注塑成型、测试、组装等工序，设计新增年产M282发动机进气管15万件，现有产品产能不变。该项目总投资2000万元，环保投资20万元，占投资总额的1%。</w:t>
      </w:r>
    </w:p>
    <w:p w14:paraId="715A8E7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0C6A6B19">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43BADBE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（一）该项目注塑成型工序产生的废气经收集进入现有一套活性炭吸附装置处理，由现有1根20米高排气筒（P1）达标排放。</w:t>
      </w:r>
    </w:p>
    <w:p w14:paraId="31E1FA2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氨的排放浓度执行《大气污染物综合排放标准》（GB16297-1996）相应标准限值，氨的排放速率、臭气浓度执行《恶臭污染物排放标准》（DB12/059-2018）相应标准限值。</w:t>
      </w:r>
    </w:p>
    <w:p w14:paraId="6841A05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该项目无组织排放源为注塑成型工序集气罩未捕集的废气，主要污染物为非甲烷总烃、氨、臭气浓度。厂房外非甲烷总烃执行《工业企业挥发性有机物排放控制标准》（DB12/524-2020）相应标准限值，厂界非甲烷总烃执行《合成树脂工业污染物排放标准》（GB31572-2015）相应标准限值，厂界氨、臭气浓度执行《恶臭污染物排放标准》（DB12/059-2018）相应标准限值。</w:t>
      </w:r>
    </w:p>
    <w:p w14:paraId="54ADD733">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在满足安全生产前提下应保证相关生产车间密闭，合理布置废气收集装置并做好废气处理设施的运行维护，及时更换活性炭等，确保废气有效收集、处理及达标排放，严格控制无组织排放。</w:t>
      </w:r>
    </w:p>
    <w:p w14:paraId="7F9A3214">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（二）根据报告表，该项目无新增废水排放。</w:t>
      </w:r>
    </w:p>
    <w:p w14:paraId="5EC0ABE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7460C95C">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0B35A4E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四、该项目建成后，新增主要污染物排放总量由你公司已批复总量指标平衡解决。</w:t>
      </w:r>
    </w:p>
    <w:p w14:paraId="3374FE2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五、你公司应按照相关部门要求及时针对污染防治设施开展安全风险辨识和评估，将其安全管理措施一并纳入全厂安全生产规章制度中，自觉接受相关部门监管。</w:t>
      </w:r>
    </w:p>
    <w:p w14:paraId="60DDD59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六、你公司应按照相关法律法规及排污许可证申请与核发技术规范要求及时申请、延续、变更排污许可证，不得无证排污或不按证排污。</w:t>
      </w:r>
    </w:p>
    <w:p w14:paraId="6D23DC42">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七、根据《企业事业单位突发环境事件应急预案备案管理办法（试行）》（环发〔2015〕4号）等有关规定，你公司应在该项目投入生产或使用前履行“环境应急预案”编制（修订）及备案工作。</w:t>
      </w:r>
    </w:p>
    <w:p w14:paraId="28F7E0CB">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14:paraId="7C9BEBE6">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4BC7672C">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533655CE">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472511F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4135EA68">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p>
    <w:p w14:paraId="6B5A4FF5">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 w:eastAsia="仿宋_GB2312"/>
          <w:sz w:val="32"/>
          <w:szCs w:val="32"/>
        </w:rPr>
      </w:pPr>
      <w:bookmarkStart w:id="0" w:name="_GoBack"/>
      <w:bookmarkEnd w:id="0"/>
    </w:p>
    <w:p w14:paraId="466A6C1B">
      <w:pPr>
        <w:keepNext w:val="0"/>
        <w:keepLines w:val="0"/>
        <w:pageBreakBefore w:val="0"/>
        <w:kinsoku/>
        <w:wordWrap/>
        <w:overflowPunct/>
        <w:topLinePunct w:val="0"/>
        <w:autoSpaceDE/>
        <w:autoSpaceDN/>
        <w:bidi w:val="0"/>
        <w:snapToGrid/>
        <w:spacing w:line="560" w:lineRule="exact"/>
        <w:ind w:firstLine="640" w:firstLineChars="200"/>
        <w:jc w:val="right"/>
        <w:textAlignment w:val="auto"/>
        <w:rPr>
          <w:rFonts w:hint="eastAsia" w:ascii="仿宋_GB2312" w:hAnsi="仿宋" w:eastAsia="仿宋_GB2312"/>
          <w:sz w:val="32"/>
          <w:szCs w:val="32"/>
        </w:rPr>
      </w:pPr>
      <w:r>
        <w:rPr>
          <w:rFonts w:hint="eastAsia" w:ascii="仿宋_GB2312" w:hAnsi="仿宋" w:eastAsia="仿宋_GB2312"/>
          <w:sz w:val="32"/>
          <w:szCs w:val="32"/>
        </w:rPr>
        <w:t>天津经济技术开发区生态环境局</w:t>
      </w:r>
    </w:p>
    <w:p w14:paraId="12B18E38">
      <w:pPr>
        <w:keepNext w:val="0"/>
        <w:keepLines w:val="0"/>
        <w:pageBreakBefore w:val="0"/>
        <w:kinsoku/>
        <w:wordWrap w:val="0"/>
        <w:overflowPunct/>
        <w:topLinePunct w:val="0"/>
        <w:autoSpaceDE/>
        <w:autoSpaceDN/>
        <w:bidi w:val="0"/>
        <w:snapToGrid/>
        <w:spacing w:line="56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2024年11月18日</w:t>
      </w:r>
      <w:r>
        <w:rPr>
          <w:rFonts w:hint="eastAsia" w:ascii="仿宋_GB2312" w:hAnsi="仿宋" w:eastAsia="仿宋_GB2312"/>
          <w:sz w:val="32"/>
          <w:szCs w:val="32"/>
          <w:lang w:val="en-US" w:eastAsia="zh-CN"/>
        </w:rPr>
        <w:t xml:space="preserve">    </w:t>
      </w:r>
    </w:p>
    <w:p w14:paraId="5F926F05">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（此件主动公开）</w:t>
      </w:r>
    </w:p>
    <w:p w14:paraId="0A655372">
      <w:pPr>
        <w:spacing w:line="588" w:lineRule="exact"/>
        <w:rPr>
          <w:rFonts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665A2E1F">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48F696F8">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B1D61">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1A7F6446"/>
    <w:rsid w:val="37F10E9B"/>
    <w:rsid w:val="6FFD3F7B"/>
    <w:rsid w:val="7AF6F996"/>
    <w:rsid w:val="CBBF3012"/>
    <w:rsid w:val="DEBF5EDD"/>
    <w:rsid w:val="FBFF6B9B"/>
    <w:rsid w:val="FF37DD14"/>
    <w:rsid w:val="FFBFAF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1591</Words>
  <Characters>1740</Characters>
  <Lines>2</Lines>
  <Paragraphs>1</Paragraphs>
  <TotalTime>1</TotalTime>
  <ScaleCrop>false</ScaleCrop>
  <LinksUpToDate>false</LinksUpToDate>
  <CharactersWithSpaces>1903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2024-11-22T07:30:20Z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F2E146502E5D4A489342234C85A4C129_12</vt:lpwstr>
  </property>
</Properties>
</file>