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88" w:lineRule="exact"/>
        <w:jc w:val="center"/>
        <w:rPr>
          <w:rFonts w:hint="eastAsia" w:ascii="方正小标宋简体" w:eastAsia="方正小标宋简体"/>
          <w:bCs/>
          <w:color w:val="000000"/>
          <w:sz w:val="44"/>
          <w:szCs w:val="44"/>
          <w:lang w:eastAsia="zh-CN"/>
        </w:rPr>
      </w:pPr>
      <w:bookmarkStart w:id="0" w:name="_GoBack"/>
      <w:r>
        <w:rPr>
          <w:rFonts w:hint="eastAsia" w:ascii="方正小标宋简体" w:eastAsia="方正小标宋简体"/>
          <w:bCs/>
          <w:color w:val="000000"/>
          <w:sz w:val="44"/>
          <w:szCs w:val="44"/>
        </w:rPr>
        <w:t>中共天津经济技术开发区工作委员会（天津经济技术开发区管理委员会）办公室关于修订发布</w:t>
      </w:r>
    </w:p>
    <w:p>
      <w:pPr>
        <w:pStyle w:val="2"/>
        <w:spacing w:line="588" w:lineRule="exact"/>
        <w:jc w:val="center"/>
        <w:rPr>
          <w:rFonts w:ascii="方正小标宋简体" w:eastAsia="方正小标宋简体"/>
          <w:bCs/>
          <w:color w:val="000000"/>
          <w:sz w:val="44"/>
          <w:szCs w:val="44"/>
          <w:lang w:eastAsia="zh-CN"/>
        </w:rPr>
      </w:pPr>
      <w:r>
        <w:rPr>
          <w:rFonts w:hint="eastAsia" w:ascii="方正小标宋简体" w:eastAsia="方正小标宋简体"/>
          <w:bCs/>
          <w:color w:val="000000"/>
          <w:sz w:val="44"/>
          <w:szCs w:val="44"/>
        </w:rPr>
        <w:t>天津开发区公证规定的</w:t>
      </w:r>
      <w:r>
        <w:rPr>
          <w:rFonts w:hint="eastAsia" w:ascii="方正小标宋简体" w:eastAsia="方正小标宋简体"/>
          <w:bCs/>
          <w:color w:val="000000"/>
          <w:sz w:val="44"/>
          <w:szCs w:val="44"/>
          <w:lang w:eastAsia="zh-CN"/>
        </w:rPr>
        <w:t>通知</w:t>
      </w:r>
    </w:p>
    <w:bookmarkEnd w:id="0"/>
    <w:p>
      <w:pPr>
        <w:pStyle w:val="2"/>
        <w:spacing w:line="588" w:lineRule="exact"/>
        <w:jc w:val="left"/>
        <w:rPr>
          <w:rFonts w:ascii="方正小标宋简体" w:eastAsia="方正小标宋简体"/>
          <w:bCs/>
          <w:color w:val="000000"/>
          <w:sz w:val="44"/>
          <w:szCs w:val="44"/>
        </w:rPr>
      </w:pPr>
    </w:p>
    <w:p>
      <w:pPr>
        <w:pStyle w:val="2"/>
        <w:spacing w:line="588" w:lineRule="exact"/>
        <w:jc w:val="left"/>
        <w:rPr>
          <w:rFonts w:ascii="仿宋_GB2312" w:eastAsia="仿宋_GB2312"/>
          <w:bCs/>
          <w:color w:val="000000"/>
          <w:sz w:val="32"/>
          <w:szCs w:val="32"/>
          <w:lang w:eastAsia="zh-CN"/>
        </w:rPr>
      </w:pPr>
      <w:r>
        <w:rPr>
          <w:rFonts w:hint="eastAsia" w:ascii="仿宋_GB2312" w:eastAsia="仿宋_GB2312"/>
          <w:bCs/>
          <w:color w:val="000000"/>
          <w:sz w:val="32"/>
          <w:szCs w:val="32"/>
        </w:rPr>
        <w:t>工委、管委会各部门、各单位、各直属企业，各有关驻区单位，泰达控股公司办公室</w:t>
      </w:r>
      <w:r>
        <w:rPr>
          <w:rFonts w:hint="eastAsia" w:ascii="仿宋_GB2312" w:eastAsia="仿宋_GB2312"/>
          <w:bCs/>
          <w:color w:val="000000"/>
          <w:sz w:val="32"/>
          <w:szCs w:val="32"/>
          <w:lang w:eastAsia="zh-CN"/>
        </w:rPr>
        <w:t>：</w:t>
      </w:r>
    </w:p>
    <w:p>
      <w:pPr>
        <w:pStyle w:val="2"/>
        <w:spacing w:line="588" w:lineRule="exact"/>
        <w:ind w:firstLine="645"/>
        <w:jc w:val="left"/>
        <w:rPr>
          <w:rFonts w:ascii="仿宋_GB2312" w:eastAsia="仿宋_GB2312"/>
          <w:bCs/>
          <w:color w:val="000000"/>
          <w:sz w:val="32"/>
          <w:szCs w:val="32"/>
        </w:rPr>
        <w:sectPr>
          <w:footerReference r:id="rId3" w:type="default"/>
          <w:footerReference r:id="rId4" w:type="even"/>
          <w:pgSz w:w="11906" w:h="16838"/>
          <w:pgMar w:top="4082" w:right="1418" w:bottom="1985" w:left="1418" w:header="851" w:footer="992" w:gutter="0"/>
          <w:pgNumType w:fmt="numberInDash"/>
          <w:cols w:space="425" w:num="1"/>
          <w:docGrid w:linePitch="312" w:charSpace="0"/>
        </w:sectPr>
      </w:pPr>
      <w:r>
        <w:rPr>
          <w:rFonts w:hint="eastAsia" w:ascii="仿宋_GB2312" w:eastAsia="仿宋_GB2312"/>
          <w:bCs/>
          <w:color w:val="000000"/>
          <w:sz w:val="32"/>
          <w:szCs w:val="32"/>
        </w:rPr>
        <w:t>《天津经济技术开发区公证规定》对规范我区公证工作，引导当事人依法从事民事、经济活动，完善开发区法治和营商环境起到了重要作用。根据区域实际，对《天津经济技术开发区公证规定》进行了修订，业经2019年工委会议第16次会议通过，现予发布。各有关单位须认真遵照执行。</w:t>
      </w:r>
    </w:p>
    <w:p>
      <w:pPr>
        <w:pStyle w:val="2"/>
        <w:spacing w:line="588" w:lineRule="exact"/>
        <w:ind w:firstLine="645"/>
        <w:jc w:val="left"/>
        <w:rPr>
          <w:rFonts w:hint="eastAsia" w:ascii="仿宋_GB2312" w:eastAsia="仿宋_GB2312"/>
          <w:bCs/>
          <w:color w:val="000000"/>
          <w:sz w:val="32"/>
          <w:szCs w:val="32"/>
          <w:lang w:eastAsia="zh-CN"/>
        </w:rPr>
      </w:pPr>
    </w:p>
    <w:p>
      <w:pPr>
        <w:pStyle w:val="2"/>
        <w:spacing w:line="588" w:lineRule="exact"/>
        <w:ind w:firstLine="645"/>
        <w:jc w:val="left"/>
        <w:rPr>
          <w:rFonts w:hint="eastAsia" w:ascii="仿宋_GB2312" w:eastAsia="仿宋_GB2312"/>
          <w:bCs/>
          <w:color w:val="000000"/>
          <w:sz w:val="32"/>
          <w:szCs w:val="32"/>
          <w:lang w:eastAsia="zh-CN"/>
        </w:rPr>
      </w:pPr>
    </w:p>
    <w:p>
      <w:pPr>
        <w:pStyle w:val="2"/>
        <w:spacing w:line="588" w:lineRule="exact"/>
        <w:ind w:firstLine="645"/>
        <w:jc w:val="left"/>
        <w:rPr>
          <w:rFonts w:hint="eastAsia" w:ascii="仿宋_GB2312" w:eastAsia="仿宋_GB2312"/>
          <w:bCs/>
          <w:color w:val="000000"/>
          <w:sz w:val="32"/>
          <w:szCs w:val="32"/>
          <w:lang w:eastAsia="zh-CN"/>
        </w:rPr>
      </w:pPr>
    </w:p>
    <w:p>
      <w:pPr>
        <w:pStyle w:val="2"/>
        <w:spacing w:line="588" w:lineRule="exact"/>
        <w:ind w:firstLine="645"/>
        <w:jc w:val="left"/>
        <w:rPr>
          <w:rFonts w:ascii="仿宋_GB2312" w:eastAsia="仿宋_GB2312"/>
          <w:bCs/>
          <w:color w:val="000000"/>
          <w:sz w:val="32"/>
          <w:szCs w:val="32"/>
        </w:rPr>
      </w:pPr>
    </w:p>
    <w:p>
      <w:pPr>
        <w:spacing w:line="588" w:lineRule="exact"/>
        <w:rPr>
          <w:rFonts w:hint="eastAsia" w:ascii="仿宋_GB2312" w:eastAsia="仿宋_GB2312"/>
          <w:sz w:val="32"/>
          <w:szCs w:val="32"/>
        </w:rPr>
      </w:pPr>
      <w:r>
        <w:rPr>
          <w:rFonts w:hint="eastAsia" w:ascii="仿宋_GB2312" w:eastAsia="仿宋_GB2312"/>
          <w:sz w:val="32"/>
          <w:szCs w:val="32"/>
        </w:rPr>
        <w:t xml:space="preserve">               中共天津经济技术开发区工作委员会</w:t>
      </w:r>
    </w:p>
    <w:p>
      <w:pPr>
        <w:spacing w:line="588" w:lineRule="exact"/>
        <w:rPr>
          <w:rFonts w:ascii="仿宋_GB2312" w:eastAsia="仿宋_GB2312"/>
          <w:sz w:val="32"/>
          <w:szCs w:val="32"/>
        </w:rPr>
      </w:pPr>
      <w:r>
        <w:rPr>
          <w:rFonts w:hint="eastAsia" w:ascii="仿宋_GB2312" w:eastAsia="仿宋_GB2312"/>
          <w:sz w:val="32"/>
          <w:szCs w:val="32"/>
        </w:rPr>
        <w:t xml:space="preserve">          （天津经济技术开发区管理委员会）办公室</w:t>
      </w:r>
    </w:p>
    <w:p>
      <w:pPr>
        <w:pStyle w:val="2"/>
        <w:spacing w:line="588" w:lineRule="exact"/>
        <w:ind w:right="1280" w:firstLine="645"/>
        <w:rPr>
          <w:rFonts w:ascii="仿宋_GB2312" w:eastAsia="仿宋_GB2312"/>
          <w:bCs/>
          <w:color w:val="000000"/>
          <w:sz w:val="32"/>
          <w:szCs w:val="32"/>
        </w:rPr>
      </w:pPr>
      <w:r>
        <w:rPr>
          <w:rFonts w:hint="eastAsia" w:ascii="仿宋_GB2312" w:eastAsia="仿宋_GB2312"/>
          <w:bCs/>
          <w:color w:val="000000"/>
          <w:sz w:val="32"/>
          <w:szCs w:val="32"/>
          <w:lang w:val="en-US" w:eastAsia="zh-CN"/>
        </w:rPr>
        <w:t xml:space="preserve">                       </w:t>
      </w:r>
      <w:r>
        <w:rPr>
          <w:rFonts w:hint="eastAsia" w:ascii="仿宋_GB2312" w:eastAsia="仿宋_GB2312"/>
          <w:bCs/>
          <w:color w:val="000000"/>
          <w:sz w:val="32"/>
          <w:szCs w:val="32"/>
        </w:rPr>
        <w:t>2019年6月</w:t>
      </w:r>
      <w:r>
        <w:rPr>
          <w:rFonts w:hint="eastAsia" w:ascii="仿宋_GB2312" w:eastAsia="仿宋_GB2312"/>
          <w:bCs/>
          <w:color w:val="000000"/>
          <w:sz w:val="32"/>
          <w:szCs w:val="32"/>
          <w:lang w:val="en-US" w:eastAsia="zh-CN"/>
        </w:rPr>
        <w:t>20</w:t>
      </w:r>
      <w:r>
        <w:rPr>
          <w:rFonts w:hint="eastAsia" w:ascii="仿宋_GB2312" w:eastAsia="仿宋_GB2312"/>
          <w:bCs/>
          <w:color w:val="000000"/>
          <w:sz w:val="32"/>
          <w:szCs w:val="32"/>
        </w:rPr>
        <w:t>日</w:t>
      </w:r>
    </w:p>
    <w:p>
      <w:pPr>
        <w:pStyle w:val="2"/>
        <w:pageBreakBefore/>
        <w:spacing w:line="588" w:lineRule="exact"/>
        <w:jc w:val="left"/>
        <w:rPr>
          <w:rFonts w:ascii="方正小标宋简体" w:eastAsia="方正小标宋简体"/>
          <w:bCs/>
          <w:color w:val="000000"/>
          <w:sz w:val="44"/>
          <w:szCs w:val="44"/>
        </w:rPr>
      </w:pPr>
    </w:p>
    <w:p>
      <w:pPr>
        <w:pStyle w:val="2"/>
        <w:spacing w:line="588" w:lineRule="exact"/>
        <w:jc w:val="center"/>
        <w:rPr>
          <w:rFonts w:ascii="方正小标宋简体" w:eastAsia="方正小标宋简体"/>
          <w:bCs/>
          <w:color w:val="000000"/>
          <w:sz w:val="44"/>
          <w:szCs w:val="44"/>
        </w:rPr>
      </w:pPr>
      <w:r>
        <w:rPr>
          <w:rFonts w:hint="eastAsia" w:ascii="方正小标宋简体" w:eastAsia="方正小标宋简体"/>
          <w:bCs/>
          <w:color w:val="000000"/>
          <w:sz w:val="44"/>
          <w:szCs w:val="44"/>
        </w:rPr>
        <w:t>天津经济技术开发区公证规定</w:t>
      </w:r>
    </w:p>
    <w:p>
      <w:pPr>
        <w:pStyle w:val="2"/>
        <w:spacing w:line="588" w:lineRule="exact"/>
        <w:ind w:firstLine="883" w:firstLineChars="200"/>
        <w:rPr>
          <w:rFonts w:ascii="方正小标宋简体" w:eastAsia="方正小标宋简体"/>
          <w:b/>
          <w:color w:val="000000"/>
          <w:sz w:val="44"/>
          <w:szCs w:val="44"/>
        </w:rPr>
      </w:pPr>
    </w:p>
    <w:p>
      <w:pPr>
        <w:pStyle w:val="2"/>
        <w:spacing w:line="58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第一条  为了规范天津经济技术开发区（简称开发区）公证活动，引导当事人依法从事民事、经济活动，维护</w:t>
      </w:r>
      <w:r>
        <w:rPr>
          <w:rFonts w:hint="eastAsia" w:ascii="仿宋_GB2312" w:eastAsia="仿宋_GB2312"/>
          <w:bCs/>
          <w:color w:val="000000"/>
          <w:sz w:val="32"/>
          <w:szCs w:val="32"/>
        </w:rPr>
        <w:t>自然人</w:t>
      </w:r>
      <w:r>
        <w:rPr>
          <w:rFonts w:hint="eastAsia" w:ascii="仿宋_GB2312" w:eastAsia="仿宋_GB2312"/>
          <w:color w:val="000000"/>
          <w:sz w:val="32"/>
          <w:szCs w:val="32"/>
        </w:rPr>
        <w:t>、法人及其他组织的合法权益，根据</w:t>
      </w:r>
      <w:r>
        <w:rPr>
          <w:rFonts w:hint="eastAsia" w:ascii="仿宋_GB2312" w:eastAsia="仿宋_GB2312"/>
          <w:bCs/>
          <w:color w:val="000000"/>
          <w:sz w:val="32"/>
          <w:szCs w:val="32"/>
        </w:rPr>
        <w:t>《中华人民共和国公证法》</w:t>
      </w:r>
      <w:r>
        <w:rPr>
          <w:rFonts w:hint="eastAsia" w:ascii="仿宋_GB2312" w:eastAsia="仿宋_GB2312"/>
          <w:color w:val="000000"/>
          <w:sz w:val="32"/>
          <w:szCs w:val="32"/>
        </w:rPr>
        <w:t>《中华人民共和国民事诉讼法》，以及</w:t>
      </w:r>
      <w:r>
        <w:rPr>
          <w:rFonts w:hint="eastAsia" w:ascii="仿宋_GB2312" w:eastAsia="仿宋_GB2312"/>
          <w:bCs/>
          <w:color w:val="000000"/>
          <w:sz w:val="32"/>
          <w:szCs w:val="32"/>
        </w:rPr>
        <w:t>司法部《公证程序规则》</w:t>
      </w:r>
      <w:r>
        <w:rPr>
          <w:rFonts w:hint="eastAsia" w:ascii="仿宋_GB2312" w:eastAsia="仿宋_GB2312"/>
          <w:color w:val="000000"/>
          <w:sz w:val="32"/>
          <w:szCs w:val="32"/>
        </w:rPr>
        <w:t>，结合开发区实际，制定本规定。</w:t>
      </w:r>
    </w:p>
    <w:p>
      <w:pPr>
        <w:pStyle w:val="2"/>
        <w:spacing w:line="58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第二条  公证机构是国家专门证明机构，依法行使公证职能。</w:t>
      </w:r>
    </w:p>
    <w:p>
      <w:pPr>
        <w:pStyle w:val="2"/>
        <w:spacing w:line="58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第三条  公证机构依法独立行使公证职能，独立承担民事责任，任何单位、个人不得非法干预,其合法权益不受侵犯。</w:t>
      </w:r>
    </w:p>
    <w:p>
      <w:pPr>
        <w:pStyle w:val="2"/>
        <w:spacing w:line="58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第四条  公证机构依照事实和法律，证明法律行为、有法律意义的事件和文书的真实性、合法性，并办理与公证有关的法律事务。</w:t>
      </w:r>
    </w:p>
    <w:p>
      <w:pPr>
        <w:pStyle w:val="2"/>
        <w:spacing w:line="588" w:lineRule="exact"/>
        <w:ind w:firstLine="640" w:firstLineChars="200"/>
        <w:rPr>
          <w:rFonts w:ascii="仿宋_GB2312" w:eastAsia="仿宋_GB2312"/>
          <w:color w:val="000000"/>
          <w:sz w:val="32"/>
          <w:szCs w:val="32"/>
        </w:rPr>
      </w:pPr>
      <w:r>
        <w:rPr>
          <w:rFonts w:hint="eastAsia" w:ascii="仿宋_GB2312" w:eastAsia="仿宋_GB2312"/>
          <w:bCs/>
          <w:color w:val="000000"/>
          <w:sz w:val="32"/>
          <w:szCs w:val="32"/>
        </w:rPr>
        <w:t>第五条  公证机构办理公证应当遵守法律，坚持客观公正原则。</w:t>
      </w:r>
    </w:p>
    <w:p>
      <w:pPr>
        <w:pStyle w:val="2"/>
        <w:spacing w:line="58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公证机构办理公证应当维护国家利益、社会公共利益和当事人的合法权益。</w:t>
      </w:r>
    </w:p>
    <w:p>
      <w:pPr>
        <w:pStyle w:val="2"/>
        <w:spacing w:line="58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第六条  公证机构依法证明下列法律行为、有法律意义的事件和文书的真实性、合法性：</w:t>
      </w:r>
    </w:p>
    <w:p>
      <w:pPr>
        <w:pStyle w:val="2"/>
        <w:spacing w:line="58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（一）合同；</w:t>
      </w:r>
    </w:p>
    <w:p>
      <w:pPr>
        <w:pStyle w:val="2"/>
        <w:spacing w:line="58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（二）继承； </w:t>
      </w:r>
    </w:p>
    <w:p>
      <w:pPr>
        <w:pStyle w:val="2"/>
        <w:spacing w:line="58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（三）委托、声明、赠与、遗嘱；</w:t>
      </w:r>
    </w:p>
    <w:p>
      <w:pPr>
        <w:pStyle w:val="2"/>
        <w:spacing w:line="588" w:lineRule="exact"/>
        <w:ind w:firstLine="640" w:firstLineChars="200"/>
        <w:rPr>
          <w:rFonts w:ascii="仿宋_GB2312" w:eastAsia="仿宋_GB2312"/>
          <w:color w:val="000000"/>
          <w:sz w:val="32"/>
          <w:szCs w:val="32"/>
          <w:lang w:eastAsia="zh-CN"/>
        </w:rPr>
      </w:pPr>
      <w:r>
        <w:rPr>
          <w:rFonts w:hint="eastAsia" w:ascii="仿宋_GB2312" w:eastAsia="仿宋_GB2312"/>
          <w:color w:val="000000"/>
          <w:sz w:val="32"/>
          <w:szCs w:val="32"/>
        </w:rPr>
        <w:t>（四）财产分割；</w:t>
      </w:r>
    </w:p>
    <w:p>
      <w:pPr>
        <w:pStyle w:val="2"/>
        <w:spacing w:line="58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（五）招标投标、拍卖；</w:t>
      </w:r>
    </w:p>
    <w:p>
      <w:pPr>
        <w:pStyle w:val="2"/>
        <w:spacing w:line="58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（六）婚姻状况、亲属关系、收养关系；</w:t>
      </w:r>
    </w:p>
    <w:p>
      <w:pPr>
        <w:pStyle w:val="2"/>
        <w:spacing w:line="58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（七）出生、生存、死亡、身份、经历、学历、学位、职务、职称、有无违法犯罪记录；</w:t>
      </w:r>
    </w:p>
    <w:p>
      <w:pPr>
        <w:pStyle w:val="2"/>
        <w:spacing w:line="58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（八）公司章程； </w:t>
      </w:r>
    </w:p>
    <w:p>
      <w:pPr>
        <w:pStyle w:val="2"/>
        <w:spacing w:line="58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（九）保全证据；</w:t>
      </w:r>
    </w:p>
    <w:p>
      <w:pPr>
        <w:pStyle w:val="2"/>
        <w:spacing w:line="58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（十）文书上的签名、印鉴、日期，文书的副本、影印本与原本相符；</w:t>
      </w:r>
    </w:p>
    <w:p>
      <w:pPr>
        <w:pStyle w:val="2"/>
        <w:spacing w:line="58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（十一）自然人、法人或者其他组织自愿申请办理的其他公证事项。</w:t>
      </w:r>
    </w:p>
    <w:p>
      <w:pPr>
        <w:pStyle w:val="2"/>
        <w:spacing w:line="58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法律、行政法规规定应当公证的事项，有关自然人、法人或者其他组织应当向公证机构申请办理公证。</w:t>
      </w:r>
    </w:p>
    <w:p>
      <w:pPr>
        <w:pStyle w:val="2"/>
        <w:spacing w:line="58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第七条  </w:t>
      </w:r>
      <w:r>
        <w:rPr>
          <w:rFonts w:hint="eastAsia" w:ascii="仿宋_GB2312" w:eastAsia="仿宋_GB2312"/>
          <w:bCs/>
          <w:color w:val="000000"/>
          <w:sz w:val="32"/>
          <w:szCs w:val="32"/>
        </w:rPr>
        <w:t>对下列法律行为、文书应当加强公证</w:t>
      </w:r>
      <w:r>
        <w:rPr>
          <w:rFonts w:hint="eastAsia" w:ascii="仿宋_GB2312" w:eastAsia="仿宋_GB2312"/>
          <w:color w:val="000000"/>
          <w:sz w:val="32"/>
          <w:szCs w:val="32"/>
        </w:rPr>
        <w:t>：</w:t>
      </w:r>
    </w:p>
    <w:p>
      <w:pPr>
        <w:pStyle w:val="2"/>
        <w:spacing w:line="58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（一）土地使用权出让、转让、租赁、抵押合同（协议）；</w:t>
      </w:r>
    </w:p>
    <w:p>
      <w:pPr>
        <w:pStyle w:val="2"/>
        <w:spacing w:line="58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（二）房屋产权转让、抵押、租赁合同（协议）；</w:t>
      </w:r>
    </w:p>
    <w:p>
      <w:pPr>
        <w:pStyle w:val="2"/>
        <w:spacing w:line="58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（三）国有企业改制中涉及的企业兼并、转让、股权变更合同（协议）；</w:t>
      </w:r>
    </w:p>
    <w:p>
      <w:pPr>
        <w:pStyle w:val="2"/>
        <w:spacing w:line="58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（四）招标投标项目及签订的相关合同；</w:t>
      </w:r>
    </w:p>
    <w:p>
      <w:pPr>
        <w:pStyle w:val="2"/>
        <w:spacing w:line="58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（五）以国有资产提供担保的各类合同（协议）；</w:t>
      </w:r>
    </w:p>
    <w:p>
      <w:pPr>
        <w:pStyle w:val="2"/>
        <w:spacing w:line="588" w:lineRule="exact"/>
        <w:ind w:firstLine="640" w:firstLineChars="200"/>
        <w:rPr>
          <w:rFonts w:ascii="仿宋_GB2312" w:eastAsia="仿宋_GB2312"/>
          <w:bCs/>
          <w:color w:val="000000"/>
          <w:sz w:val="32"/>
          <w:szCs w:val="32"/>
        </w:rPr>
      </w:pPr>
      <w:r>
        <w:rPr>
          <w:rFonts w:hint="eastAsia" w:ascii="仿宋_GB2312" w:eastAsia="仿宋_GB2312"/>
          <w:color w:val="000000"/>
          <w:sz w:val="32"/>
          <w:szCs w:val="32"/>
        </w:rPr>
        <w:t>（六）</w:t>
      </w:r>
      <w:r>
        <w:rPr>
          <w:rFonts w:hint="eastAsia" w:ascii="仿宋_GB2312" w:eastAsia="仿宋_GB2312"/>
          <w:bCs/>
          <w:color w:val="000000"/>
          <w:sz w:val="32"/>
          <w:szCs w:val="32"/>
        </w:rPr>
        <w:t>房屋拆迁过程中所涉及的拆迁补偿、安置协议；</w:t>
      </w:r>
    </w:p>
    <w:p>
      <w:pPr>
        <w:pStyle w:val="2"/>
        <w:spacing w:line="58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（七）各类融资合同、债务重组合同、还款合同、还款承诺、担保合同、保函等；</w:t>
      </w:r>
    </w:p>
    <w:p>
      <w:pPr>
        <w:pStyle w:val="2"/>
        <w:spacing w:line="58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（八）在知识产权创造、应用、流转、保护过程中的相关公证事项；</w:t>
      </w:r>
    </w:p>
    <w:p>
      <w:pPr>
        <w:pStyle w:val="2"/>
        <w:spacing w:line="58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（九）人民法院司法辅助事务；</w:t>
      </w:r>
    </w:p>
    <w:p>
      <w:pPr>
        <w:pStyle w:val="2"/>
        <w:spacing w:line="588" w:lineRule="exact"/>
        <w:ind w:firstLine="640" w:firstLineChars="200"/>
        <w:rPr>
          <w:rFonts w:ascii="仿宋_GB2312" w:eastAsia="仿宋_GB2312"/>
          <w:bCs/>
          <w:color w:val="000000"/>
          <w:sz w:val="32"/>
          <w:szCs w:val="32"/>
        </w:rPr>
      </w:pPr>
      <w:r>
        <w:rPr>
          <w:rFonts w:hint="eastAsia" w:ascii="仿宋_GB2312" w:eastAsia="仿宋_GB2312"/>
          <w:color w:val="000000"/>
          <w:sz w:val="32"/>
          <w:szCs w:val="32"/>
        </w:rPr>
        <w:t>（十）法律、法规规定的其他公证事项。</w:t>
      </w:r>
    </w:p>
    <w:p>
      <w:pPr>
        <w:pStyle w:val="2"/>
        <w:spacing w:line="588" w:lineRule="exact"/>
        <w:ind w:firstLine="640" w:firstLineChars="200"/>
        <w:rPr>
          <w:rFonts w:ascii="仿宋_GB2312" w:eastAsia="仿宋_GB2312"/>
          <w:bCs/>
          <w:color w:val="000000"/>
          <w:sz w:val="32"/>
          <w:szCs w:val="32"/>
        </w:rPr>
      </w:pPr>
      <w:r>
        <w:rPr>
          <w:rFonts w:hint="eastAsia" w:ascii="仿宋_GB2312" w:eastAsia="仿宋_GB2312"/>
          <w:color w:val="000000"/>
          <w:sz w:val="32"/>
          <w:szCs w:val="32"/>
        </w:rPr>
        <w:t>第八条  公证机构可以办理下列与公证有关的法律事务：</w:t>
      </w:r>
    </w:p>
    <w:p>
      <w:pPr>
        <w:pStyle w:val="2"/>
        <w:spacing w:line="588" w:lineRule="exact"/>
        <w:ind w:firstLine="640" w:firstLineChars="200"/>
        <w:rPr>
          <w:rFonts w:ascii="仿宋_GB2312" w:eastAsia="仿宋_GB2312"/>
          <w:bCs/>
          <w:color w:val="000000"/>
          <w:sz w:val="32"/>
          <w:szCs w:val="32"/>
        </w:rPr>
      </w:pPr>
      <w:r>
        <w:rPr>
          <w:rFonts w:hint="eastAsia" w:ascii="仿宋_GB2312" w:eastAsia="仿宋_GB2312"/>
          <w:color w:val="000000"/>
          <w:sz w:val="32"/>
          <w:szCs w:val="32"/>
        </w:rPr>
        <w:t>（一）清点财产、封存样品；</w:t>
      </w:r>
    </w:p>
    <w:p>
      <w:pPr>
        <w:pStyle w:val="2"/>
        <w:spacing w:line="58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（二）保管遗嘱、遗产或者其他与公证事项有关的财产、物品、文书；</w:t>
      </w:r>
    </w:p>
    <w:p>
      <w:pPr>
        <w:pStyle w:val="2"/>
        <w:spacing w:line="58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（三）法律、行政法规规定由公证机构办理的登记事务；</w:t>
      </w:r>
    </w:p>
    <w:p>
      <w:pPr>
        <w:pStyle w:val="2"/>
        <w:spacing w:line="58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（四）提供法律咨询、代写法律文书；</w:t>
      </w:r>
    </w:p>
    <w:p>
      <w:pPr>
        <w:pStyle w:val="2"/>
        <w:spacing w:line="58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（五）根据当事人的申请，依法调解经公证的合同（协议）在履行过程中发生的纠纷；</w:t>
      </w:r>
    </w:p>
    <w:p>
      <w:pPr>
        <w:pStyle w:val="2"/>
        <w:spacing w:line="58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（六）担任政府部门、企业、其他组织法律顾问；</w:t>
      </w:r>
    </w:p>
    <w:p>
      <w:pPr>
        <w:pStyle w:val="2"/>
        <w:spacing w:line="58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（七）法律、法规规定的其他法律事务。</w:t>
      </w:r>
    </w:p>
    <w:p>
      <w:pPr>
        <w:pStyle w:val="2"/>
        <w:spacing w:line="58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第九条  </w:t>
      </w:r>
      <w:r>
        <w:rPr>
          <w:rFonts w:hint="eastAsia" w:ascii="仿宋_GB2312" w:eastAsia="仿宋_GB2312"/>
          <w:bCs/>
          <w:color w:val="000000"/>
          <w:sz w:val="32"/>
          <w:szCs w:val="32"/>
        </w:rPr>
        <w:t>当事人申请公证应当提交下列材料：</w:t>
      </w:r>
    </w:p>
    <w:p>
      <w:pPr>
        <w:pStyle w:val="2"/>
        <w:spacing w:line="588" w:lineRule="exact"/>
        <w:ind w:firstLine="640" w:firstLineChars="200"/>
        <w:rPr>
          <w:rFonts w:ascii="仿宋_GB2312" w:eastAsia="仿宋_GB2312"/>
          <w:bCs/>
          <w:color w:val="000000"/>
          <w:sz w:val="32"/>
          <w:szCs w:val="32"/>
        </w:rPr>
      </w:pPr>
      <w:r>
        <w:rPr>
          <w:rFonts w:hint="eastAsia" w:ascii="仿宋_GB2312" w:eastAsia="仿宋_GB2312"/>
          <w:color w:val="000000"/>
          <w:sz w:val="32"/>
          <w:szCs w:val="32"/>
        </w:rPr>
        <w:t>（一）</w:t>
      </w:r>
      <w:r>
        <w:rPr>
          <w:rFonts w:hint="eastAsia" w:ascii="仿宋_GB2312" w:eastAsia="仿宋_GB2312"/>
          <w:bCs/>
          <w:color w:val="000000"/>
          <w:sz w:val="32"/>
          <w:szCs w:val="32"/>
        </w:rPr>
        <w:t>自然人的身份证明，法人的资格证明及其法定代表人的身份证明，其他组织的资格证明及其负责人的身份证明；</w:t>
      </w:r>
    </w:p>
    <w:p>
      <w:pPr>
        <w:pStyle w:val="2"/>
        <w:spacing w:line="588"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（二）委托他人代为申请的，代理人须提交当事人的授权委托书，法定代理人或者其他代理人须提交有代理权的证明；</w:t>
      </w:r>
    </w:p>
    <w:p>
      <w:pPr>
        <w:pStyle w:val="2"/>
        <w:spacing w:line="588"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（三）申请公证的文书；</w:t>
      </w:r>
    </w:p>
    <w:p>
      <w:pPr>
        <w:pStyle w:val="2"/>
        <w:spacing w:line="588"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（四）申请公证的事项的证明材料，涉及财产关系的须提交有关财产权利证明；</w:t>
      </w:r>
    </w:p>
    <w:p>
      <w:pPr>
        <w:pStyle w:val="2"/>
        <w:spacing w:line="588"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（五）与申请公证的事项有关的其他材料。</w:t>
      </w:r>
    </w:p>
    <w:p>
      <w:pPr>
        <w:pStyle w:val="2"/>
        <w:spacing w:line="588" w:lineRule="exact"/>
        <w:ind w:firstLine="640" w:firstLineChars="200"/>
        <w:rPr>
          <w:rFonts w:ascii="仿宋_GB2312" w:eastAsia="仿宋_GB2312"/>
          <w:bCs/>
          <w:color w:val="000000"/>
          <w:sz w:val="32"/>
          <w:szCs w:val="32"/>
        </w:rPr>
      </w:pPr>
      <w:r>
        <w:rPr>
          <w:rFonts w:hint="eastAsia" w:ascii="仿宋_GB2312" w:eastAsia="仿宋_GB2312"/>
          <w:color w:val="000000"/>
          <w:sz w:val="32"/>
          <w:szCs w:val="32"/>
        </w:rPr>
        <w:t>第十条  公证员在办理公证过程中，有权就公证事项进行</w:t>
      </w:r>
      <w:r>
        <w:rPr>
          <w:rFonts w:hint="eastAsia" w:ascii="仿宋_GB2312" w:eastAsia="仿宋_GB2312"/>
          <w:bCs/>
          <w:color w:val="000000"/>
          <w:sz w:val="32"/>
          <w:szCs w:val="32"/>
        </w:rPr>
        <w:t>核实</w:t>
      </w:r>
      <w:r>
        <w:rPr>
          <w:rFonts w:hint="eastAsia" w:ascii="仿宋_GB2312" w:eastAsia="仿宋_GB2312"/>
          <w:color w:val="000000"/>
          <w:sz w:val="32"/>
          <w:szCs w:val="32"/>
        </w:rPr>
        <w:t>，查询有关档案、资料、资产等情况，有权检验物证、勘验现场。有关单位或者个人应当依法给予配合协助。</w:t>
      </w:r>
    </w:p>
    <w:p>
      <w:pPr>
        <w:pStyle w:val="2"/>
        <w:spacing w:line="588" w:lineRule="exact"/>
        <w:ind w:firstLine="640" w:firstLineChars="200"/>
        <w:rPr>
          <w:rFonts w:ascii="仿宋_GB2312" w:eastAsia="仿宋_GB2312"/>
          <w:bCs/>
          <w:color w:val="000000"/>
          <w:sz w:val="32"/>
          <w:szCs w:val="32"/>
        </w:rPr>
      </w:pPr>
      <w:r>
        <w:rPr>
          <w:rFonts w:hint="eastAsia" w:ascii="仿宋_GB2312" w:eastAsia="仿宋_GB2312"/>
          <w:color w:val="000000"/>
          <w:sz w:val="32"/>
          <w:szCs w:val="32"/>
        </w:rPr>
        <w:t>第十一条  公证机构依法出具的公证书具有法定的证明效力，非经法定程序不得撤销。</w:t>
      </w:r>
    </w:p>
    <w:p>
      <w:pPr>
        <w:pStyle w:val="2"/>
        <w:spacing w:line="588" w:lineRule="exact"/>
        <w:ind w:firstLine="640" w:firstLineChars="200"/>
        <w:rPr>
          <w:rFonts w:ascii="仿宋_GB2312" w:eastAsia="仿宋_GB2312"/>
          <w:bCs/>
          <w:color w:val="000000"/>
          <w:sz w:val="32"/>
          <w:szCs w:val="32"/>
        </w:rPr>
      </w:pPr>
      <w:r>
        <w:rPr>
          <w:rFonts w:hint="eastAsia" w:ascii="仿宋_GB2312" w:eastAsia="仿宋_GB2312"/>
          <w:color w:val="000000"/>
          <w:sz w:val="32"/>
          <w:szCs w:val="32"/>
        </w:rPr>
        <w:t>第十二条  经过法定程序公证证明的法律行为、法律事实和文书，应当作为人民法院、仲裁机构、行政管理机关认定事实的根据。但有相反证据，足以推翻公证证明的除外。</w:t>
      </w:r>
    </w:p>
    <w:p>
      <w:pPr>
        <w:pStyle w:val="2"/>
        <w:spacing w:line="588" w:lineRule="exact"/>
        <w:ind w:firstLine="640" w:firstLineChars="200"/>
        <w:rPr>
          <w:rFonts w:ascii="仿宋_GB2312" w:eastAsia="仿宋_GB2312"/>
          <w:bCs/>
          <w:color w:val="000000"/>
          <w:sz w:val="32"/>
          <w:szCs w:val="32"/>
        </w:rPr>
      </w:pPr>
      <w:r>
        <w:rPr>
          <w:rFonts w:hint="eastAsia" w:ascii="仿宋_GB2312" w:eastAsia="仿宋_GB2312"/>
          <w:color w:val="000000"/>
          <w:sz w:val="32"/>
          <w:szCs w:val="32"/>
        </w:rPr>
        <w:t>第十三条  具有强制执行效力的债权文书的公证，应当符合下列条件：</w:t>
      </w:r>
    </w:p>
    <w:p>
      <w:pPr>
        <w:pStyle w:val="2"/>
        <w:spacing w:line="58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（一）债权文书以给付货币、物品或者有价证券为内容；</w:t>
      </w:r>
    </w:p>
    <w:p>
      <w:pPr>
        <w:pStyle w:val="2"/>
        <w:spacing w:line="58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（二）债权债务关系明确，债权人和债务人对债权文书有关给付内容无 疑义；</w:t>
      </w:r>
    </w:p>
    <w:p>
      <w:pPr>
        <w:pStyle w:val="2"/>
        <w:spacing w:line="58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（三）债权文书中载明当债务人不履行或者不适当履行义务时，债务人愿意接受强制执行的承诺；</w:t>
      </w:r>
    </w:p>
    <w:p>
      <w:pPr>
        <w:pStyle w:val="2"/>
        <w:spacing w:line="588" w:lineRule="exact"/>
        <w:ind w:firstLine="640" w:firstLineChars="200"/>
        <w:rPr>
          <w:rFonts w:ascii="仿宋_GB2312" w:eastAsia="仿宋_GB2312"/>
          <w:bCs/>
          <w:color w:val="000000"/>
          <w:sz w:val="32"/>
          <w:szCs w:val="32"/>
        </w:rPr>
      </w:pPr>
      <w:r>
        <w:rPr>
          <w:rFonts w:hint="eastAsia" w:ascii="仿宋_GB2312" w:eastAsia="仿宋_GB2312"/>
          <w:color w:val="000000"/>
          <w:sz w:val="32"/>
          <w:szCs w:val="32"/>
        </w:rPr>
        <w:t>（四）《公证法》规定的其他条件。</w:t>
      </w:r>
    </w:p>
    <w:p>
      <w:pPr>
        <w:pStyle w:val="2"/>
        <w:spacing w:line="588" w:lineRule="exact"/>
        <w:ind w:firstLine="640" w:firstLineChars="200"/>
        <w:rPr>
          <w:rFonts w:ascii="仿宋_GB2312" w:eastAsia="仿宋_GB2312"/>
          <w:bCs/>
          <w:color w:val="000000"/>
          <w:sz w:val="32"/>
          <w:szCs w:val="32"/>
        </w:rPr>
      </w:pPr>
      <w:r>
        <w:rPr>
          <w:rFonts w:hint="eastAsia" w:ascii="仿宋_GB2312" w:eastAsia="仿宋_GB2312"/>
          <w:color w:val="000000"/>
          <w:sz w:val="32"/>
          <w:szCs w:val="32"/>
        </w:rPr>
        <w:t>对经公证的以给付为内容并载明债务人愿意接受强制执行承诺的债权文书，债务人不履行或者履行不适当的，债权人可以依法向有管辖权的人民法院申请执行。</w:t>
      </w:r>
    </w:p>
    <w:p>
      <w:pPr>
        <w:pStyle w:val="2"/>
        <w:spacing w:line="588" w:lineRule="exact"/>
        <w:ind w:firstLine="640" w:firstLineChars="200"/>
        <w:rPr>
          <w:rFonts w:ascii="仿宋_GB2312" w:eastAsia="仿宋_GB2312"/>
          <w:bCs/>
          <w:color w:val="000000"/>
          <w:sz w:val="32"/>
          <w:szCs w:val="32"/>
        </w:rPr>
      </w:pPr>
      <w:r>
        <w:rPr>
          <w:rFonts w:hint="eastAsia" w:ascii="仿宋_GB2312" w:eastAsia="仿宋_GB2312"/>
          <w:color w:val="000000"/>
          <w:sz w:val="32"/>
          <w:szCs w:val="32"/>
        </w:rPr>
        <w:t xml:space="preserve">第十四条  </w:t>
      </w:r>
      <w:r>
        <w:rPr>
          <w:rFonts w:hint="eastAsia" w:ascii="仿宋_GB2312" w:eastAsia="仿宋_GB2312"/>
          <w:bCs/>
          <w:color w:val="000000"/>
          <w:sz w:val="32"/>
          <w:szCs w:val="32"/>
        </w:rPr>
        <w:t>法律、行政法规规定未经公证的事项不具有法律效力的，依照其规定。</w:t>
      </w:r>
    </w:p>
    <w:p>
      <w:pPr>
        <w:pStyle w:val="2"/>
        <w:spacing w:line="588" w:lineRule="exact"/>
        <w:ind w:firstLine="640" w:firstLineChars="200"/>
        <w:rPr>
          <w:rFonts w:ascii="仿宋_GB2312" w:eastAsia="仿宋_GB2312"/>
          <w:bCs/>
          <w:color w:val="000000"/>
          <w:sz w:val="32"/>
          <w:szCs w:val="32"/>
        </w:rPr>
      </w:pPr>
      <w:r>
        <w:rPr>
          <w:rFonts w:hint="eastAsia" w:ascii="仿宋_GB2312" w:eastAsia="仿宋_GB2312"/>
          <w:color w:val="000000"/>
          <w:sz w:val="32"/>
          <w:szCs w:val="32"/>
        </w:rPr>
        <w:t>第十五条  本规定由天津经济技术开发区管理委员会负责解释。</w:t>
      </w:r>
    </w:p>
    <w:p>
      <w:pPr>
        <w:ind w:firstLine="640" w:firstLineChars="200"/>
        <w:jc w:val="left"/>
      </w:pPr>
      <w:r>
        <w:rPr>
          <w:rFonts w:hint="eastAsia" w:ascii="仿宋_GB2312" w:eastAsia="仿宋_GB2312"/>
          <w:color w:val="000000"/>
          <w:sz w:val="32"/>
          <w:szCs w:val="32"/>
        </w:rPr>
        <w:t>第十六条  本规定自2019年6月18日起施行，2024年6月17日废止。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sz w:val="28"/>
        <w:szCs w:val="28"/>
        <w:lang w:eastAsia="zh-CN"/>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1 -</w:t>
    </w:r>
    <w:r>
      <w:rPr>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sz w:val="28"/>
        <w:szCs w:val="28"/>
        <w:lang w:eastAsia="zh-CN"/>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2 -</w:t>
    </w:r>
    <w:r>
      <w:rPr>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4MTZiYjNhYzRkOTMxMjExNTk0NmQyOTY2YTY0YjIifQ=="/>
  </w:docVars>
  <w:rsids>
    <w:rsidRoot w:val="3901385C"/>
    <w:rsid w:val="39013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2023-04-21T07:16:00Z</dcterms:created>
  <dc:creator>Administrator</dc:creator>
  <cp:lastModifiedBy>Administrator</cp:lastModifiedBy>
  <dcterms:modified xsi:type="dcterms:W3CDTF">2023-04-21T07:19:19Z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8166A3830C1F404DA52D40C1EE4CB1A4_11</vt:lpwstr>
  </property>
</Properties>
</file>