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中共天津经济技术开发区委员会办公室</w:t>
      </w:r>
    </w:p>
    <w:p>
      <w:pPr>
        <w:spacing w:line="588"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（天津经济技术开发区管理委员会办公室）</w:t>
      </w:r>
    </w:p>
    <w:p>
      <w:pPr>
        <w:spacing w:line="588" w:lineRule="exact"/>
        <w:jc w:val="center"/>
        <w:rPr>
          <w:rFonts w:hint="eastAsia" w:ascii="方正小标宋简体" w:eastAsia="方正小标宋简体"/>
          <w:sz w:val="44"/>
          <w:szCs w:val="44"/>
        </w:rPr>
      </w:pPr>
      <w:r>
        <w:rPr>
          <w:rFonts w:hint="eastAsia" w:ascii="方正小标宋简体" w:hAnsi="Microsoft YaHei UI" w:eastAsia="方正小标宋简体" w:cs="宋体"/>
          <w:spacing w:val="8"/>
          <w:kern w:val="0"/>
          <w:sz w:val="44"/>
          <w:szCs w:val="44"/>
        </w:rPr>
        <w:t>关于印发</w:t>
      </w:r>
      <w:r>
        <w:rPr>
          <w:rFonts w:hint="eastAsia" w:ascii="方正小标宋简体" w:eastAsia="方正小标宋简体"/>
          <w:sz w:val="44"/>
          <w:szCs w:val="44"/>
        </w:rPr>
        <w:t>经开区“拿地即开工”审批改革</w:t>
      </w:r>
    </w:p>
    <w:p>
      <w:pPr>
        <w:spacing w:line="588" w:lineRule="exact"/>
        <w:jc w:val="center"/>
        <w:rPr>
          <w:rFonts w:ascii="方正小标宋简体" w:eastAsia="方正小标宋简体"/>
          <w:sz w:val="44"/>
          <w:szCs w:val="44"/>
        </w:rPr>
      </w:pPr>
      <w:r>
        <w:rPr>
          <w:rFonts w:hint="eastAsia" w:ascii="方正小标宋简体" w:eastAsia="方正小标宋简体"/>
          <w:sz w:val="44"/>
          <w:szCs w:val="44"/>
        </w:rPr>
        <w:t>实施方案的通知</w:t>
      </w:r>
    </w:p>
    <w:p>
      <w:pPr>
        <w:spacing w:line="588" w:lineRule="exact"/>
        <w:jc w:val="center"/>
        <w:rPr>
          <w:rFonts w:ascii="方正小标宋简体" w:hAnsi="宋体" w:eastAsia="方正小标宋简体" w:cs="方正小标宋简体"/>
          <w:sz w:val="32"/>
          <w:szCs w:val="32"/>
        </w:rPr>
      </w:pPr>
    </w:p>
    <w:p>
      <w:pPr>
        <w:spacing w:line="588" w:lineRule="exact"/>
        <w:jc w:val="left"/>
        <w:rPr>
          <w:rFonts w:ascii="仿宋_GB2312" w:eastAsia="仿宋_GB2312"/>
          <w:i/>
          <w:iCs/>
          <w:sz w:val="32"/>
          <w:szCs w:val="32"/>
          <w:u w:val="single"/>
        </w:rPr>
      </w:pPr>
      <w:r>
        <w:rPr>
          <w:rFonts w:hint="eastAsia" w:ascii="仿宋_GB2312" w:eastAsia="仿宋_GB2312"/>
          <w:sz w:val="32"/>
          <w:szCs w:val="32"/>
        </w:rPr>
        <w:t>管委会各有关部门、有关单位、各委管企业：</w:t>
      </w:r>
    </w:p>
    <w:p>
      <w:pPr>
        <w:spacing w:line="588" w:lineRule="exact"/>
        <w:ind w:firstLine="645"/>
        <w:jc w:val="left"/>
        <w:rPr>
          <w:rFonts w:ascii="仿宋_GB2312" w:eastAsia="仿宋_GB2312"/>
          <w:sz w:val="32"/>
          <w:szCs w:val="32"/>
        </w:rPr>
      </w:pPr>
      <w:r>
        <w:rPr>
          <w:rFonts w:hint="eastAsia" w:ascii="仿宋_GB2312" w:eastAsia="仿宋_GB2312"/>
          <w:sz w:val="32"/>
          <w:szCs w:val="32"/>
        </w:rPr>
        <w:t>《天津经济技术开发区“拿地即开工”审批改革实施方案》已经管委会批准，现印发给你们，请遵照执行。</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特此通知。 </w:t>
      </w:r>
    </w:p>
    <w:p>
      <w:pPr>
        <w:spacing w:line="588" w:lineRule="exact"/>
        <w:ind w:firstLine="645"/>
        <w:jc w:val="right"/>
        <w:rPr>
          <w:rFonts w:hint="eastAsia" w:ascii="仿宋_GB2312" w:eastAsia="仿宋_GB2312"/>
          <w:sz w:val="32"/>
          <w:szCs w:val="32"/>
        </w:rPr>
      </w:pPr>
      <w:r>
        <w:rPr>
          <w:rFonts w:hint="eastAsia" w:ascii="仿宋_GB2312" w:eastAsia="仿宋_GB2312"/>
          <w:sz w:val="32"/>
          <w:szCs w:val="32"/>
        </w:rPr>
        <w:t>天津经济技术开发区管理委员会办公室</w:t>
      </w:r>
    </w:p>
    <w:p>
      <w:pPr>
        <w:spacing w:line="588" w:lineRule="exact"/>
        <w:ind w:firstLine="645"/>
        <w:jc w:val="right"/>
        <w:rPr>
          <w:rFonts w:hint="eastAsia" w:ascii="仿宋_GB2312" w:eastAsia="仿宋_GB2312"/>
          <w:sz w:val="32"/>
          <w:szCs w:val="32"/>
        </w:rPr>
      </w:pPr>
      <w:bookmarkStart w:id="0" w:name="_GoBack"/>
      <w:bookmarkEnd w:id="0"/>
      <w:r>
        <w:rPr>
          <w:rFonts w:hint="eastAsia" w:ascii="仿宋_GB2312" w:eastAsia="仿宋_GB2312"/>
          <w:sz w:val="32"/>
          <w:szCs w:val="32"/>
        </w:rPr>
        <w:t>2021年1月29日</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（此件主动公开）</w:t>
      </w:r>
    </w:p>
    <w:p>
      <w:pPr>
        <w:spacing w:line="588" w:lineRule="exact"/>
        <w:ind w:firstLine="640" w:firstLineChars="200"/>
        <w:rPr>
          <w:rFonts w:ascii="仿宋_GB2312" w:eastAsia="仿宋_GB2312"/>
          <w:sz w:val="32"/>
          <w:szCs w:val="32"/>
        </w:rPr>
        <w:sectPr>
          <w:headerReference r:id="rId3" w:type="default"/>
          <w:footerReference r:id="rId5" w:type="default"/>
          <w:headerReference r:id="rId4" w:type="even"/>
          <w:footerReference r:id="rId6" w:type="even"/>
          <w:pgSz w:w="11905" w:h="16838"/>
          <w:pgMar w:top="1984" w:right="1474" w:bottom="1984" w:left="1588" w:header="851" w:footer="992" w:gutter="0"/>
          <w:pgNumType w:fmt="numberInDash"/>
          <w:cols w:space="720" w:num="1"/>
          <w:docGrid w:linePitch="312" w:charSpace="0"/>
        </w:sectPr>
      </w:pPr>
    </w:p>
    <w:p>
      <w:pPr>
        <w:spacing w:line="588" w:lineRule="exact"/>
        <w:jc w:val="center"/>
        <w:rPr>
          <w:rFonts w:ascii="方正小标宋简体" w:hAnsi="黑体" w:eastAsia="方正小标宋简体"/>
          <w:sz w:val="44"/>
          <w:szCs w:val="44"/>
        </w:rPr>
      </w:pPr>
    </w:p>
    <w:p>
      <w:pPr>
        <w:spacing w:line="588"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天津经济技术开发区“拿地即开工”审批</w:t>
      </w:r>
    </w:p>
    <w:p>
      <w:pPr>
        <w:spacing w:line="588"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改革实施方案</w:t>
      </w:r>
    </w:p>
    <w:p>
      <w:pPr>
        <w:spacing w:line="588" w:lineRule="exact"/>
        <w:jc w:val="center"/>
        <w:rPr>
          <w:rFonts w:ascii="黑体" w:hAnsi="黑体" w:eastAsia="黑体"/>
          <w:b/>
          <w:sz w:val="44"/>
          <w:szCs w:val="44"/>
        </w:rPr>
      </w:pPr>
    </w:p>
    <w:p>
      <w:pPr>
        <w:spacing w:line="588" w:lineRule="exact"/>
        <w:ind w:firstLine="640" w:firstLineChars="200"/>
        <w:rPr>
          <w:rFonts w:ascii="仿宋_GB2312" w:hAnsi="Microsoft YaHei UI" w:eastAsia="仿宋_GB2312" w:cs="宋体"/>
          <w:spacing w:val="8"/>
          <w:kern w:val="0"/>
          <w:sz w:val="32"/>
          <w:szCs w:val="32"/>
        </w:rPr>
      </w:pPr>
      <w:r>
        <w:rPr>
          <w:rFonts w:hint="eastAsia" w:ascii="仿宋_GB2312" w:hAnsi="宋体" w:eastAsia="仿宋_GB2312"/>
          <w:sz w:val="32"/>
          <w:szCs w:val="32"/>
        </w:rPr>
        <w:t>为进一步优化营商环境，加快天津经济技术开发区（简称经开区）拓展产业发展空间速度，提升政府服务效能，提高工程建设项目审批效率，</w:t>
      </w:r>
      <w:r>
        <w:rPr>
          <w:rFonts w:hint="eastAsia" w:ascii="仿宋_GB2312" w:hAnsi="Microsoft YaHei UI" w:eastAsia="仿宋_GB2312" w:cs="宋体"/>
          <w:spacing w:val="8"/>
          <w:kern w:val="0"/>
          <w:sz w:val="32"/>
          <w:szCs w:val="32"/>
        </w:rPr>
        <w:t>按照《国务院办公厅关于全面开展工程建设项目审批制度改革的实施意见》（国办发〔2019〕11号）、《天津市人民政府关于印发天津市深化工程建设项目审批制度改革实施方案的通知》（津政发〔2019〕2</w:t>
      </w:r>
      <w:r>
        <w:rPr>
          <w:rFonts w:ascii="仿宋_GB2312" w:hAnsi="Microsoft YaHei UI" w:eastAsia="仿宋_GB2312" w:cs="宋体"/>
          <w:spacing w:val="8"/>
          <w:kern w:val="0"/>
          <w:sz w:val="32"/>
          <w:szCs w:val="32"/>
        </w:rPr>
        <w:t>5</w:t>
      </w:r>
      <w:r>
        <w:rPr>
          <w:rFonts w:hint="eastAsia" w:ascii="仿宋_GB2312" w:hAnsi="Microsoft YaHei UI" w:eastAsia="仿宋_GB2312" w:cs="宋体"/>
          <w:spacing w:val="8"/>
          <w:kern w:val="0"/>
          <w:sz w:val="32"/>
          <w:szCs w:val="32"/>
        </w:rPr>
        <w:t>号）、《中共天津市滨海新区委员会关于印发&lt;中共天津市滨海新区区委常委会</w:t>
      </w:r>
      <w:r>
        <w:rPr>
          <w:rFonts w:ascii="仿宋_GB2312" w:hAnsi="Microsoft YaHei UI" w:eastAsia="仿宋_GB2312" w:cs="宋体"/>
          <w:spacing w:val="8"/>
          <w:kern w:val="0"/>
          <w:sz w:val="32"/>
          <w:szCs w:val="32"/>
        </w:rPr>
        <w:t>2020年工作要点</w:t>
      </w:r>
      <w:r>
        <w:rPr>
          <w:rFonts w:hint="eastAsia" w:ascii="仿宋_GB2312" w:hAnsi="Microsoft YaHei UI" w:eastAsia="仿宋_GB2312" w:cs="宋体"/>
          <w:spacing w:val="8"/>
          <w:kern w:val="0"/>
          <w:sz w:val="32"/>
          <w:szCs w:val="32"/>
        </w:rPr>
        <w:t>&gt;的通知</w:t>
      </w:r>
      <w:r>
        <w:rPr>
          <w:rFonts w:ascii="仿宋_GB2312" w:hAnsi="Microsoft YaHei UI" w:eastAsia="仿宋_GB2312" w:cs="宋体"/>
          <w:spacing w:val="8"/>
          <w:kern w:val="0"/>
          <w:sz w:val="32"/>
          <w:szCs w:val="32"/>
        </w:rPr>
        <w:t>》（滨党发</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2020</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1号）</w:t>
      </w:r>
      <w:r>
        <w:rPr>
          <w:rFonts w:hint="eastAsia" w:ascii="仿宋_GB2312" w:hAnsi="Microsoft YaHei UI" w:eastAsia="仿宋_GB2312" w:cs="宋体"/>
          <w:spacing w:val="8"/>
          <w:kern w:val="0"/>
          <w:sz w:val="32"/>
          <w:szCs w:val="32"/>
        </w:rPr>
        <w:t>、《区政务服务办市规划资源局滨海分局区住房建设委区城市管理委关于印发滨海新区“拿地即开工”改革实施方案的通知》（津滨政务发〔2020〕27号）等相关文件精神，结合经开区实际，制定本实施办法。</w:t>
      </w:r>
    </w:p>
    <w:p>
      <w:pPr>
        <w:spacing w:line="588" w:lineRule="exact"/>
        <w:ind w:firstLine="672" w:firstLineChars="200"/>
        <w:rPr>
          <w:rFonts w:ascii="黑体" w:hAnsi="黑体" w:eastAsia="黑体" w:cs="宋体"/>
          <w:spacing w:val="8"/>
          <w:kern w:val="0"/>
          <w:sz w:val="32"/>
          <w:szCs w:val="32"/>
        </w:rPr>
      </w:pPr>
      <w:r>
        <w:rPr>
          <w:rFonts w:hint="eastAsia" w:ascii="黑体" w:hAnsi="黑体" w:eastAsia="黑体" w:cs="宋体"/>
          <w:spacing w:val="8"/>
          <w:kern w:val="0"/>
          <w:sz w:val="32"/>
          <w:szCs w:val="32"/>
        </w:rPr>
        <w:t>一、改革目标</w:t>
      </w:r>
    </w:p>
    <w:p>
      <w:pPr>
        <w:spacing w:line="588"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按照“减审批、并环节、优流程、缩时限、强服务、重监管”的思路，有效整合审批资源，优化审批流程，试行“容缺审批、模拟审批、并联审批”等方式，在项目签订土地出让合同时同步取得施工许可，实现“拿地即开工”审批新模式，打造国内一流营商环境。</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二、适用范围</w:t>
      </w:r>
    </w:p>
    <w:p>
      <w:pPr>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在经开区范围内新建的社会投资的厂房、仓库适用“拿地即开工”审批模式。涉及危险化学品、技术难度复杂、区域</w:t>
      </w:r>
      <w:r>
        <w:rPr>
          <w:rFonts w:ascii="仿宋_GB2312" w:hAnsi="宋体" w:eastAsia="仿宋_GB2312"/>
          <w:sz w:val="32"/>
          <w:szCs w:val="32"/>
        </w:rPr>
        <w:t>安全和生态</w:t>
      </w:r>
      <w:r>
        <w:rPr>
          <w:rFonts w:hint="eastAsia" w:ascii="仿宋_GB2312" w:hAnsi="宋体" w:eastAsia="仿宋_GB2312"/>
          <w:sz w:val="32"/>
          <w:szCs w:val="32"/>
        </w:rPr>
        <w:t>保护</w:t>
      </w:r>
      <w:r>
        <w:rPr>
          <w:rFonts w:ascii="仿宋_GB2312" w:hAnsi="宋体" w:eastAsia="仿宋_GB2312"/>
          <w:sz w:val="32"/>
          <w:szCs w:val="32"/>
        </w:rPr>
        <w:t>的项目</w:t>
      </w:r>
      <w:r>
        <w:rPr>
          <w:rFonts w:hint="eastAsia" w:ascii="仿宋_GB2312" w:hAnsi="宋体" w:eastAsia="仿宋_GB2312"/>
          <w:sz w:val="32"/>
          <w:szCs w:val="32"/>
        </w:rPr>
        <w:t>，不适用于本实施方案。</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三、申请条件</w:t>
      </w:r>
    </w:p>
    <w:p>
      <w:pPr>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申请采用“拿地即开工”审批模式</w:t>
      </w:r>
      <w:r>
        <w:rPr>
          <w:rFonts w:ascii="仿宋_GB2312" w:hAnsi="宋体" w:eastAsia="仿宋_GB2312"/>
          <w:sz w:val="32"/>
          <w:szCs w:val="32"/>
        </w:rPr>
        <w:t>的企业应符合以下要求</w:t>
      </w:r>
      <w:r>
        <w:rPr>
          <w:rFonts w:hint="eastAsia" w:ascii="仿宋_GB2312" w:hAnsi="宋体" w:eastAsia="仿宋_GB2312"/>
          <w:sz w:val="32"/>
          <w:szCs w:val="32"/>
        </w:rPr>
        <w:t>：</w:t>
      </w:r>
    </w:p>
    <w:p>
      <w:pPr>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（一）已在经开区完成商事登记注册；</w:t>
      </w:r>
    </w:p>
    <w:p>
      <w:pPr>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（二） 已与</w:t>
      </w:r>
      <w:r>
        <w:rPr>
          <w:rFonts w:ascii="仿宋_GB2312" w:hAnsi="宋体" w:eastAsia="仿宋_GB2312"/>
          <w:sz w:val="32"/>
          <w:szCs w:val="32"/>
        </w:rPr>
        <w:t>管委会</w:t>
      </w:r>
      <w:r>
        <w:rPr>
          <w:rFonts w:hint="eastAsia" w:ascii="仿宋_GB2312" w:hAnsi="宋体" w:eastAsia="仿宋_GB2312"/>
          <w:sz w:val="32"/>
          <w:szCs w:val="32"/>
        </w:rPr>
        <w:t>签订招商协议（或已经投委会决议通过）；</w:t>
      </w:r>
    </w:p>
    <w:p>
      <w:pPr>
        <w:pStyle w:val="8"/>
        <w:spacing w:line="588" w:lineRule="exact"/>
        <w:ind w:firstLine="640"/>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企业信用记录良好，未被列入失信被执行人名单。</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实施原则</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（一）提前服务、整体评估</w:t>
      </w:r>
      <w:r>
        <w:rPr>
          <w:rFonts w:ascii="仿宋_GB2312" w:hAnsi="宋体" w:eastAsia="仿宋_GB2312"/>
          <w:b/>
          <w:sz w:val="32"/>
          <w:szCs w:val="32"/>
        </w:rPr>
        <w:t>。</w:t>
      </w:r>
      <w:r>
        <w:rPr>
          <w:rFonts w:hint="eastAsia" w:ascii="仿宋_GB2312" w:hAnsi="宋体" w:eastAsia="仿宋_GB2312"/>
          <w:sz w:val="32"/>
          <w:szCs w:val="32"/>
        </w:rPr>
        <w:t>由政务服务办牵头，建设项目各相关审批部门成立“拿地即开工”工作小组，小组成员由各部门分管领导和业务负责人组成。对</w:t>
      </w:r>
      <w:r>
        <w:rPr>
          <w:rFonts w:ascii="仿宋_GB2312" w:hAnsi="宋体" w:eastAsia="仿宋_GB2312"/>
          <w:sz w:val="32"/>
          <w:szCs w:val="32"/>
        </w:rPr>
        <w:t>拟采用“</w:t>
      </w:r>
      <w:r>
        <w:rPr>
          <w:rFonts w:hint="eastAsia" w:ascii="仿宋_GB2312" w:hAnsi="宋体" w:eastAsia="仿宋_GB2312"/>
          <w:sz w:val="32"/>
          <w:szCs w:val="32"/>
        </w:rPr>
        <w:t>拿地即开工</w:t>
      </w:r>
      <w:r>
        <w:rPr>
          <w:rFonts w:ascii="仿宋_GB2312" w:hAnsi="宋体" w:eastAsia="仿宋_GB2312"/>
          <w:sz w:val="32"/>
          <w:szCs w:val="32"/>
        </w:rPr>
        <w:t>”</w:t>
      </w:r>
      <w:r>
        <w:rPr>
          <w:rFonts w:hint="eastAsia" w:ascii="仿宋_GB2312" w:hAnsi="宋体" w:eastAsia="仿宋_GB2312"/>
          <w:sz w:val="32"/>
          <w:szCs w:val="32"/>
        </w:rPr>
        <w:t>审批模式的</w:t>
      </w:r>
      <w:r>
        <w:rPr>
          <w:rFonts w:ascii="仿宋_GB2312" w:hAnsi="宋体" w:eastAsia="仿宋_GB2312"/>
          <w:sz w:val="32"/>
          <w:szCs w:val="32"/>
        </w:rPr>
        <w:t>项目</w:t>
      </w:r>
      <w:r>
        <w:rPr>
          <w:rFonts w:hint="eastAsia" w:ascii="仿宋_GB2312" w:hAnsi="宋体" w:eastAsia="仿宋_GB2312"/>
          <w:sz w:val="32"/>
          <w:szCs w:val="32"/>
        </w:rPr>
        <w:t>，组织各</w:t>
      </w:r>
      <w:r>
        <w:rPr>
          <w:rFonts w:ascii="仿宋_GB2312" w:hAnsi="宋体" w:eastAsia="仿宋_GB2312"/>
          <w:sz w:val="32"/>
          <w:szCs w:val="32"/>
        </w:rPr>
        <w:t>审批及监管</w:t>
      </w:r>
      <w:r>
        <w:rPr>
          <w:rFonts w:hint="eastAsia" w:ascii="仿宋_GB2312" w:hAnsi="宋体" w:eastAsia="仿宋_GB2312"/>
          <w:sz w:val="32"/>
          <w:szCs w:val="32"/>
        </w:rPr>
        <w:t>部门召开评估会，了解</w:t>
      </w:r>
      <w:r>
        <w:rPr>
          <w:rFonts w:ascii="仿宋_GB2312" w:hAnsi="宋体" w:eastAsia="仿宋_GB2312"/>
          <w:sz w:val="32"/>
          <w:szCs w:val="32"/>
        </w:rPr>
        <w:t>项目情况，</w:t>
      </w:r>
      <w:r>
        <w:rPr>
          <w:rFonts w:hint="eastAsia" w:ascii="仿宋_GB2312" w:hAnsi="宋体" w:eastAsia="仿宋_GB2312"/>
          <w:sz w:val="32"/>
          <w:szCs w:val="32"/>
        </w:rPr>
        <w:t>评估项目风险，对可能</w:t>
      </w:r>
      <w:r>
        <w:rPr>
          <w:rFonts w:ascii="仿宋_GB2312" w:hAnsi="宋体" w:eastAsia="仿宋_GB2312"/>
          <w:sz w:val="32"/>
          <w:szCs w:val="32"/>
        </w:rPr>
        <w:t>存在的问题，</w:t>
      </w:r>
      <w:r>
        <w:rPr>
          <w:rFonts w:hint="eastAsia" w:ascii="仿宋_GB2312" w:hAnsi="宋体" w:eastAsia="仿宋_GB2312"/>
          <w:sz w:val="32"/>
          <w:szCs w:val="32"/>
        </w:rPr>
        <w:t>提前解决，形成完善的评估反馈机制</w:t>
      </w:r>
      <w:r>
        <w:rPr>
          <w:rFonts w:ascii="仿宋_GB2312" w:hAnsi="宋体" w:eastAsia="仿宋_GB2312"/>
          <w:sz w:val="32"/>
          <w:szCs w:val="32"/>
        </w:rPr>
        <w:t>。</w:t>
      </w:r>
    </w:p>
    <w:p>
      <w:pPr>
        <w:spacing w:line="588" w:lineRule="exact"/>
        <w:ind w:firstLine="643" w:firstLineChars="200"/>
        <w:rPr>
          <w:rFonts w:ascii="仿宋_GB2312" w:hAnsi="宋体" w:eastAsia="仿宋_GB2312"/>
          <w:sz w:val="32"/>
          <w:szCs w:val="32"/>
        </w:rPr>
      </w:pPr>
      <w:r>
        <w:rPr>
          <w:rFonts w:ascii="仿宋_GB2312" w:hAnsi="宋体" w:eastAsia="仿宋_GB2312"/>
          <w:b/>
          <w:sz w:val="32"/>
          <w:szCs w:val="32"/>
        </w:rPr>
        <w:t>（</w:t>
      </w:r>
      <w:r>
        <w:rPr>
          <w:rFonts w:hint="eastAsia" w:ascii="仿宋_GB2312" w:hAnsi="宋体" w:eastAsia="仿宋_GB2312"/>
          <w:b/>
          <w:sz w:val="32"/>
          <w:szCs w:val="32"/>
        </w:rPr>
        <w:t>二</w:t>
      </w:r>
      <w:r>
        <w:rPr>
          <w:rFonts w:ascii="仿宋_GB2312" w:hAnsi="宋体" w:eastAsia="仿宋_GB2312"/>
          <w:b/>
          <w:sz w:val="32"/>
          <w:szCs w:val="32"/>
        </w:rPr>
        <w:t>）</w:t>
      </w:r>
      <w:r>
        <w:rPr>
          <w:rFonts w:hint="eastAsia" w:ascii="仿宋_GB2312" w:hAnsi="宋体" w:eastAsia="仿宋_GB2312"/>
          <w:b/>
          <w:sz w:val="32"/>
          <w:szCs w:val="32"/>
        </w:rPr>
        <w:t>自愿申请、风险自担。</w:t>
      </w:r>
      <w:r>
        <w:rPr>
          <w:rFonts w:hint="eastAsia" w:ascii="仿宋_GB2312" w:hAnsi="宋体" w:eastAsia="仿宋_GB2312"/>
          <w:sz w:val="32"/>
          <w:szCs w:val="32"/>
        </w:rPr>
        <w:t>“拿地即开工”审批模式以项目方自愿申请为前提并作出相应承诺。因项目方未按告知承诺进行建设或者项目出现重大调整，导致审批过程中产生的勘察设计、评价评估等各项费用以及不可预见的风险，由项目方自行承担。</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（三）加强监督、闭环管理。</w:t>
      </w:r>
      <w:r>
        <w:rPr>
          <w:rFonts w:hint="eastAsia" w:ascii="仿宋_GB2312" w:hAnsi="宋体" w:eastAsia="仿宋_GB2312"/>
          <w:sz w:val="32"/>
          <w:szCs w:val="32"/>
        </w:rPr>
        <w:t>对企业开工前的承诺以及过程中的监管，审批和监管部门要做好审管联动，实行闭环管理，无缝衔接，确保总体可控</w:t>
      </w:r>
      <w:r>
        <w:rPr>
          <w:rFonts w:ascii="仿宋_GB2312" w:hAnsi="宋体" w:eastAsia="仿宋_GB2312"/>
          <w:sz w:val="32"/>
          <w:szCs w:val="32"/>
        </w:rPr>
        <w:t>。</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五、工作流程</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（一）自愿申请</w:t>
      </w:r>
      <w:r>
        <w:rPr>
          <w:rFonts w:ascii="仿宋_GB2312" w:hAnsi="宋体" w:eastAsia="仿宋_GB2312"/>
          <w:b/>
          <w:sz w:val="32"/>
          <w:szCs w:val="32"/>
        </w:rPr>
        <w:t>。</w:t>
      </w:r>
      <w:r>
        <w:rPr>
          <w:rFonts w:hint="eastAsia" w:ascii="仿宋_GB2312" w:hAnsi="宋体" w:eastAsia="仿宋_GB2312"/>
          <w:sz w:val="32"/>
          <w:szCs w:val="32"/>
        </w:rPr>
        <w:t>已满足适用条件的建设项目，建设单位按照自愿原则，向政务服务办书面申请采用</w:t>
      </w:r>
      <w:r>
        <w:rPr>
          <w:rFonts w:ascii="仿宋_GB2312" w:hAnsi="宋体" w:eastAsia="仿宋_GB2312"/>
          <w:sz w:val="32"/>
          <w:szCs w:val="32"/>
        </w:rPr>
        <w:t>“</w:t>
      </w:r>
      <w:r>
        <w:rPr>
          <w:rFonts w:hint="eastAsia" w:ascii="仿宋_GB2312" w:hAnsi="宋体" w:eastAsia="仿宋_GB2312"/>
          <w:sz w:val="32"/>
          <w:szCs w:val="32"/>
        </w:rPr>
        <w:t>拿地即开工</w:t>
      </w:r>
      <w:r>
        <w:rPr>
          <w:rFonts w:ascii="仿宋_GB2312" w:hAnsi="宋体" w:eastAsia="仿宋_GB2312"/>
          <w:sz w:val="32"/>
          <w:szCs w:val="32"/>
        </w:rPr>
        <w:t>”</w:t>
      </w:r>
      <w:r>
        <w:rPr>
          <w:rFonts w:hint="eastAsia" w:ascii="仿宋_GB2312" w:hAnsi="宋体" w:eastAsia="仿宋_GB2312"/>
          <w:sz w:val="32"/>
          <w:szCs w:val="32"/>
        </w:rPr>
        <w:t>审批，并出具风险自担承诺书。</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（二）评估会商</w:t>
      </w:r>
      <w:r>
        <w:rPr>
          <w:rFonts w:ascii="仿宋_GB2312" w:hAnsi="宋体" w:eastAsia="仿宋_GB2312"/>
          <w:b/>
          <w:sz w:val="32"/>
          <w:szCs w:val="32"/>
        </w:rPr>
        <w:t>。</w:t>
      </w:r>
      <w:r>
        <w:rPr>
          <w:rFonts w:hint="eastAsia" w:ascii="仿宋_GB2312" w:hAnsi="宋体" w:eastAsia="仿宋_GB2312"/>
          <w:sz w:val="32"/>
          <w:szCs w:val="32"/>
        </w:rPr>
        <w:t>政务服务办牵头召开工作小组评估会，组织各相关审批部门进行项目评估</w:t>
      </w:r>
      <w:r>
        <w:rPr>
          <w:rFonts w:ascii="仿宋_GB2312" w:hAnsi="宋体" w:eastAsia="仿宋_GB2312"/>
          <w:sz w:val="32"/>
          <w:szCs w:val="32"/>
        </w:rPr>
        <w:t>，</w:t>
      </w:r>
      <w:r>
        <w:rPr>
          <w:rFonts w:hint="eastAsia" w:ascii="仿宋_GB2312" w:hAnsi="宋体" w:eastAsia="仿宋_GB2312"/>
          <w:sz w:val="32"/>
          <w:szCs w:val="32"/>
        </w:rPr>
        <w:t>对项目的可实施性达成意见统一后</w:t>
      </w:r>
      <w:r>
        <w:rPr>
          <w:rFonts w:ascii="仿宋_GB2312" w:hAnsi="宋体" w:eastAsia="仿宋_GB2312"/>
          <w:sz w:val="32"/>
          <w:szCs w:val="32"/>
        </w:rPr>
        <w:t>，同意建设单位采用“</w:t>
      </w:r>
      <w:r>
        <w:rPr>
          <w:rFonts w:hint="eastAsia" w:ascii="仿宋_GB2312" w:hAnsi="宋体" w:eastAsia="仿宋_GB2312"/>
          <w:sz w:val="32"/>
          <w:szCs w:val="32"/>
        </w:rPr>
        <w:t>拿地</w:t>
      </w:r>
      <w:r>
        <w:rPr>
          <w:rFonts w:ascii="仿宋_GB2312" w:hAnsi="宋体" w:eastAsia="仿宋_GB2312"/>
          <w:sz w:val="32"/>
          <w:szCs w:val="32"/>
        </w:rPr>
        <w:t>即开工”</w:t>
      </w:r>
      <w:r>
        <w:rPr>
          <w:rFonts w:hint="eastAsia" w:ascii="仿宋_GB2312" w:hAnsi="宋体" w:eastAsia="仿宋_GB2312"/>
          <w:sz w:val="32"/>
          <w:szCs w:val="32"/>
        </w:rPr>
        <w:t>审批</w:t>
      </w:r>
      <w:r>
        <w:rPr>
          <w:rFonts w:ascii="仿宋_GB2312" w:hAnsi="宋体" w:eastAsia="仿宋_GB2312"/>
          <w:sz w:val="32"/>
          <w:szCs w:val="32"/>
        </w:rPr>
        <w:t>模式</w:t>
      </w:r>
      <w:r>
        <w:rPr>
          <w:rFonts w:hint="eastAsia" w:ascii="仿宋_GB2312" w:hAnsi="宋体" w:eastAsia="仿宋_GB2312"/>
          <w:sz w:val="32"/>
          <w:szCs w:val="32"/>
        </w:rPr>
        <w:t>，开展各项前期准备工作。</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（三）前期准备</w:t>
      </w:r>
      <w:r>
        <w:rPr>
          <w:rFonts w:ascii="仿宋_GB2312" w:hAnsi="宋体" w:eastAsia="仿宋_GB2312"/>
          <w:b/>
          <w:sz w:val="32"/>
          <w:szCs w:val="32"/>
        </w:rPr>
        <w:t>。</w:t>
      </w:r>
      <w:r>
        <w:rPr>
          <w:rFonts w:hint="eastAsia" w:ascii="仿宋_GB2312" w:hAnsi="宋体" w:eastAsia="仿宋_GB2312"/>
          <w:sz w:val="32"/>
          <w:szCs w:val="32"/>
        </w:rPr>
        <w:t>各审批部门辅导企业准备好申报材料，明确申报要求，做好审批服务，质量监督部门提前介入，辅导企业做好开工前场地准备工作。建设单位准备立项、能评</w:t>
      </w:r>
      <w:r>
        <w:rPr>
          <w:rFonts w:ascii="仿宋_GB2312" w:hAnsi="宋体" w:eastAsia="仿宋_GB2312"/>
          <w:sz w:val="32"/>
          <w:szCs w:val="32"/>
        </w:rPr>
        <w:t>、环评、水土保持方案等事项</w:t>
      </w:r>
      <w:r>
        <w:rPr>
          <w:rFonts w:hint="eastAsia" w:ascii="仿宋_GB2312" w:hAnsi="宋体" w:eastAsia="仿宋_GB2312"/>
          <w:sz w:val="32"/>
          <w:szCs w:val="32"/>
        </w:rPr>
        <w:t>申报材料，同步启动勘察、设计、监理、施工的招投标工作，在完成施工图</w:t>
      </w:r>
      <w:r>
        <w:rPr>
          <w:rFonts w:ascii="仿宋_GB2312" w:hAnsi="宋体" w:eastAsia="仿宋_GB2312"/>
          <w:sz w:val="32"/>
          <w:szCs w:val="32"/>
        </w:rPr>
        <w:t>设计后立刻开展</w:t>
      </w:r>
      <w:r>
        <w:rPr>
          <w:rFonts w:hint="eastAsia" w:ascii="仿宋_GB2312" w:hAnsi="宋体" w:eastAsia="仿宋_GB2312"/>
          <w:sz w:val="32"/>
          <w:szCs w:val="32"/>
        </w:rPr>
        <w:t>工程</w:t>
      </w:r>
      <w:r>
        <w:rPr>
          <w:rFonts w:ascii="仿宋_GB2312" w:hAnsi="宋体" w:eastAsia="仿宋_GB2312"/>
          <w:sz w:val="32"/>
          <w:szCs w:val="32"/>
        </w:rPr>
        <w:t>规划</w:t>
      </w:r>
      <w:r>
        <w:rPr>
          <w:rFonts w:hint="eastAsia" w:ascii="仿宋_GB2312" w:hAnsi="宋体" w:eastAsia="仿宋_GB2312"/>
          <w:sz w:val="32"/>
          <w:szCs w:val="32"/>
        </w:rPr>
        <w:t>许可的报批。</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（四）审批核发</w:t>
      </w:r>
      <w:r>
        <w:rPr>
          <w:rFonts w:ascii="仿宋_GB2312" w:hAnsi="宋体" w:eastAsia="仿宋_GB2312"/>
          <w:b/>
          <w:sz w:val="32"/>
          <w:szCs w:val="32"/>
        </w:rPr>
        <w:t>。</w:t>
      </w:r>
      <w:r>
        <w:rPr>
          <w:rFonts w:ascii="仿宋_GB2312" w:hAnsi="宋体" w:eastAsia="仿宋_GB2312"/>
          <w:sz w:val="32"/>
          <w:szCs w:val="32"/>
        </w:rPr>
        <w:t>各审批部门提前</w:t>
      </w:r>
      <w:r>
        <w:rPr>
          <w:rFonts w:hint="eastAsia" w:ascii="仿宋_GB2312" w:hAnsi="宋体" w:eastAsia="仿宋_GB2312"/>
          <w:sz w:val="32"/>
          <w:szCs w:val="32"/>
        </w:rPr>
        <w:t>核发立项、能评</w:t>
      </w:r>
      <w:r>
        <w:rPr>
          <w:rFonts w:ascii="仿宋_GB2312" w:hAnsi="宋体" w:eastAsia="仿宋_GB2312"/>
          <w:sz w:val="32"/>
          <w:szCs w:val="32"/>
        </w:rPr>
        <w:t>、环评、水土保持方案等</w:t>
      </w:r>
      <w:r>
        <w:rPr>
          <w:rFonts w:hint="eastAsia" w:ascii="仿宋_GB2312" w:hAnsi="宋体" w:eastAsia="仿宋_GB2312"/>
          <w:sz w:val="32"/>
          <w:szCs w:val="32"/>
        </w:rPr>
        <w:t>审批批复，规自局在企业取得土地前出具规划预审同意函，建交局协调审图机构凭此函件为项目提供图审服务并出具图审合格书，或由企业自费选择审图机构自行完成图审工作。</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（五）拿地开工</w:t>
      </w:r>
      <w:r>
        <w:rPr>
          <w:rFonts w:ascii="仿宋_GB2312" w:hAnsi="宋体" w:eastAsia="仿宋_GB2312"/>
          <w:b/>
          <w:sz w:val="32"/>
          <w:szCs w:val="32"/>
        </w:rPr>
        <w:t>。</w:t>
      </w:r>
      <w:r>
        <w:rPr>
          <w:rFonts w:ascii="仿宋_GB2312" w:hAnsi="宋体" w:eastAsia="仿宋_GB2312"/>
          <w:sz w:val="32"/>
          <w:szCs w:val="32"/>
        </w:rPr>
        <w:t>建设单位</w:t>
      </w:r>
      <w:r>
        <w:rPr>
          <w:rFonts w:hint="eastAsia" w:ascii="仿宋_GB2312" w:hAnsi="宋体" w:eastAsia="仿宋_GB2312"/>
          <w:sz w:val="32"/>
          <w:szCs w:val="32"/>
        </w:rPr>
        <w:t>在招拍挂前按照承诺缴纳全额土地出让保证金的，在摘牌后签订土地出让合同时</w:t>
      </w:r>
      <w:r>
        <w:rPr>
          <w:rFonts w:ascii="仿宋_GB2312" w:hAnsi="宋体" w:eastAsia="仿宋_GB2312"/>
          <w:sz w:val="32"/>
          <w:szCs w:val="32"/>
        </w:rPr>
        <w:t>，政务</w:t>
      </w:r>
      <w:r>
        <w:rPr>
          <w:rFonts w:hint="eastAsia" w:ascii="仿宋_GB2312" w:hAnsi="宋体" w:eastAsia="仿宋_GB2312"/>
          <w:sz w:val="32"/>
          <w:szCs w:val="32"/>
        </w:rPr>
        <w:t>服务</w:t>
      </w:r>
      <w:r>
        <w:rPr>
          <w:rFonts w:ascii="仿宋_GB2312" w:hAnsi="宋体" w:eastAsia="仿宋_GB2312"/>
          <w:sz w:val="32"/>
          <w:szCs w:val="32"/>
        </w:rPr>
        <w:t>办</w:t>
      </w:r>
      <w:r>
        <w:rPr>
          <w:rFonts w:hint="eastAsia" w:ascii="仿宋_GB2312" w:hAnsi="宋体" w:eastAsia="仿宋_GB2312"/>
          <w:sz w:val="32"/>
          <w:szCs w:val="32"/>
        </w:rPr>
        <w:t>同规自局</w:t>
      </w:r>
      <w:r>
        <w:rPr>
          <w:rFonts w:ascii="仿宋_GB2312" w:hAnsi="宋体" w:eastAsia="仿宋_GB2312"/>
          <w:sz w:val="32"/>
          <w:szCs w:val="32"/>
        </w:rPr>
        <w:t>依据</w:t>
      </w:r>
      <w:r>
        <w:rPr>
          <w:rFonts w:hint="eastAsia" w:ascii="仿宋_GB2312" w:hAnsi="宋体" w:eastAsia="仿宋_GB2312"/>
          <w:sz w:val="32"/>
          <w:szCs w:val="32"/>
        </w:rPr>
        <w:t>合同</w:t>
      </w:r>
      <w:r>
        <w:rPr>
          <w:rFonts w:ascii="仿宋_GB2312" w:hAnsi="宋体" w:eastAsia="仿宋_GB2312"/>
          <w:sz w:val="32"/>
          <w:szCs w:val="32"/>
        </w:rPr>
        <w:t>和建设单位相关承诺，</w:t>
      </w:r>
      <w:r>
        <w:rPr>
          <w:rFonts w:hint="eastAsia" w:ascii="仿宋_GB2312" w:hAnsi="宋体" w:eastAsia="仿宋_GB2312"/>
          <w:sz w:val="32"/>
          <w:szCs w:val="32"/>
        </w:rPr>
        <w:t>并联审批同步核发施工许可</w:t>
      </w:r>
      <w:r>
        <w:rPr>
          <w:rFonts w:ascii="仿宋_GB2312" w:hAnsi="宋体" w:eastAsia="仿宋_GB2312"/>
          <w:sz w:val="32"/>
          <w:szCs w:val="32"/>
        </w:rPr>
        <w:t>证</w:t>
      </w:r>
      <w:r>
        <w:rPr>
          <w:rFonts w:hint="eastAsia" w:ascii="仿宋_GB2312" w:hAnsi="宋体" w:eastAsia="仿宋_GB2312"/>
          <w:sz w:val="32"/>
          <w:szCs w:val="32"/>
        </w:rPr>
        <w:t>和工程规划许可证</w:t>
      </w:r>
      <w:r>
        <w:rPr>
          <w:rFonts w:ascii="仿宋_GB2312" w:hAnsi="宋体" w:eastAsia="仿宋_GB2312"/>
          <w:sz w:val="32"/>
          <w:szCs w:val="32"/>
        </w:rPr>
        <w:t>，建设单位在具备现场开工条件下凭施工证进场施工</w:t>
      </w:r>
      <w:r>
        <w:rPr>
          <w:rFonts w:hint="eastAsia" w:ascii="仿宋_GB2312" w:hAnsi="宋体" w:eastAsia="仿宋_GB2312"/>
          <w:sz w:val="32"/>
          <w:szCs w:val="32"/>
        </w:rPr>
        <w:t>；</w:t>
      </w:r>
      <w:r>
        <w:rPr>
          <w:rFonts w:ascii="仿宋_GB2312" w:hAnsi="宋体" w:eastAsia="仿宋_GB2312"/>
          <w:sz w:val="32"/>
          <w:szCs w:val="32"/>
        </w:rPr>
        <w:t>未能在摘牌前全额缴纳保证金的</w:t>
      </w:r>
      <w:r>
        <w:rPr>
          <w:rFonts w:hint="eastAsia" w:ascii="仿宋_GB2312" w:hAnsi="宋体" w:eastAsia="仿宋_GB2312"/>
          <w:sz w:val="32"/>
          <w:szCs w:val="32"/>
        </w:rPr>
        <w:t>，</w:t>
      </w:r>
      <w:r>
        <w:rPr>
          <w:rFonts w:ascii="仿宋_GB2312" w:hAnsi="宋体" w:eastAsia="仿宋_GB2312"/>
          <w:sz w:val="32"/>
          <w:szCs w:val="32"/>
        </w:rPr>
        <w:t>在签订土地合同并缴齐尾款后</w:t>
      </w:r>
      <w:r>
        <w:rPr>
          <w:rFonts w:hint="eastAsia" w:ascii="仿宋_GB2312" w:hAnsi="宋体" w:eastAsia="仿宋_GB2312"/>
          <w:sz w:val="32"/>
          <w:szCs w:val="32"/>
        </w:rPr>
        <w:t>，</w:t>
      </w:r>
      <w:r>
        <w:rPr>
          <w:rFonts w:ascii="仿宋_GB2312" w:hAnsi="宋体" w:eastAsia="仿宋_GB2312"/>
          <w:sz w:val="32"/>
          <w:szCs w:val="32"/>
        </w:rPr>
        <w:t>参照上述模式取得施工许可证和工程规划许可证</w:t>
      </w:r>
      <w:r>
        <w:rPr>
          <w:rFonts w:hint="eastAsia" w:ascii="仿宋_GB2312" w:hAnsi="宋体" w:eastAsia="仿宋_GB2312"/>
          <w:sz w:val="32"/>
          <w:szCs w:val="32"/>
        </w:rPr>
        <w:t>；建筑面积小于5000平方米的，在签订土地成交确认书后即可参照上述模式申领施工许可和工程规划许可证。</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（六）事后</w:t>
      </w:r>
      <w:r>
        <w:rPr>
          <w:rFonts w:ascii="仿宋_GB2312" w:hAnsi="宋体" w:eastAsia="仿宋_GB2312"/>
          <w:b/>
          <w:sz w:val="32"/>
          <w:szCs w:val="32"/>
        </w:rPr>
        <w:t>监管。</w:t>
      </w:r>
      <w:r>
        <w:rPr>
          <w:rFonts w:ascii="仿宋_GB2312" w:hAnsi="宋体" w:eastAsia="仿宋_GB2312"/>
          <w:sz w:val="32"/>
          <w:szCs w:val="32"/>
        </w:rPr>
        <w:t>各</w:t>
      </w:r>
      <w:r>
        <w:rPr>
          <w:rFonts w:hint="eastAsia" w:ascii="仿宋_GB2312" w:hAnsi="宋体" w:eastAsia="仿宋_GB2312"/>
          <w:sz w:val="32"/>
          <w:szCs w:val="32"/>
        </w:rPr>
        <w:t>监管</w:t>
      </w:r>
      <w:r>
        <w:rPr>
          <w:rFonts w:ascii="仿宋_GB2312" w:hAnsi="宋体" w:eastAsia="仿宋_GB2312"/>
          <w:sz w:val="32"/>
          <w:szCs w:val="32"/>
        </w:rPr>
        <w:t>部门按照相关要求</w:t>
      </w:r>
      <w:r>
        <w:rPr>
          <w:rFonts w:hint="eastAsia" w:ascii="仿宋_GB2312" w:hAnsi="宋体" w:eastAsia="仿宋_GB2312"/>
          <w:sz w:val="32"/>
          <w:szCs w:val="32"/>
        </w:rPr>
        <w:t>同步</w:t>
      </w:r>
      <w:r>
        <w:rPr>
          <w:rFonts w:ascii="仿宋_GB2312" w:hAnsi="宋体" w:eastAsia="仿宋_GB2312"/>
          <w:sz w:val="32"/>
          <w:szCs w:val="32"/>
        </w:rPr>
        <w:t>介入项目监管</w:t>
      </w:r>
      <w:r>
        <w:rPr>
          <w:rFonts w:hint="eastAsia" w:ascii="仿宋_GB2312" w:hAnsi="宋体" w:eastAsia="仿宋_GB2312"/>
          <w:sz w:val="32"/>
          <w:szCs w:val="32"/>
        </w:rPr>
        <w:t>，实现</w:t>
      </w:r>
      <w:r>
        <w:rPr>
          <w:rFonts w:ascii="仿宋_GB2312" w:hAnsi="宋体" w:eastAsia="仿宋_GB2312"/>
          <w:sz w:val="32"/>
          <w:szCs w:val="32"/>
        </w:rPr>
        <w:t>行政审批与</w:t>
      </w:r>
      <w:r>
        <w:rPr>
          <w:rFonts w:hint="eastAsia" w:ascii="仿宋_GB2312" w:hAnsi="宋体" w:eastAsia="仿宋_GB2312"/>
          <w:sz w:val="32"/>
          <w:szCs w:val="32"/>
        </w:rPr>
        <w:t>过程</w:t>
      </w:r>
      <w:r>
        <w:rPr>
          <w:rFonts w:ascii="仿宋_GB2312" w:hAnsi="宋体" w:eastAsia="仿宋_GB2312"/>
          <w:sz w:val="32"/>
          <w:szCs w:val="32"/>
        </w:rPr>
        <w:t>监管的无缝衔接。</w:t>
      </w:r>
      <w:r>
        <w:rPr>
          <w:rFonts w:hint="eastAsia" w:ascii="仿宋_GB2312" w:hAnsi="宋体" w:eastAsia="仿宋_GB2312"/>
          <w:sz w:val="32"/>
          <w:szCs w:val="32"/>
        </w:rPr>
        <w:t>严把各环节、各层次关口，进一步强化全过程、全链条、全方位监管，切实保障质量安全。</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六、保障措施</w:t>
      </w:r>
    </w:p>
    <w:p>
      <w:pPr>
        <w:spacing w:line="588" w:lineRule="exact"/>
        <w:ind w:firstLine="643" w:firstLineChars="200"/>
        <w:rPr>
          <w:rFonts w:ascii="仿宋_GB2312" w:hAnsi="宋体" w:eastAsia="仿宋_GB2312"/>
          <w:sz w:val="32"/>
          <w:szCs w:val="32"/>
        </w:rPr>
      </w:pPr>
      <w:r>
        <w:rPr>
          <w:rFonts w:hint="eastAsia" w:ascii="仿宋_GB2312" w:hAnsi="宋体" w:eastAsia="仿宋_GB2312"/>
          <w:b/>
          <w:sz w:val="32"/>
          <w:szCs w:val="32"/>
        </w:rPr>
        <w:t>（一）</w:t>
      </w:r>
      <w:r>
        <w:rPr>
          <w:rFonts w:hint="eastAsia" w:ascii="仿宋_GB2312" w:hAnsi="仿宋_GB2312" w:eastAsia="仿宋_GB2312" w:cs="仿宋_GB2312"/>
          <w:b/>
          <w:sz w:val="32"/>
          <w:szCs w:val="32"/>
        </w:rPr>
        <w:t>加强事中事后</w:t>
      </w:r>
      <w:r>
        <w:rPr>
          <w:rFonts w:ascii="仿宋_GB2312" w:hAnsi="仿宋_GB2312" w:eastAsia="仿宋_GB2312" w:cs="仿宋_GB2312"/>
          <w:b/>
          <w:sz w:val="32"/>
          <w:szCs w:val="32"/>
        </w:rPr>
        <w:t>监管</w:t>
      </w:r>
      <w:r>
        <w:rPr>
          <w:rFonts w:hint="eastAsia" w:ascii="仿宋_GB2312" w:hAnsi="仿宋_GB2312" w:eastAsia="仿宋_GB2312" w:cs="仿宋_GB2312"/>
          <w:b/>
          <w:sz w:val="32"/>
          <w:szCs w:val="32"/>
        </w:rPr>
        <w:t>, 用好信用体系</w:t>
      </w:r>
      <w:r>
        <w:rPr>
          <w:rFonts w:hint="eastAsia" w:ascii="仿宋_GB2312" w:hAnsi="宋体" w:eastAsia="仿宋_GB2312"/>
          <w:b/>
          <w:sz w:val="32"/>
          <w:szCs w:val="32"/>
        </w:rPr>
        <w:t>。</w:t>
      </w:r>
      <w:r>
        <w:rPr>
          <w:rFonts w:hint="eastAsia" w:ascii="仿宋_GB2312" w:hAnsi="宋体" w:eastAsia="仿宋_GB2312"/>
          <w:sz w:val="32"/>
          <w:szCs w:val="32"/>
        </w:rPr>
        <w:t>对于采用“拿地即开工”的</w:t>
      </w:r>
      <w:r>
        <w:rPr>
          <w:rFonts w:ascii="仿宋_GB2312" w:hAnsi="宋体" w:eastAsia="仿宋_GB2312"/>
          <w:sz w:val="32"/>
          <w:szCs w:val="32"/>
        </w:rPr>
        <w:t>企业</w:t>
      </w:r>
      <w:r>
        <w:rPr>
          <w:rFonts w:hint="eastAsia" w:ascii="仿宋_GB2312" w:hAnsi="宋体" w:eastAsia="仿宋_GB2312"/>
          <w:sz w:val="32"/>
          <w:szCs w:val="32"/>
        </w:rPr>
        <w:t>，</w:t>
      </w:r>
      <w:r>
        <w:rPr>
          <w:rFonts w:ascii="仿宋_GB2312" w:hAnsi="Microsoft YaHei UI" w:eastAsia="仿宋_GB2312" w:cs="宋体"/>
          <w:spacing w:val="8"/>
          <w:kern w:val="0"/>
          <w:sz w:val="32"/>
          <w:szCs w:val="32"/>
        </w:rPr>
        <w:t>做好审管联动工作，</w:t>
      </w:r>
      <w:r>
        <w:rPr>
          <w:rFonts w:hint="eastAsia" w:ascii="仿宋_GB2312" w:hAnsi="宋体" w:eastAsia="仿宋_GB2312"/>
          <w:sz w:val="32"/>
          <w:szCs w:val="32"/>
        </w:rPr>
        <w:t>建立健全检查、记录和惩戒的事中事后监管机制，从重前置审批向重事中事后监管转变。进一步落实建设单位主体责任，经发现存在承诺不兑现或弄虚作假等行为并查实的，采取整改、撤销许可等惩戒措施。</w:t>
      </w:r>
    </w:p>
    <w:p>
      <w:pPr>
        <w:spacing w:line="588" w:lineRule="exact"/>
        <w:ind w:firstLine="643" w:firstLineChars="200"/>
        <w:rPr>
          <w:rFonts w:eastAsia="仿宋_GB2312"/>
          <w:sz w:val="32"/>
          <w:szCs w:val="32"/>
        </w:rPr>
      </w:pPr>
      <w:r>
        <w:rPr>
          <w:rFonts w:hint="eastAsia" w:ascii="仿宋_GB2312" w:hAnsi="宋体" w:eastAsia="仿宋_GB2312"/>
          <w:b/>
          <w:sz w:val="32"/>
          <w:szCs w:val="32"/>
        </w:rPr>
        <w:t>（二）发挥担当作为精神，</w:t>
      </w:r>
      <w:r>
        <w:rPr>
          <w:rFonts w:hint="eastAsia" w:ascii="仿宋_GB2312" w:hAnsi="仿宋_GB2312" w:eastAsia="仿宋_GB2312" w:cs="仿宋_GB2312"/>
          <w:b/>
          <w:sz w:val="32"/>
          <w:szCs w:val="32"/>
        </w:rPr>
        <w:t>落实容错免责机制</w:t>
      </w:r>
      <w:r>
        <w:rPr>
          <w:rFonts w:hint="eastAsia" w:eastAsia="仿宋_GB2312"/>
          <w:b/>
          <w:sz w:val="32"/>
          <w:szCs w:val="32"/>
        </w:rPr>
        <w:t>。</w:t>
      </w:r>
      <w:r>
        <w:rPr>
          <w:rFonts w:hint="eastAsia" w:eastAsia="仿宋_GB2312"/>
          <w:sz w:val="32"/>
          <w:szCs w:val="32"/>
        </w:rPr>
        <w:t>依据</w:t>
      </w:r>
      <w:r>
        <w:rPr>
          <w:rFonts w:eastAsia="仿宋_GB2312"/>
          <w:sz w:val="32"/>
          <w:szCs w:val="32"/>
        </w:rPr>
        <w:t>《中共天津市滨海新区委员会办公室关于印发</w:t>
      </w:r>
      <w:r>
        <w:rPr>
          <w:rFonts w:hint="eastAsia" w:eastAsia="仿宋_GB2312"/>
          <w:sz w:val="32"/>
          <w:szCs w:val="32"/>
        </w:rPr>
        <w:t>&lt;滨海</w:t>
      </w:r>
      <w:r>
        <w:rPr>
          <w:rFonts w:eastAsia="仿宋_GB2312"/>
          <w:sz w:val="32"/>
          <w:szCs w:val="32"/>
        </w:rPr>
        <w:t>新区激励干部新时代</w:t>
      </w:r>
      <w:r>
        <w:rPr>
          <w:rFonts w:hint="eastAsia" w:eastAsia="仿宋_GB2312"/>
          <w:sz w:val="32"/>
          <w:szCs w:val="32"/>
        </w:rPr>
        <w:t>新担当</w:t>
      </w:r>
      <w:r>
        <w:rPr>
          <w:rFonts w:eastAsia="仿宋_GB2312"/>
          <w:sz w:val="32"/>
          <w:szCs w:val="32"/>
        </w:rPr>
        <w:t>新作为容错免责实施办法（</w:t>
      </w:r>
      <w:r>
        <w:rPr>
          <w:rFonts w:hint="eastAsia" w:eastAsia="仿宋_GB2312"/>
          <w:sz w:val="32"/>
          <w:szCs w:val="32"/>
        </w:rPr>
        <w:t>试行</w:t>
      </w:r>
      <w:r>
        <w:rPr>
          <w:rFonts w:eastAsia="仿宋_GB2312"/>
          <w:sz w:val="32"/>
          <w:szCs w:val="32"/>
        </w:rPr>
        <w:t>）</w:t>
      </w:r>
      <w:r>
        <w:rPr>
          <w:rFonts w:hint="eastAsia" w:eastAsia="仿宋_GB2312"/>
          <w:sz w:val="32"/>
          <w:szCs w:val="32"/>
        </w:rPr>
        <w:t>&gt;的通知</w:t>
      </w:r>
      <w:r>
        <w:rPr>
          <w:rFonts w:eastAsia="仿宋_GB2312"/>
          <w:sz w:val="32"/>
          <w:szCs w:val="32"/>
        </w:rPr>
        <w:t>》</w:t>
      </w:r>
      <w:r>
        <w:rPr>
          <w:rFonts w:ascii="仿宋_GB2312" w:hAnsi="Microsoft YaHei UI" w:eastAsia="仿宋_GB2312" w:cs="宋体"/>
          <w:spacing w:val="8"/>
          <w:kern w:val="0"/>
          <w:sz w:val="32"/>
          <w:szCs w:val="32"/>
        </w:rPr>
        <w:t>（滨党</w:t>
      </w:r>
      <w:r>
        <w:rPr>
          <w:rFonts w:hint="eastAsia" w:ascii="仿宋_GB2312" w:hAnsi="Microsoft YaHei UI" w:eastAsia="仿宋_GB2312" w:cs="宋体"/>
          <w:spacing w:val="8"/>
          <w:kern w:val="0"/>
          <w:sz w:val="32"/>
          <w:szCs w:val="32"/>
        </w:rPr>
        <w:t>办</w:t>
      </w:r>
      <w:r>
        <w:rPr>
          <w:rFonts w:ascii="仿宋_GB2312" w:hAnsi="Microsoft YaHei UI" w:eastAsia="仿宋_GB2312" w:cs="宋体"/>
          <w:spacing w:val="8"/>
          <w:kern w:val="0"/>
          <w:sz w:val="32"/>
          <w:szCs w:val="32"/>
        </w:rPr>
        <w:t>发</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2020</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3号）</w:t>
      </w:r>
      <w:r>
        <w:rPr>
          <w:rFonts w:hint="eastAsia" w:ascii="仿宋_GB2312" w:hAnsi="Microsoft YaHei UI" w:eastAsia="仿宋_GB2312" w:cs="宋体"/>
          <w:spacing w:val="8"/>
          <w:kern w:val="0"/>
          <w:sz w:val="32"/>
          <w:szCs w:val="32"/>
        </w:rPr>
        <w:t>相关</w:t>
      </w:r>
      <w:r>
        <w:rPr>
          <w:rFonts w:ascii="仿宋_GB2312" w:hAnsi="Microsoft YaHei UI" w:eastAsia="仿宋_GB2312" w:cs="宋体"/>
          <w:spacing w:val="8"/>
          <w:kern w:val="0"/>
          <w:sz w:val="32"/>
          <w:szCs w:val="32"/>
        </w:rPr>
        <w:t>规定，</w:t>
      </w:r>
      <w:r>
        <w:rPr>
          <w:rFonts w:eastAsia="仿宋_GB2312"/>
          <w:sz w:val="32"/>
          <w:szCs w:val="32"/>
        </w:rPr>
        <w:t>对于</w:t>
      </w:r>
      <w:r>
        <w:rPr>
          <w:rFonts w:hint="eastAsia" w:eastAsia="仿宋_GB2312"/>
          <w:sz w:val="32"/>
          <w:szCs w:val="32"/>
        </w:rPr>
        <w:t>在</w:t>
      </w:r>
      <w:r>
        <w:rPr>
          <w:rFonts w:eastAsia="仿宋_GB2312"/>
          <w:sz w:val="32"/>
          <w:szCs w:val="32"/>
        </w:rPr>
        <w:t>改革创新、先行先试、履职尽责过程中，未能实现预期目标或出现偏差</w:t>
      </w:r>
      <w:r>
        <w:rPr>
          <w:rFonts w:hint="eastAsia" w:eastAsia="仿宋_GB2312"/>
          <w:sz w:val="32"/>
          <w:szCs w:val="32"/>
        </w:rPr>
        <w:t>失误</w:t>
      </w:r>
      <w:r>
        <w:rPr>
          <w:rFonts w:eastAsia="仿宋_GB2312"/>
          <w:sz w:val="32"/>
          <w:szCs w:val="32"/>
        </w:rPr>
        <w:t>的，</w:t>
      </w:r>
      <w:r>
        <w:rPr>
          <w:rFonts w:hint="eastAsia" w:eastAsia="仿宋_GB2312"/>
          <w:sz w:val="32"/>
          <w:szCs w:val="32"/>
        </w:rPr>
        <w:t>不做</w:t>
      </w:r>
      <w:r>
        <w:rPr>
          <w:rFonts w:eastAsia="仿宋_GB2312"/>
          <w:sz w:val="32"/>
          <w:szCs w:val="32"/>
        </w:rPr>
        <w:t>负面评价</w:t>
      </w:r>
      <w:r>
        <w:rPr>
          <w:rFonts w:hint="eastAsia" w:eastAsia="仿宋_GB2312"/>
          <w:sz w:val="32"/>
          <w:szCs w:val="32"/>
        </w:rPr>
        <w:t>，</w:t>
      </w:r>
      <w:r>
        <w:rPr>
          <w:rFonts w:eastAsia="仿宋_GB2312"/>
          <w:sz w:val="32"/>
          <w:szCs w:val="32"/>
        </w:rPr>
        <w:t>免除相关责任或从轻、减轻处理。</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七、实施时间</w:t>
      </w:r>
    </w:p>
    <w:p>
      <w:pPr>
        <w:spacing w:line="588" w:lineRule="exact"/>
        <w:ind w:firstLine="640" w:firstLineChars="200"/>
        <w:rPr>
          <w:rFonts w:ascii="仿宋_GB2312" w:hAnsi="Microsoft YaHei UI" w:eastAsia="仿宋_GB2312" w:cs="宋体"/>
          <w:spacing w:val="8"/>
          <w:kern w:val="0"/>
          <w:sz w:val="32"/>
          <w:szCs w:val="32"/>
        </w:rPr>
      </w:pPr>
      <w:r>
        <w:rPr>
          <w:rFonts w:hint="eastAsia" w:ascii="仿宋_GB2312" w:hAnsi="宋体" w:eastAsia="仿宋_GB2312"/>
          <w:sz w:val="32"/>
          <w:szCs w:val="32"/>
        </w:rPr>
        <w:t>本方案自印发日起实施，其他工程建设项目改革实施方案与本方案同时适用。</w:t>
      </w:r>
    </w:p>
    <w:p>
      <w:pPr>
        <w:spacing w:line="588" w:lineRule="exact"/>
        <w:ind w:firstLine="640" w:firstLineChars="200"/>
        <w:rPr>
          <w:rFonts w:ascii="仿宋_GB2312" w:hAnsi="宋体" w:eastAsia="仿宋_GB2312"/>
          <w:sz w:val="32"/>
          <w:szCs w:val="32"/>
        </w:rPr>
      </w:pPr>
    </w:p>
    <w:p>
      <w:pPr>
        <w:spacing w:line="588"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w:t>
      </w:r>
      <w:r>
        <w:rPr>
          <w:rFonts w:ascii="仿宋_GB2312" w:hAnsi="宋体" w:eastAsia="仿宋_GB2312"/>
          <w:sz w:val="32"/>
          <w:szCs w:val="32"/>
        </w:rPr>
        <w:t>风险自担承诺书</w:t>
      </w:r>
    </w:p>
    <w:p>
      <w:pPr>
        <w:spacing w:line="588" w:lineRule="exact"/>
        <w:ind w:firstLine="1600" w:firstLineChars="500"/>
        <w:jc w:val="left"/>
        <w:rPr>
          <w:rFonts w:ascii="仿宋_GB2312" w:hAnsi="宋体" w:eastAsia="仿宋_GB2312"/>
          <w:sz w:val="32"/>
          <w:szCs w:val="32"/>
        </w:rPr>
      </w:pPr>
      <w:r>
        <w:rPr>
          <w:rFonts w:hint="eastAsia" w:ascii="仿宋_GB2312" w:hAnsi="宋体" w:eastAsia="仿宋_GB2312"/>
          <w:sz w:val="32"/>
          <w:szCs w:val="32"/>
        </w:rPr>
        <w:t>2.经开区建设项目“拿地即开工</w:t>
      </w:r>
      <w:r>
        <w:rPr>
          <w:rFonts w:ascii="仿宋_GB2312" w:hAnsi="宋体" w:eastAsia="仿宋_GB2312"/>
          <w:sz w:val="32"/>
          <w:szCs w:val="32"/>
        </w:rPr>
        <w:t>”</w:t>
      </w:r>
      <w:r>
        <w:rPr>
          <w:rFonts w:hint="eastAsia" w:ascii="仿宋_GB2312" w:hAnsi="宋体" w:eastAsia="仿宋_GB2312"/>
          <w:sz w:val="32"/>
          <w:szCs w:val="32"/>
        </w:rPr>
        <w:t>流程图</w:t>
      </w:r>
    </w:p>
    <w:p>
      <w:pPr>
        <w:spacing w:line="588" w:lineRule="exact"/>
        <w:ind w:firstLine="1600" w:firstLineChars="500"/>
        <w:jc w:val="left"/>
        <w:rPr>
          <w:rFonts w:ascii="仿宋_GB2312" w:hAnsi="宋体" w:eastAsia="仿宋_GB2312"/>
          <w:sz w:val="32"/>
          <w:szCs w:val="32"/>
        </w:rPr>
      </w:pPr>
      <w:r>
        <w:rPr>
          <w:rFonts w:hint="eastAsia" w:ascii="仿宋_GB2312" w:hAnsi="宋体" w:eastAsia="仿宋_GB2312"/>
          <w:sz w:val="32"/>
          <w:szCs w:val="32"/>
        </w:rPr>
        <w:t>3.经开区建设项目“拿地即开工”事项审批操作指南</w:t>
      </w:r>
    </w:p>
    <w:p>
      <w:pPr>
        <w:spacing w:line="590" w:lineRule="exact"/>
        <w:jc w:val="right"/>
        <w:rPr>
          <w:rFonts w:ascii="仿宋_GB2312" w:hAnsi="宋体" w:eastAsia="仿宋_GB2312"/>
          <w:sz w:val="32"/>
          <w:szCs w:val="32"/>
        </w:rPr>
      </w:pPr>
    </w:p>
    <w:p>
      <w:pPr>
        <w:spacing w:line="590" w:lineRule="exact"/>
        <w:jc w:val="right"/>
        <w:rPr>
          <w:rFonts w:ascii="仿宋_GB2312" w:hAnsi="宋体" w:eastAsia="仿宋_GB2312"/>
          <w:sz w:val="32"/>
          <w:szCs w:val="32"/>
        </w:rPr>
      </w:pPr>
    </w:p>
    <w:p>
      <w:pPr>
        <w:spacing w:line="590" w:lineRule="exact"/>
        <w:jc w:val="right"/>
        <w:rPr>
          <w:rFonts w:ascii="仿宋_GB2312" w:hAnsi="宋体" w:eastAsia="仿宋_GB2312"/>
          <w:sz w:val="32"/>
          <w:szCs w:val="32"/>
        </w:rPr>
      </w:pPr>
    </w:p>
    <w:p>
      <w:pPr>
        <w:widowControl/>
        <w:spacing w:line="588" w:lineRule="exact"/>
        <w:jc w:val="left"/>
        <w:rPr>
          <w:rFonts w:ascii="黑体" w:hAnsi="黑体" w:eastAsia="黑体"/>
          <w:sz w:val="32"/>
          <w:szCs w:val="32"/>
        </w:rPr>
      </w:pPr>
      <w:r>
        <w:rPr>
          <w:rFonts w:ascii="仿宋_GB2312" w:hAnsi="宋体" w:eastAsia="仿宋_GB2312"/>
          <w:color w:val="000000"/>
          <w:sz w:val="32"/>
          <w:szCs w:val="32"/>
        </w:rPr>
        <w:br w:type="page"/>
      </w:r>
      <w:r>
        <w:rPr>
          <w:rFonts w:hint="eastAsia" w:ascii="黑体" w:hAnsi="黑体" w:eastAsia="黑体"/>
          <w:sz w:val="32"/>
          <w:szCs w:val="32"/>
        </w:rPr>
        <w:t>附件1</w:t>
      </w:r>
    </w:p>
    <w:p>
      <w:pPr>
        <w:spacing w:line="58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风险自担承诺书</w:t>
      </w:r>
    </w:p>
    <w:p>
      <w:pPr>
        <w:spacing w:line="588" w:lineRule="exact"/>
        <w:jc w:val="center"/>
        <w:rPr>
          <w:rFonts w:ascii="黑体" w:hAnsi="黑体" w:eastAsia="黑体"/>
          <w:b/>
          <w:sz w:val="44"/>
          <w:szCs w:val="44"/>
        </w:rPr>
      </w:pPr>
    </w:p>
    <w:p>
      <w:pPr>
        <w:pStyle w:val="11"/>
        <w:spacing w:line="588" w:lineRule="exact"/>
        <w:rPr>
          <w:rFonts w:hint="eastAsia" w:ascii="仿宋_GB2312" w:eastAsia="仿宋_GB2312"/>
          <w:sz w:val="32"/>
          <w:szCs w:val="32"/>
        </w:rPr>
      </w:pPr>
      <w:r>
        <w:rPr>
          <w:rFonts w:hint="eastAsia" w:ascii="仿宋_GB2312" w:eastAsia="仿宋_GB2312"/>
          <w:sz w:val="32"/>
          <w:szCs w:val="32"/>
        </w:rPr>
        <w:t>天津经济技术开发区政务服务办公室：</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为推进项目尽快开工，我公司愿在未取得土地前，开展各项前期工作及办理相关手续，因未能取得土地而产生的经济和法律后果，由我公司自行承担，包括但不限于以下工作：</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1.我公司信用良好，并已认真学习了相关法律法规规章和规范性文件，了解了各项行政许可的有关要求，对有关规定的内容已经知晓和全面理解，承诺自身能够满足办理工程建设项目审批的条件、标准和技术要求。</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2.若因故未能竞得土地，我公司愿意配合各审批部门撤销已取得的相关前期手续；未取得土地前，我公司不以已取得的各项前期手续主张任何权益。</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3.我公司愿在取得土地之前，先行开展总平面图及规划方案设计工作，满足绿色建筑、海绵城市等相关要求，编制放线测量报告，并办理规划设计方案审查意见函。</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4.我公司愿在取得土地之前，先行开展施工图设计工作，完成人防、消防等审查工作，并依法办理施工图设计文件审查合格书手续。</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5.在取得土地成交确认书后，我公司将继续办理土地出让金缴纳、签订土地出让合同、土地证等手续，保证项目各项手续齐全并合法合规。</w:t>
      </w:r>
    </w:p>
    <w:p>
      <w:pPr>
        <w:pStyle w:val="11"/>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因违反有关法律法规及以上承诺，所造成的经济和法律后果，由我公司自行承担。</w:t>
      </w:r>
    </w:p>
    <w:p>
      <w:pPr>
        <w:pStyle w:val="11"/>
        <w:spacing w:line="588" w:lineRule="exact"/>
        <w:rPr>
          <w:rFonts w:hint="eastAsia" w:ascii="仿宋_GB2312" w:eastAsia="仿宋_GB2312"/>
          <w:sz w:val="32"/>
          <w:szCs w:val="32"/>
        </w:rPr>
      </w:pPr>
    </w:p>
    <w:p>
      <w:pPr>
        <w:pStyle w:val="11"/>
        <w:spacing w:line="588" w:lineRule="exact"/>
        <w:rPr>
          <w:rFonts w:hint="eastAsia" w:ascii="仿宋_GB2312" w:eastAsia="仿宋_GB2312"/>
          <w:sz w:val="32"/>
          <w:szCs w:val="32"/>
        </w:rPr>
      </w:pPr>
    </w:p>
    <w:p>
      <w:pPr>
        <w:pStyle w:val="11"/>
        <w:spacing w:line="588" w:lineRule="exact"/>
        <w:rPr>
          <w:rFonts w:hint="eastAsia" w:ascii="仿宋_GB2312" w:eastAsia="仿宋_GB2312"/>
          <w:sz w:val="32"/>
          <w:szCs w:val="32"/>
        </w:rPr>
      </w:pPr>
    </w:p>
    <w:p>
      <w:pPr>
        <w:pStyle w:val="11"/>
        <w:spacing w:line="588" w:lineRule="exact"/>
        <w:ind w:right="1680" w:rightChars="800"/>
        <w:jc w:val="right"/>
        <w:rPr>
          <w:rFonts w:hint="eastAsia" w:ascii="仿宋_GB2312" w:eastAsia="仿宋_GB2312"/>
          <w:sz w:val="32"/>
          <w:szCs w:val="32"/>
        </w:rPr>
      </w:pPr>
      <w:r>
        <w:rPr>
          <w:rFonts w:hint="eastAsia" w:ascii="仿宋_GB2312" w:eastAsia="仿宋_GB2312"/>
          <w:sz w:val="32"/>
          <w:szCs w:val="32"/>
        </w:rPr>
        <w:t>承诺人（签字、盖章）：</w:t>
      </w:r>
    </w:p>
    <w:p>
      <w:pPr>
        <w:pStyle w:val="11"/>
        <w:spacing w:line="588" w:lineRule="exact"/>
        <w:ind w:right="1680" w:rightChars="800"/>
        <w:jc w:val="right"/>
        <w:rPr>
          <w:rFonts w:hint="eastAsia" w:ascii="仿宋_GB2312" w:eastAsia="仿宋_GB2312"/>
          <w:sz w:val="32"/>
          <w:szCs w:val="32"/>
        </w:rPr>
      </w:pPr>
      <w:r>
        <w:rPr>
          <w:rFonts w:hint="eastAsia" w:ascii="仿宋_GB2312" w:eastAsia="仿宋_GB2312"/>
          <w:sz w:val="32"/>
          <w:szCs w:val="32"/>
        </w:rPr>
        <w:t>承诺时间：</w:t>
      </w: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autoSpaceDE w:val="0"/>
        <w:autoSpaceDN w:val="0"/>
        <w:adjustRightInd w:val="0"/>
        <w:spacing w:line="600" w:lineRule="exact"/>
        <w:jc w:val="left"/>
        <w:rPr>
          <w:rFonts w:ascii="黑体" w:hAnsi="黑体" w:eastAsia="黑体"/>
          <w:sz w:val="32"/>
          <w:szCs w:val="32"/>
        </w:rPr>
      </w:pPr>
    </w:p>
    <w:p>
      <w:pPr>
        <w:widowControl/>
        <w:jc w:val="left"/>
        <w:rPr>
          <w:rFonts w:ascii="仿宋_GB2312" w:hAnsi="宋体" w:eastAsia="仿宋_GB2312"/>
          <w:color w:val="000000"/>
          <w:sz w:val="32"/>
          <w:szCs w:val="32"/>
        </w:rPr>
        <w:sectPr>
          <w:footerReference r:id="rId7" w:type="default"/>
          <w:pgSz w:w="11906" w:h="16838"/>
          <w:pgMar w:top="1985" w:right="1474" w:bottom="1985" w:left="1588" w:header="851" w:footer="992" w:gutter="0"/>
          <w:pgNumType w:fmt="numberInDash"/>
          <w:cols w:space="720" w:num="1"/>
          <w:docGrid w:linePitch="489" w:charSpace="21679"/>
        </w:sectPr>
      </w:pPr>
    </w:p>
    <w:p>
      <w:pPr>
        <w:widowControl/>
        <w:jc w:val="left"/>
        <w:rPr>
          <w:rFonts w:hint="eastAsia" w:ascii="黑体" w:hAnsi="黑体" w:eastAsia="黑体"/>
          <w:sz w:val="32"/>
          <w:szCs w:val="32"/>
        </w:rPr>
      </w:pPr>
      <w:r>
        <w:rPr>
          <w:rFonts w:hint="eastAsia" w:ascii="黑体" w:hAnsi="黑体" w:eastAsia="黑体"/>
          <w:sz w:val="32"/>
          <w:szCs w:val="32"/>
        </w:rPr>
        <w:t>附件2</w:t>
      </w:r>
    </w:p>
    <w:p>
      <w:pPr>
        <w:widowControl/>
        <w:jc w:val="center"/>
        <w:rPr>
          <w:rFonts w:hint="eastAsia" w:ascii="方正小标宋简体" w:hAnsi="黑体" w:eastAsia="方正小标宋简体"/>
          <w:sz w:val="36"/>
          <w:szCs w:val="36"/>
        </w:rPr>
      </w:pPr>
      <w:r>
        <w:rPr>
          <w:rFonts w:hint="eastAsia" w:ascii="方正小标宋简体" w:hAnsi="黑体" w:eastAsia="方正小标宋简体"/>
          <w:sz w:val="44"/>
          <w:szCs w:val="44"/>
        </w:rPr>
        <w:t>经开区建设项目</w:t>
      </w:r>
      <w:r>
        <w:rPr>
          <w:rFonts w:hint="eastAsia" w:ascii="方正小标宋简体" w:hAnsi="宋体" w:eastAsia="方正小标宋简体"/>
          <w:sz w:val="44"/>
          <w:szCs w:val="44"/>
        </w:rPr>
        <w:t>“</w:t>
      </w:r>
      <w:r>
        <w:rPr>
          <w:rFonts w:hint="eastAsia" w:ascii="方正小标宋简体" w:hAnsi="黑体" w:eastAsia="方正小标宋简体"/>
          <w:sz w:val="44"/>
          <w:szCs w:val="44"/>
        </w:rPr>
        <w:t>拿地即开工”流程图</w:t>
      </w:r>
    </w:p>
    <w:p>
      <w:pPr>
        <w:widowControl/>
        <w:jc w:val="center"/>
        <w:rPr>
          <w:rFonts w:ascii="方正小标宋简体" w:hAnsi="黑体" w:eastAsia="方正小标宋简体"/>
          <w:sz w:val="36"/>
          <w:szCs w:val="36"/>
        </w:rPr>
      </w:pPr>
      <w:r>
        <w:rPr>
          <w:rFonts w:ascii="方正小标宋简体" w:hAnsi="黑体" w:eastAsia="方正小标宋简体"/>
          <w:sz w:val="36"/>
          <w:szCs w:val="36"/>
        </w:rPr>
        <w:drawing>
          <wp:inline distT="0" distB="0" distL="0" distR="0">
            <wp:extent cx="5400675" cy="7658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00675" cy="7658100"/>
                    </a:xfrm>
                    <a:prstGeom prst="rect">
                      <a:avLst/>
                    </a:prstGeom>
                    <a:noFill/>
                    <a:ln>
                      <a:noFill/>
                    </a:ln>
                  </pic:spPr>
                </pic:pic>
              </a:graphicData>
            </a:graphic>
          </wp:inline>
        </w:drawing>
      </w:r>
    </w:p>
    <w:p>
      <w:pPr>
        <w:widowControl/>
        <w:jc w:val="left"/>
        <w:rPr>
          <w:rFonts w:hint="eastAsia" w:ascii="黑体" w:hAnsi="黑体" w:eastAsia="黑体"/>
          <w:sz w:val="32"/>
          <w:szCs w:val="32"/>
        </w:rPr>
      </w:pPr>
      <w:r>
        <w:rPr>
          <w:rFonts w:hint="eastAsia" w:ascii="黑体" w:hAnsi="黑体" w:eastAsia="黑体"/>
          <w:sz w:val="32"/>
          <w:szCs w:val="32"/>
        </w:rPr>
        <w:t>附件3</w:t>
      </w:r>
    </w:p>
    <w:tbl>
      <w:tblPr>
        <w:tblStyle w:val="4"/>
        <w:tblpPr w:leftFromText="180" w:rightFromText="180" w:vertAnchor="page" w:horzAnchor="margin" w:tblpXSpec="center" w:tblpY="2488"/>
        <w:tblW w:w="5949" w:type="pct"/>
        <w:tblInd w:w="0" w:type="dxa"/>
        <w:tblLayout w:type="fixed"/>
        <w:tblCellMar>
          <w:top w:w="0" w:type="dxa"/>
          <w:left w:w="108" w:type="dxa"/>
          <w:bottom w:w="0" w:type="dxa"/>
          <w:right w:w="108" w:type="dxa"/>
        </w:tblCellMar>
      </w:tblPr>
      <w:tblGrid>
        <w:gridCol w:w="1161"/>
        <w:gridCol w:w="1107"/>
        <w:gridCol w:w="1067"/>
        <w:gridCol w:w="3468"/>
        <w:gridCol w:w="2004"/>
        <w:gridCol w:w="1332"/>
      </w:tblGrid>
      <w:tr>
        <w:tblPrEx>
          <w:tblCellMar>
            <w:top w:w="0" w:type="dxa"/>
            <w:left w:w="108" w:type="dxa"/>
            <w:bottom w:w="0" w:type="dxa"/>
            <w:right w:w="108" w:type="dxa"/>
          </w:tblCellMar>
        </w:tblPrEx>
        <w:trPr>
          <w:trHeight w:val="1419" w:hRule="atLeast"/>
        </w:trPr>
        <w:tc>
          <w:tcPr>
            <w:tcW w:w="5000" w:type="pct"/>
            <w:gridSpan w:val="6"/>
            <w:tcBorders>
              <w:bottom w:val="single" w:color="auto" w:sz="4" w:space="0"/>
            </w:tcBorders>
            <w:shd w:val="clear" w:color="auto" w:fill="auto"/>
            <w:vAlign w:val="center"/>
          </w:tcPr>
          <w:p>
            <w:pPr>
              <w:widowControl/>
              <w:jc w:val="center"/>
              <w:rPr>
                <w:rFonts w:ascii="方正小标宋简体" w:hAnsi="宋体" w:eastAsia="方正小标宋简体" w:cs="宋体"/>
                <w:b/>
                <w:bCs/>
                <w:color w:val="000000"/>
                <w:kern w:val="0"/>
                <w:sz w:val="32"/>
                <w:szCs w:val="32"/>
              </w:rPr>
            </w:pPr>
            <w:r>
              <w:rPr>
                <w:rFonts w:ascii="仿宋_GB2312" w:hAnsi="宋体" w:eastAsia="仿宋_GB2312"/>
                <w:color w:val="000000"/>
                <w:sz w:val="32"/>
                <w:szCs w:val="32"/>
              </w:rPr>
              <w:br w:type="page"/>
            </w:r>
            <w:r>
              <w:rPr>
                <w:rFonts w:hint="eastAsia" w:ascii="方正小标宋简体" w:hAnsi="黑体" w:eastAsia="方正小标宋简体"/>
                <w:sz w:val="44"/>
                <w:szCs w:val="44"/>
              </w:rPr>
              <w:t>经开区建设项目“拿地即开工”事项审批操作指南</w:t>
            </w:r>
          </w:p>
        </w:tc>
      </w:tr>
      <w:tr>
        <w:tblPrEx>
          <w:tblCellMar>
            <w:top w:w="0" w:type="dxa"/>
            <w:left w:w="108" w:type="dxa"/>
            <w:bottom w:w="0" w:type="dxa"/>
            <w:right w:w="108" w:type="dxa"/>
          </w:tblCellMar>
        </w:tblPrEx>
        <w:trPr>
          <w:trHeight w:val="390" w:hRule="atLeast"/>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阶段</w:t>
            </w: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color w:val="000000"/>
                <w:kern w:val="0"/>
                <w:szCs w:val="21"/>
              </w:rPr>
            </w:pPr>
            <w:r>
              <w:rPr>
                <w:rFonts w:hint="eastAsia" w:ascii="仿宋_GB2312" w:hAnsi="仿宋" w:eastAsia="仿宋_GB2312" w:cs="宋体"/>
                <w:b/>
                <w:bCs/>
                <w:color w:val="000000"/>
                <w:kern w:val="0"/>
                <w:szCs w:val="21"/>
              </w:rPr>
              <w:t>事项名称</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color w:val="000000"/>
                <w:kern w:val="0"/>
                <w:szCs w:val="21"/>
              </w:rPr>
            </w:pPr>
            <w:r>
              <w:rPr>
                <w:rFonts w:hint="eastAsia" w:ascii="仿宋_GB2312" w:hAnsi="仿宋" w:eastAsia="仿宋_GB2312" w:cs="宋体"/>
                <w:b/>
                <w:bCs/>
                <w:color w:val="000000"/>
                <w:kern w:val="0"/>
                <w:szCs w:val="21"/>
              </w:rPr>
              <w:t>责任单位</w:t>
            </w:r>
          </w:p>
        </w:tc>
        <w:tc>
          <w:tcPr>
            <w:tcW w:w="1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color w:val="000000"/>
                <w:kern w:val="0"/>
                <w:szCs w:val="21"/>
              </w:rPr>
            </w:pPr>
            <w:r>
              <w:rPr>
                <w:rFonts w:hint="eastAsia" w:ascii="仿宋_GB2312" w:hAnsi="仿宋" w:eastAsia="仿宋_GB2312" w:cs="宋体"/>
                <w:b/>
                <w:bCs/>
                <w:color w:val="000000"/>
                <w:kern w:val="0"/>
                <w:szCs w:val="21"/>
              </w:rPr>
              <w:t>材料清单</w:t>
            </w:r>
          </w:p>
        </w:tc>
        <w:tc>
          <w:tcPr>
            <w:tcW w:w="988" w:type="pct"/>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业务部门负责人</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
                <w:bCs/>
                <w:color w:val="000000"/>
                <w:kern w:val="0"/>
                <w:szCs w:val="21"/>
              </w:rPr>
            </w:pPr>
            <w:r>
              <w:rPr>
                <w:rFonts w:hint="eastAsia" w:ascii="仿宋_GB2312" w:hAnsi="仿宋" w:eastAsia="仿宋_GB2312" w:cs="宋体"/>
                <w:b/>
                <w:bCs/>
                <w:color w:val="000000"/>
                <w:kern w:val="0"/>
                <w:szCs w:val="21"/>
              </w:rPr>
              <w:t>备注</w:t>
            </w:r>
          </w:p>
        </w:tc>
      </w:tr>
      <w:tr>
        <w:tblPrEx>
          <w:tblCellMar>
            <w:top w:w="0" w:type="dxa"/>
            <w:left w:w="108" w:type="dxa"/>
            <w:bottom w:w="0" w:type="dxa"/>
            <w:right w:w="108" w:type="dxa"/>
          </w:tblCellMar>
        </w:tblPrEx>
        <w:trPr>
          <w:trHeight w:val="1151" w:hRule="atLeast"/>
        </w:trPr>
        <w:tc>
          <w:tcPr>
            <w:tcW w:w="573" w:type="pct"/>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前置条件</w:t>
            </w: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签订投资协议</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经开区</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管委会</w:t>
            </w:r>
          </w:p>
        </w:tc>
        <w:tc>
          <w:tcPr>
            <w:tcW w:w="1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投资协议正本</w:t>
            </w:r>
          </w:p>
        </w:tc>
        <w:tc>
          <w:tcPr>
            <w:tcW w:w="988" w:type="pct"/>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各招商项目负责人</w:t>
            </w:r>
          </w:p>
        </w:tc>
        <w:tc>
          <w:tcPr>
            <w:tcW w:w="657"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960" w:hRule="atLeast"/>
        </w:trPr>
        <w:tc>
          <w:tcPr>
            <w:tcW w:w="573" w:type="pct"/>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Courier New" w:eastAsia="仿宋_GB2312" w:cs="Courier New"/>
                <w:b/>
                <w:bCs/>
                <w:color w:val="000000"/>
                <w:kern w:val="0"/>
                <w:szCs w:val="21"/>
              </w:rPr>
            </w:pPr>
          </w:p>
        </w:tc>
        <w:tc>
          <w:tcPr>
            <w:tcW w:w="546" w:type="pct"/>
            <w:tcBorders>
              <w:top w:val="nil"/>
              <w:left w:val="nil"/>
              <w:bottom w:val="single" w:color="auto" w:sz="8"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营业执照</w:t>
            </w:r>
          </w:p>
        </w:tc>
        <w:tc>
          <w:tcPr>
            <w:tcW w:w="526"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市场监管局</w:t>
            </w:r>
          </w:p>
        </w:tc>
        <w:tc>
          <w:tcPr>
            <w:tcW w:w="1710" w:type="pct"/>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企业自行登陆天津市市监局企业名称申报平台PC端口：http://zzsb.scjg.tj.gov.cn或手机端微信关注“天津企业登记”公众号，在线申报企业名称并打印告知书。</w:t>
            </w:r>
          </w:p>
        </w:tc>
        <w:tc>
          <w:tcPr>
            <w:tcW w:w="988" w:type="pct"/>
            <w:tcBorders>
              <w:top w:val="single" w:color="auto" w:sz="4" w:space="0"/>
              <w:left w:val="nil"/>
              <w:bottom w:val="single" w:color="auto" w:sz="8"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蒲艳  25208083</w:t>
            </w:r>
          </w:p>
        </w:tc>
        <w:tc>
          <w:tcPr>
            <w:tcW w:w="657" w:type="pct"/>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FF"/>
                <w:kern w:val="0"/>
                <w:szCs w:val="21"/>
                <w:u w:val="single"/>
              </w:rPr>
            </w:pPr>
          </w:p>
        </w:tc>
      </w:tr>
      <w:tr>
        <w:tblPrEx>
          <w:tblCellMar>
            <w:top w:w="0" w:type="dxa"/>
            <w:left w:w="108" w:type="dxa"/>
            <w:bottom w:w="0" w:type="dxa"/>
            <w:right w:w="108" w:type="dxa"/>
          </w:tblCellMar>
        </w:tblPrEx>
        <w:trPr>
          <w:trHeight w:val="4100" w:hRule="atLeast"/>
        </w:trPr>
        <w:tc>
          <w:tcPr>
            <w:tcW w:w="573" w:type="pct"/>
            <w:vMerge w:val="restart"/>
            <w:tcBorders>
              <w:top w:val="nil"/>
              <w:left w:val="single" w:color="auto" w:sz="8" w:space="0"/>
              <w:right w:val="single" w:color="auto" w:sz="8" w:space="0"/>
            </w:tcBorders>
            <w:shd w:val="clear" w:color="auto" w:fill="auto"/>
            <w:vAlign w:val="center"/>
          </w:tcPr>
          <w:p>
            <w:pPr>
              <w:widowControl/>
              <w:jc w:val="center"/>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土地手续</w:t>
            </w: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报名参加土地竞买</w:t>
            </w:r>
          </w:p>
        </w:tc>
        <w:tc>
          <w:tcPr>
            <w:tcW w:w="5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规自局（咨询）</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1、营业执照等法人登记证明文件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2、公司章程</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3、法人权利机构关于参与投标的决议</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4、《信息采集表》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5、《投标报名表》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6、法定代表人身份证明文件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7、缴纳投标保证金的收据</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8、委托代理人的授权委托书及受托人身份证复印件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9、境外企业直接参与竞买还需提供翻译件及公证文件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10、经办机构要求的其他材料</w:t>
            </w:r>
          </w:p>
        </w:tc>
        <w:tc>
          <w:tcPr>
            <w:tcW w:w="988" w:type="pct"/>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黄东亮 25201333</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蒋天羽 25202185</w:t>
            </w:r>
          </w:p>
        </w:tc>
        <w:tc>
          <w:tcPr>
            <w:tcW w:w="657"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土地手续全程用时大约2-3个月</w:t>
            </w:r>
          </w:p>
        </w:tc>
      </w:tr>
      <w:tr>
        <w:tblPrEx>
          <w:tblCellMar>
            <w:top w:w="0" w:type="dxa"/>
            <w:left w:w="108" w:type="dxa"/>
            <w:bottom w:w="0" w:type="dxa"/>
            <w:right w:w="108" w:type="dxa"/>
          </w:tblCellMar>
        </w:tblPrEx>
        <w:trPr>
          <w:trHeight w:val="1679" w:hRule="atLeast"/>
        </w:trPr>
        <w:tc>
          <w:tcPr>
            <w:tcW w:w="573" w:type="pct"/>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签订土地成交确认书</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规自局（咨询）</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摘牌后直接签署土地成交确认书</w:t>
            </w:r>
          </w:p>
        </w:tc>
        <w:tc>
          <w:tcPr>
            <w:tcW w:w="988" w:type="pct"/>
            <w:tcBorders>
              <w:top w:val="single" w:color="auto" w:sz="8"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黄东亮 25201333蒋天羽 25202185</w:t>
            </w:r>
          </w:p>
        </w:tc>
        <w:tc>
          <w:tcPr>
            <w:tcW w:w="657" w:type="pct"/>
            <w:vMerge w:val="continue"/>
            <w:tcBorders>
              <w:top w:val="nil"/>
              <w:left w:val="single" w:color="auto" w:sz="4" w:space="0"/>
              <w:bottom w:val="single" w:color="000000" w:sz="8" w:space="0"/>
              <w:right w:val="single" w:color="auto"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840" w:hRule="atLeast"/>
        </w:trPr>
        <w:tc>
          <w:tcPr>
            <w:tcW w:w="573" w:type="pct"/>
            <w:vMerge w:val="restart"/>
            <w:tcBorders>
              <w:top w:val="nil"/>
              <w:left w:val="single" w:color="auto" w:sz="8" w:space="0"/>
              <w:right w:val="single" w:color="auto" w:sz="8" w:space="0"/>
            </w:tcBorders>
            <w:shd w:val="clear" w:color="auto" w:fill="auto"/>
            <w:vAlign w:val="center"/>
          </w:tcPr>
          <w:p>
            <w:pPr>
              <w:jc w:val="left"/>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土地手续</w:t>
            </w: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签订土地合同</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规自局</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1.成交确认书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2.营业执照、组织机构代码证</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3.法人代表身份证复印件加盖公章、法人证明书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4.委托他人办理的，另提供法人代表授权委托书、委托人身份证复印件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5.摘牌文件中合同复印件，填写合同首页受让方信息</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6.挂牌地块竞买申请书复印件、盖公章</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7.工业用地提供立项文件原件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8.出让宗地界址图、界址点成果表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9.80SHP文件及报部数据（txt），90核定电子版</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10.核定用地图、80-90面积对比表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11.所有材料刻光盘（PDF）</w:t>
            </w:r>
          </w:p>
        </w:tc>
        <w:tc>
          <w:tcPr>
            <w:tcW w:w="988" w:type="pct"/>
            <w:tcBorders>
              <w:top w:val="single" w:color="auto" w:sz="8"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黄东亮 25201335</w:t>
            </w:r>
          </w:p>
        </w:tc>
        <w:tc>
          <w:tcPr>
            <w:tcW w:w="657" w:type="pct"/>
            <w:vMerge w:val="continue"/>
            <w:tcBorders>
              <w:top w:val="nil"/>
              <w:left w:val="single" w:color="auto" w:sz="4" w:space="0"/>
              <w:bottom w:val="single" w:color="000000" w:sz="8" w:space="0"/>
              <w:right w:val="single" w:color="auto"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820" w:hRule="atLeast"/>
        </w:trPr>
        <w:tc>
          <w:tcPr>
            <w:tcW w:w="573" w:type="pct"/>
            <w:vMerge w:val="continue"/>
            <w:tcBorders>
              <w:left w:val="single" w:color="auto" w:sz="8"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用地规划许可证</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规自局</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1、以出让方式供地，需提交：建设项目批准、核准或备案文件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2、建设用地规划许可证申报表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3、以出让(有偿使用)方式供地的建筑工程，还需提交：国有土地使用权出让合同；涉及国有土地使用权转让的，提交转让合同</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4、委托书</w:t>
            </w:r>
          </w:p>
        </w:tc>
        <w:tc>
          <w:tcPr>
            <w:tcW w:w="988" w:type="pct"/>
            <w:tcBorders>
              <w:top w:val="single" w:color="auto" w:sz="8"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黄东亮 25201336</w:t>
            </w:r>
          </w:p>
        </w:tc>
        <w:tc>
          <w:tcPr>
            <w:tcW w:w="657" w:type="pct"/>
            <w:vMerge w:val="continue"/>
            <w:tcBorders>
              <w:top w:val="nil"/>
              <w:left w:val="single" w:color="auto" w:sz="4" w:space="0"/>
              <w:bottom w:val="single" w:color="000000" w:sz="8" w:space="0"/>
              <w:right w:val="single" w:color="auto"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962" w:hRule="atLeast"/>
        </w:trPr>
        <w:tc>
          <w:tcPr>
            <w:tcW w:w="573" w:type="pct"/>
            <w:vMerge w:val="continue"/>
            <w:tcBorders>
              <w:left w:val="single" w:color="auto" w:sz="8" w:space="0"/>
              <w:bottom w:val="single" w:color="auto" w:sz="8"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办理土地证</w:t>
            </w:r>
          </w:p>
        </w:tc>
        <w:tc>
          <w:tcPr>
            <w:tcW w:w="526"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规自局</w:t>
            </w:r>
          </w:p>
        </w:tc>
        <w:tc>
          <w:tcPr>
            <w:tcW w:w="1710" w:type="pct"/>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1、不动产登记申请书（一页两面，填写盖章签字）</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2、不动产权属来源证明文件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包括：土地出让合同（原件）、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交付土地确认书（原件）。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3、税费缴纳证明</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包括：款齐证明（复印件）、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土地出让金专用票据（复印件）、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契税（税收缴款书）第一联（复印件）等。</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4、建设项目核定用地图(复印件，如合同中已有则不需要)</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5、企业法人营业执照副本（查验原件、复印件留存）</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6、授权委托书（填写盖章签字）、</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受托人身份证（查验原件、复印件留存）。</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7、界址表（本宗地单方指界、盖章）</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注：所提供复印件均为A4纸并加盖公章</w:t>
            </w:r>
          </w:p>
        </w:tc>
        <w:tc>
          <w:tcPr>
            <w:tcW w:w="988" w:type="pct"/>
            <w:tcBorders>
              <w:top w:val="single" w:color="auto" w:sz="8"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黄东亮 25201337</w:t>
            </w:r>
          </w:p>
        </w:tc>
        <w:tc>
          <w:tcPr>
            <w:tcW w:w="657" w:type="pct"/>
            <w:vMerge w:val="continue"/>
            <w:tcBorders>
              <w:top w:val="nil"/>
              <w:left w:val="single" w:color="auto" w:sz="4" w:space="0"/>
              <w:bottom w:val="single" w:color="000000" w:sz="8" w:space="0"/>
              <w:right w:val="single" w:color="auto" w:sz="4" w:space="0"/>
            </w:tcBorders>
            <w:vAlign w:val="center"/>
          </w:tcPr>
          <w:p>
            <w:pPr>
              <w:widowControl/>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7210" w:hRule="atLeast"/>
        </w:trPr>
        <w:tc>
          <w:tcPr>
            <w:tcW w:w="573" w:type="pct"/>
            <w:vMerge w:val="restart"/>
            <w:tcBorders>
              <w:top w:val="nil"/>
              <w:left w:val="single" w:color="auto" w:sz="8" w:space="0"/>
              <w:right w:val="single" w:color="auto" w:sz="8" w:space="0"/>
            </w:tcBorders>
            <w:shd w:val="clear" w:color="auto" w:fill="auto"/>
            <w:vAlign w:val="center"/>
          </w:tcPr>
          <w:p>
            <w:pPr>
              <w:widowControl/>
              <w:jc w:val="center"/>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审批手续</w:t>
            </w: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项目备案（核准）</w:t>
            </w:r>
          </w:p>
        </w:tc>
        <w:tc>
          <w:tcPr>
            <w:tcW w:w="5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政务</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服务办</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b/>
                <w:bCs/>
                <w:color w:val="000000"/>
                <w:kern w:val="0"/>
                <w:szCs w:val="21"/>
                <w:u w:val="single"/>
              </w:rPr>
              <w:t>内资备案：</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1、《天津市内资企业固定资产投资项目备案申请表》（加盖申请单位公章）</w:t>
            </w:r>
            <w:r>
              <w:rPr>
                <w:rFonts w:hint="eastAsia" w:ascii="仿宋_GB2312" w:hAnsi="黑体" w:eastAsia="仿宋_GB2312" w:cs="宋体"/>
                <w:color w:val="000000"/>
                <w:kern w:val="0"/>
                <w:szCs w:val="21"/>
              </w:rPr>
              <w:br w:type="textWrapping"/>
            </w:r>
            <w:r>
              <w:rPr>
                <w:rFonts w:hint="eastAsia" w:ascii="仿宋_GB2312" w:hAnsi="黑体" w:eastAsia="仿宋_GB2312" w:cs="宋体"/>
                <w:b/>
                <w:bCs/>
                <w:color w:val="000000"/>
                <w:kern w:val="0"/>
                <w:szCs w:val="21"/>
                <w:u w:val="single"/>
              </w:rPr>
              <w:t>外资备案：</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1、《天津市外商投资项目备案登记表》（加盖申请单位公章）</w:t>
            </w:r>
            <w:r>
              <w:rPr>
                <w:rFonts w:hint="eastAsia" w:ascii="仿宋_GB2312" w:hAnsi="黑体" w:eastAsia="仿宋_GB2312" w:cs="宋体"/>
                <w:color w:val="000000"/>
                <w:kern w:val="0"/>
                <w:szCs w:val="21"/>
              </w:rPr>
              <w:br w:type="textWrapping"/>
            </w:r>
            <w:r>
              <w:rPr>
                <w:rFonts w:hint="eastAsia" w:ascii="仿宋_GB2312" w:hAnsi="黑体" w:eastAsia="仿宋_GB2312" w:cs="宋体"/>
                <w:b/>
                <w:bCs/>
                <w:color w:val="000000"/>
                <w:kern w:val="0"/>
                <w:szCs w:val="21"/>
                <w:u w:val="single"/>
              </w:rPr>
              <w:t>内资核准：</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1、《天津市内资企业固定资产投资项目核准申请书》（加盖申请单位公章）</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2、项目核准申请报告。（项目单位在报送项目申请报告时，应当附具以下文件 ：1.、选址意见书（规划条件）许可文件。 2、建设项目用地预审）</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3、核准招标情况一览表（一式三份加盖公章）</w:t>
            </w:r>
            <w:r>
              <w:rPr>
                <w:rFonts w:hint="eastAsia" w:ascii="仿宋_GB2312" w:hAnsi="黑体" w:eastAsia="仿宋_GB2312" w:cs="宋体"/>
                <w:color w:val="000000"/>
                <w:kern w:val="0"/>
                <w:szCs w:val="21"/>
              </w:rPr>
              <w:br w:type="textWrapping"/>
            </w:r>
            <w:r>
              <w:rPr>
                <w:rFonts w:hint="eastAsia" w:ascii="仿宋_GB2312" w:hAnsi="黑体" w:eastAsia="仿宋_GB2312" w:cs="宋体"/>
                <w:b/>
                <w:bCs/>
                <w:color w:val="000000"/>
                <w:kern w:val="0"/>
                <w:szCs w:val="21"/>
                <w:u w:val="single"/>
              </w:rPr>
              <w:t>外资核准：</w:t>
            </w:r>
            <w:r>
              <w:rPr>
                <w:rFonts w:hint="eastAsia" w:ascii="仿宋_GB2312" w:hAnsi="黑体" w:eastAsia="仿宋_GB2312" w:cs="宋体"/>
                <w:b/>
                <w:bCs/>
                <w:color w:val="000000"/>
                <w:kern w:val="0"/>
                <w:szCs w:val="21"/>
                <w:u w:val="single"/>
              </w:rPr>
              <w:br w:type="textWrapping"/>
            </w:r>
            <w:r>
              <w:rPr>
                <w:rFonts w:hint="eastAsia" w:ascii="仿宋_GB2312" w:hAnsi="黑体" w:eastAsia="仿宋_GB2312" w:cs="宋体"/>
                <w:color w:val="000000"/>
                <w:kern w:val="0"/>
                <w:szCs w:val="21"/>
              </w:rPr>
              <w:t>1、《天津市外商投资项目核准申请表》（加盖申请单位公章）</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2、项目核准申请报告。（项目单位在报送项目申请报告时，应当附具以下文件 ：1.、选址意见书（规划条件）许可文件。 2、建设项目用地预审3、以国有资产或土地使用权出资的，需由有关部门出具确认文件。）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3、核准招标情况一览表（一式三份加盖公章）4、企业注册证。（营业执照）</w:t>
            </w:r>
          </w:p>
        </w:tc>
        <w:tc>
          <w:tcPr>
            <w:tcW w:w="988" w:type="pct"/>
            <w:tcBorders>
              <w:top w:val="single" w:color="auto" w:sz="8"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徐文</w:t>
            </w:r>
            <w:r>
              <w:rPr>
                <w:rFonts w:hint="eastAsia" w:ascii="仿宋_GB2312" w:hAnsi="宋体" w:cs="宋体"/>
                <w:color w:val="000000"/>
                <w:kern w:val="0"/>
                <w:szCs w:val="21"/>
              </w:rPr>
              <w:t>喆</w:t>
            </w:r>
            <w:r>
              <w:rPr>
                <w:rFonts w:hint="eastAsia" w:ascii="仿宋_GB2312" w:hAnsi="宋体" w:eastAsia="仿宋_GB2312" w:cs="宋体"/>
                <w:color w:val="000000"/>
                <w:kern w:val="0"/>
                <w:szCs w:val="21"/>
              </w:rPr>
              <w:t xml:space="preserve"> 25208013</w:t>
            </w:r>
          </w:p>
        </w:tc>
        <w:tc>
          <w:tcPr>
            <w:tcW w:w="657"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950" w:hRule="atLeast"/>
        </w:trPr>
        <w:tc>
          <w:tcPr>
            <w:tcW w:w="573" w:type="pct"/>
            <w:vMerge w:val="continue"/>
            <w:tcBorders>
              <w:left w:val="single" w:color="auto" w:sz="8"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环评</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环境局</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1、申请表（满足办理环评条件的提交）</w:t>
            </w:r>
          </w:p>
        </w:tc>
        <w:tc>
          <w:tcPr>
            <w:tcW w:w="988" w:type="pct"/>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王少博 25201546</w:t>
            </w:r>
          </w:p>
        </w:tc>
        <w:tc>
          <w:tcPr>
            <w:tcW w:w="657"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https://app.teda.gov.cn/Views/ThirdPage.aspx?0205B1EA43DFB124FC6E2EFF388F375B</w:t>
            </w:r>
          </w:p>
        </w:tc>
      </w:tr>
      <w:tr>
        <w:tblPrEx>
          <w:tblCellMar>
            <w:top w:w="0" w:type="dxa"/>
            <w:left w:w="108" w:type="dxa"/>
            <w:bottom w:w="0" w:type="dxa"/>
            <w:right w:w="108" w:type="dxa"/>
          </w:tblCellMar>
        </w:tblPrEx>
        <w:trPr>
          <w:trHeight w:val="2085" w:hRule="atLeast"/>
        </w:trPr>
        <w:tc>
          <w:tcPr>
            <w:tcW w:w="573" w:type="pct"/>
            <w:vMerge w:val="continue"/>
            <w:tcBorders>
              <w:left w:val="single" w:color="auto" w:sz="8" w:space="0"/>
              <w:bottom w:val="single" w:color="auto" w:sz="4"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能评</w:t>
            </w:r>
          </w:p>
        </w:tc>
        <w:tc>
          <w:tcPr>
            <w:tcW w:w="5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政务</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服务办</w:t>
            </w:r>
          </w:p>
        </w:tc>
        <w:tc>
          <w:tcPr>
            <w:tcW w:w="1710" w:type="pct"/>
            <w:tcBorders>
              <w:top w:val="nil"/>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1、固定资产投资项目节能审查申请书。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2、固定资产投资项目能源利用情况表。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3、固定资产投资项目节能报告。（含节能评估文件专家论证意见及评审意见）</w:t>
            </w:r>
          </w:p>
        </w:tc>
        <w:tc>
          <w:tcPr>
            <w:tcW w:w="988" w:type="pct"/>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徐文</w:t>
            </w:r>
            <w:r>
              <w:rPr>
                <w:rFonts w:hint="eastAsia" w:ascii="仿宋_GB2312" w:hAnsi="宋体" w:cs="宋体"/>
                <w:color w:val="000000"/>
                <w:kern w:val="0"/>
                <w:szCs w:val="21"/>
              </w:rPr>
              <w:t>喆</w:t>
            </w:r>
            <w:r>
              <w:rPr>
                <w:rFonts w:hint="eastAsia" w:ascii="仿宋_GB2312" w:hAnsi="宋体" w:eastAsia="仿宋_GB2312" w:cs="宋体"/>
                <w:color w:val="000000"/>
                <w:kern w:val="0"/>
                <w:szCs w:val="21"/>
              </w:rPr>
              <w:t xml:space="preserve"> 25208013</w:t>
            </w:r>
          </w:p>
        </w:tc>
        <w:tc>
          <w:tcPr>
            <w:tcW w:w="657"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kern w:val="0"/>
                <w:szCs w:val="21"/>
              </w:rPr>
            </w:pPr>
            <w:r>
              <w:rPr>
                <w:rFonts w:hint="eastAsia" w:ascii="仿宋_GB2312" w:hAnsi="黑体" w:eastAsia="仿宋_GB2312" w:cs="宋体"/>
                <w:kern w:val="0"/>
                <w:szCs w:val="21"/>
              </w:rPr>
              <w:t>年综合能源消费量不满1000吨标准煤，且年电力消费量不满500万千瓦时的项目，不再单独进行节能审查。</w:t>
            </w:r>
          </w:p>
        </w:tc>
      </w:tr>
      <w:tr>
        <w:tblPrEx>
          <w:tblCellMar>
            <w:top w:w="0" w:type="dxa"/>
            <w:left w:w="108" w:type="dxa"/>
            <w:bottom w:w="0" w:type="dxa"/>
            <w:right w:w="108" w:type="dxa"/>
          </w:tblCellMar>
        </w:tblPrEx>
        <w:trPr>
          <w:trHeight w:val="1950" w:hRule="atLeast"/>
        </w:trPr>
        <w:tc>
          <w:tcPr>
            <w:tcW w:w="5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审批手续</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防雷审查（防雷装置设计审查）</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滨海新区气象局</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1.设计单位资质证的复印件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2.《防雷装置设计审核申请书》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3.设计中所采用的防雷产品相关资料</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4.防雷装置施工图设计说明书、施工图设计图纸及相关资料</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5.总规划平面图或《防雷装置初步设计核准意见书》</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冯立欣 65390121</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Cs w:val="21"/>
              </w:rPr>
            </w:pPr>
            <w:r>
              <w:rPr>
                <w:rFonts w:hint="eastAsia" w:ascii="仿宋_GB2312" w:hAnsi="黑体" w:eastAsia="仿宋_GB2312" w:cs="宋体"/>
                <w:kern w:val="0"/>
                <w:szCs w:val="21"/>
              </w:rPr>
              <w:t>　</w:t>
            </w:r>
          </w:p>
        </w:tc>
      </w:tr>
      <w:tr>
        <w:tblPrEx>
          <w:tblCellMar>
            <w:top w:w="0" w:type="dxa"/>
            <w:left w:w="108" w:type="dxa"/>
            <w:bottom w:w="0" w:type="dxa"/>
            <w:right w:w="108" w:type="dxa"/>
          </w:tblCellMar>
        </w:tblPrEx>
        <w:trPr>
          <w:trHeight w:val="2640"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超限高层建筑工程抗震设防许可</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政务</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服务办</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1.初步设计文件（建筑和结构部分，含结构计算书）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2.对要求进行模型抗震性能试验研究的，应当提供抗震试验研究报告</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3.建设项目的岩土工程勘察报告</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4.设计时参照使用的国外有关抗震设计标准、工程和震害资料及计算机程序</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5.高层建筑工程超限设计的可行性论证报告</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6.超限高层建筑工程抗震设防专项审查表</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华成 25208005</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kern w:val="0"/>
                <w:szCs w:val="21"/>
              </w:rPr>
            </w:pPr>
            <w:r>
              <w:rPr>
                <w:rFonts w:hint="eastAsia" w:ascii="仿宋_GB2312" w:hAnsi="黑体" w:eastAsia="仿宋_GB2312" w:cs="宋体"/>
                <w:kern w:val="0"/>
                <w:szCs w:val="21"/>
              </w:rPr>
              <w:t>　</w:t>
            </w:r>
          </w:p>
        </w:tc>
      </w:tr>
      <w:tr>
        <w:tblPrEx>
          <w:tblCellMar>
            <w:top w:w="0" w:type="dxa"/>
            <w:left w:w="108" w:type="dxa"/>
            <w:bottom w:w="0" w:type="dxa"/>
            <w:right w:w="108" w:type="dxa"/>
          </w:tblCellMar>
        </w:tblPrEx>
        <w:trPr>
          <w:trHeight w:val="585"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完成勘察、设计、监理、施工招投标</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企业</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企业自行发包，确认四方中标单位</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rPr>
          <w:trHeight w:val="2100"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取得勘察、设计、监理、施工中标通知书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经开区建设管理中心</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xml:space="preserve">天津市住房和城乡建设委员会政府服务平台自行办理；平台电话：28468153 </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宫喜龙 25208336</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详见链接：https://app.teda.gov.cn/Views/ThirdPage.aspx?C5901D6AEBD21E54D2B75560C72848B5</w:t>
            </w:r>
          </w:p>
        </w:tc>
      </w:tr>
      <w:tr>
        <w:tblPrEx>
          <w:tblCellMar>
            <w:top w:w="0" w:type="dxa"/>
            <w:left w:w="108" w:type="dxa"/>
            <w:bottom w:w="0" w:type="dxa"/>
            <w:right w:w="108" w:type="dxa"/>
          </w:tblCellMar>
        </w:tblPrEx>
        <w:trPr>
          <w:trHeight w:val="765"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岩土勘探报告</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企业自行寻找工程相关资质单位</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645"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总平图/施工图设计</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企业自行寻找工程相关资质单位</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980"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建设工程规划意见函</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经开区规自局</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1、建设工程设计方案3份，修建性详细规划方案一份；</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2、建筑设计方案申报表（建筑工程）</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3、建设工程规划放线测量技术报告3份（含电子文件）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4、企业申请书及承诺书</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盖大为 25201576</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李铁义 63118607（南港）   </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含建设工程设计方案审查、公示</w:t>
            </w:r>
          </w:p>
        </w:tc>
      </w:tr>
      <w:tr>
        <w:tblPrEx>
          <w:tblCellMar>
            <w:top w:w="0" w:type="dxa"/>
            <w:left w:w="108" w:type="dxa"/>
            <w:bottom w:w="0" w:type="dxa"/>
            <w:right w:w="108" w:type="dxa"/>
          </w:tblCellMar>
        </w:tblPrEx>
        <w:trPr>
          <w:trHeight w:val="2010" w:hRule="atLeast"/>
        </w:trPr>
        <w:tc>
          <w:tcPr>
            <w:tcW w:w="573" w:type="pct"/>
            <w:vMerge w:val="restart"/>
            <w:tcBorders>
              <w:top w:val="single" w:color="auto" w:sz="4" w:space="0"/>
              <w:left w:val="single" w:color="auto" w:sz="8" w:space="0"/>
              <w:right w:val="single" w:color="auto" w:sz="8" w:space="0"/>
            </w:tcBorders>
            <w:shd w:val="clear" w:color="auto" w:fill="auto"/>
            <w:vAlign w:val="center"/>
          </w:tcPr>
          <w:p>
            <w:pPr>
              <w:jc w:val="left"/>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审批手续</w:t>
            </w:r>
          </w:p>
        </w:tc>
        <w:tc>
          <w:tcPr>
            <w:tcW w:w="5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施工图审查合格证</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建交局（第三方审图机构）</w:t>
            </w:r>
          </w:p>
        </w:tc>
        <w:tc>
          <w:tcPr>
            <w:tcW w:w="171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1.立项文件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2.地勘证</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3.人防批复</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4.建设工程规划意见函。</w:t>
            </w:r>
          </w:p>
        </w:tc>
        <w:tc>
          <w:tcPr>
            <w:tcW w:w="988" w:type="pct"/>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韩雪松 25203629</w:t>
            </w:r>
          </w:p>
        </w:tc>
        <w:tc>
          <w:tcPr>
            <w:tcW w:w="657" w:type="pct"/>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5324" w:hRule="atLeast"/>
        </w:trPr>
        <w:tc>
          <w:tcPr>
            <w:tcW w:w="573" w:type="pct"/>
            <w:vMerge w:val="continue"/>
            <w:tcBorders>
              <w:left w:val="single" w:color="auto" w:sz="8" w:space="0"/>
              <w:bottom w:val="single" w:color="auto" w:sz="4" w:space="0"/>
              <w:right w:val="single" w:color="auto" w:sz="8"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施工许可、质量监督和工程规划许可证（换证）</w:t>
            </w:r>
          </w:p>
        </w:tc>
        <w:tc>
          <w:tcPr>
            <w:tcW w:w="5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政务</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服务办</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规自局</w:t>
            </w:r>
          </w:p>
        </w:tc>
        <w:tc>
          <w:tcPr>
            <w:tcW w:w="1710"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kern w:val="0"/>
                <w:szCs w:val="21"/>
              </w:rPr>
            </w:pPr>
            <w:r>
              <w:rPr>
                <w:rFonts w:hint="eastAsia" w:ascii="仿宋_GB2312" w:hAnsi="黑体" w:eastAsia="仿宋_GB2312" w:cs="宋体"/>
                <w:kern w:val="0"/>
                <w:szCs w:val="21"/>
              </w:rPr>
              <w:t>1、房屋建筑和市政基础设施工程质量安全登记”与“建筑工程施工许可”合并办理申请表</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2、五方责任主体的法定代表人签署的授权书与《建设工程五方主体项目负责人工程质量终身责任承诺书》《建设工程五方主体项目负责人工程安全终身责任承诺书》</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3、天津市房屋建筑和市政工程施工图设计文件审查合格书</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4、依法确定承包人的材料</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5、危险性较大的分部分项工程清单</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6、建设工程规划意见函</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7、用地批准手续</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8、施工合同和勘察、设计、监理、施工中标通知书</w:t>
            </w:r>
            <w:r>
              <w:rPr>
                <w:rFonts w:hint="eastAsia" w:ascii="仿宋_GB2312" w:hAnsi="黑体" w:eastAsia="仿宋_GB2312" w:cs="宋体"/>
                <w:kern w:val="0"/>
                <w:szCs w:val="21"/>
              </w:rPr>
              <w:br w:type="textWrapping"/>
            </w:r>
            <w:r>
              <w:rPr>
                <w:rFonts w:hint="eastAsia" w:ascii="仿宋_GB2312" w:hAnsi="黑体" w:eastAsia="仿宋_GB2312" w:cs="宋体"/>
                <w:kern w:val="0"/>
                <w:szCs w:val="21"/>
              </w:rPr>
              <w:t>9、施工企业主要技术负责人签署的已经具备施工条件意见书</w:t>
            </w:r>
          </w:p>
        </w:tc>
        <w:tc>
          <w:tcPr>
            <w:tcW w:w="98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徐文</w:t>
            </w:r>
            <w:r>
              <w:rPr>
                <w:rFonts w:hint="eastAsia" w:ascii="仿宋_GB2312" w:hAnsi="宋体" w:cs="宋体"/>
                <w:kern w:val="0"/>
                <w:szCs w:val="21"/>
              </w:rPr>
              <w:t>喆</w:t>
            </w:r>
            <w:r>
              <w:rPr>
                <w:rFonts w:hint="eastAsia" w:ascii="仿宋_GB2312" w:hAnsi="宋体" w:eastAsia="仿宋_GB2312" w:cs="宋体"/>
                <w:kern w:val="0"/>
                <w:szCs w:val="21"/>
              </w:rPr>
              <w:t xml:space="preserve">  25208013</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盖大为 25201576</w:t>
            </w:r>
          </w:p>
        </w:tc>
        <w:tc>
          <w:tcPr>
            <w:tcW w:w="657"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4236" w:hRule="atLeast"/>
        </w:trPr>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开工准备工作</w:t>
            </w:r>
          </w:p>
        </w:tc>
        <w:tc>
          <w:tcPr>
            <w:tcW w:w="5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异地建设人防费（地上民用建筑面积超2000平米以上才需要缴费或建设地下室）</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滨海新区人防办</w:t>
            </w:r>
          </w:p>
        </w:tc>
        <w:tc>
          <w:tcPr>
            <w:tcW w:w="17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1.天津市滨海新区人民政府人民防空办公室结合民用建筑修建防空地下室建设意见申请表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2.新建工程建筑面积明细表</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3.建设单位承诺书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4.项目立项文件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5.建设工程规划许可证（可后补）</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6.电子版图纸</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7.情况说明及变更申请</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8.易地建设费请示及相关文件</w:t>
            </w:r>
          </w:p>
        </w:tc>
        <w:tc>
          <w:tcPr>
            <w:tcW w:w="9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于小龙 65369525</w:t>
            </w:r>
          </w:p>
        </w:tc>
        <w:tc>
          <w:tcPr>
            <w:tcW w:w="6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6079" w:hRule="atLeast"/>
        </w:trPr>
        <w:tc>
          <w:tcPr>
            <w:tcW w:w="5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r>
              <w:rPr>
                <w:rFonts w:hint="eastAsia" w:ascii="仿宋_GB2312" w:hAnsi="Courier New" w:eastAsia="仿宋_GB2312" w:cs="Courier New"/>
                <w:b/>
                <w:bCs/>
                <w:color w:val="000000"/>
                <w:kern w:val="0"/>
                <w:szCs w:val="21"/>
              </w:rPr>
              <w:t>开工准备工作</w:t>
            </w:r>
          </w:p>
        </w:tc>
        <w:tc>
          <w:tcPr>
            <w:tcW w:w="546" w:type="pct"/>
            <w:tcBorders>
              <w:top w:val="single" w:color="auto" w:sz="4"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占用绿化用地或迁移砍伐城市树木</w:t>
            </w:r>
          </w:p>
        </w:tc>
        <w:tc>
          <w:tcPr>
            <w:tcW w:w="526"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政务</w:t>
            </w:r>
          </w:p>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服务办</w:t>
            </w:r>
          </w:p>
        </w:tc>
        <w:tc>
          <w:tcPr>
            <w:tcW w:w="1710" w:type="pct"/>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1、因改变绿化规划、绿化用地使用性质的，提交规划行政主管部门批准的改变绿化规划、绿化用地使用性质的批准文件及附图</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2、因工程建设需要迁移、砍伐的，按照《城乡规划法》第36条、第37条、第38条、第39条、第40条的有关规定，提交下列材料：（1）建设项目选址意见书或者土地出让合同；（2）《建设用地规划许可证》；（3）《建设工程规划许可证》及附图；在准备该申请材料时，应注意以下几点</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3、委托书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4、迁移、砍伐城市树木（古树名木）行政许可申请书</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5、因在城市绿地范围内增设建（构）筑物和其它设施的，提交下列材料：（1）符合城市规划的证明材料；（2）符合相关设计规范的证明材料</w:t>
            </w:r>
          </w:p>
        </w:tc>
        <w:tc>
          <w:tcPr>
            <w:tcW w:w="988"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华成 25208005</w:t>
            </w:r>
          </w:p>
        </w:tc>
        <w:tc>
          <w:tcPr>
            <w:tcW w:w="657"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　</w:t>
            </w:r>
          </w:p>
        </w:tc>
      </w:tr>
      <w:tr>
        <w:tblPrEx>
          <w:tblCellMar>
            <w:top w:w="0" w:type="dxa"/>
            <w:left w:w="108" w:type="dxa"/>
            <w:bottom w:w="0" w:type="dxa"/>
            <w:right w:w="108" w:type="dxa"/>
          </w:tblCellMar>
        </w:tblPrEx>
        <w:trPr>
          <w:trHeight w:val="1725" w:hRule="atLeast"/>
        </w:trPr>
        <w:tc>
          <w:tcPr>
            <w:tcW w:w="5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Courier New" w:eastAsia="仿宋_GB2312" w:cs="Courier New"/>
                <w:b/>
                <w:bCs/>
                <w:color w:val="000000"/>
                <w:kern w:val="0"/>
                <w:szCs w:val="21"/>
              </w:rPr>
            </w:pPr>
          </w:p>
        </w:tc>
        <w:tc>
          <w:tcPr>
            <w:tcW w:w="546" w:type="pct"/>
            <w:tcBorders>
              <w:top w:val="nil"/>
              <w:left w:val="single" w:color="auto" w:sz="4" w:space="0"/>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工地用电申请</w:t>
            </w:r>
          </w:p>
        </w:tc>
        <w:tc>
          <w:tcPr>
            <w:tcW w:w="526"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建交局</w:t>
            </w:r>
          </w:p>
        </w:tc>
        <w:tc>
          <w:tcPr>
            <w:tcW w:w="1710" w:type="pct"/>
            <w:tcBorders>
              <w:top w:val="nil"/>
              <w:left w:val="nil"/>
              <w:bottom w:val="single" w:color="auto" w:sz="8" w:space="0"/>
              <w:right w:val="single" w:color="auto" w:sz="8"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1.施工阶段能源可供证明</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 xml:space="preserve">2.相关表格 </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3.法人身份证复印件</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 xml:space="preserve">4.企业营业执照副本复印件 </w:t>
            </w:r>
            <w:r>
              <w:rPr>
                <w:rFonts w:hint="eastAsia" w:ascii="仿宋_GB2312" w:hAnsi="黑体" w:eastAsia="仿宋_GB2312" w:cs="宋体"/>
                <w:color w:val="000000"/>
                <w:kern w:val="0"/>
                <w:szCs w:val="21"/>
              </w:rPr>
              <w:br w:type="textWrapping"/>
            </w:r>
            <w:r>
              <w:rPr>
                <w:rFonts w:hint="eastAsia" w:ascii="仿宋_GB2312" w:hAnsi="黑体" w:eastAsia="仿宋_GB2312" w:cs="宋体"/>
                <w:color w:val="000000"/>
                <w:kern w:val="0"/>
                <w:szCs w:val="21"/>
              </w:rPr>
              <w:t>5.土地证复印件</w:t>
            </w:r>
          </w:p>
        </w:tc>
        <w:tc>
          <w:tcPr>
            <w:tcW w:w="988"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张颖  25203622</w:t>
            </w:r>
          </w:p>
        </w:tc>
        <w:tc>
          <w:tcPr>
            <w:tcW w:w="657" w:type="pct"/>
            <w:tcBorders>
              <w:top w:val="nil"/>
              <w:left w:val="nil"/>
              <w:bottom w:val="single" w:color="auto" w:sz="8" w:space="0"/>
              <w:right w:val="single" w:color="auto" w:sz="8" w:space="0"/>
            </w:tcBorders>
            <w:shd w:val="clear" w:color="auto" w:fill="auto"/>
            <w:vAlign w:val="center"/>
          </w:tcPr>
          <w:p>
            <w:pPr>
              <w:widowControl/>
              <w:jc w:val="left"/>
              <w:rPr>
                <w:rFonts w:ascii="仿宋_GB2312" w:hAnsi="黑体" w:eastAsia="仿宋_GB2312" w:cs="宋体"/>
                <w:color w:val="000000"/>
                <w:kern w:val="0"/>
                <w:szCs w:val="21"/>
              </w:rPr>
            </w:pPr>
            <w:r>
              <w:rPr>
                <w:rFonts w:hint="eastAsia" w:ascii="仿宋_GB2312" w:hAnsi="黑体" w:eastAsia="仿宋_GB2312" w:cs="宋体"/>
                <w:color w:val="000000"/>
                <w:kern w:val="0"/>
                <w:szCs w:val="21"/>
              </w:rPr>
              <w:t>用户在开工前三十日获得《施工阶段能源可供证明》可申请临时用电接入工程。</w:t>
            </w:r>
          </w:p>
        </w:tc>
      </w:tr>
    </w:tbl>
    <w:p>
      <w:pPr>
        <w:widowControl/>
        <w:jc w:val="left"/>
        <w:rPr>
          <w:rFonts w:hint="eastAsia" w:ascii="仿宋_GB2312" w:hAnsi="宋体"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14 -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15 -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MTZiYjNhYzRkOTMxMjExNTk0NmQyOTY2YTY0YjIifQ=="/>
  </w:docVars>
  <w:rsids>
    <w:rsidRoot w:val="0099610F"/>
    <w:rsid w:val="00183023"/>
    <w:rsid w:val="0099610F"/>
    <w:rsid w:val="009A1FCB"/>
    <w:rsid w:val="6163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_Style 7"/>
    <w:basedOn w:val="1"/>
    <w:next w:val="9"/>
    <w:qFormat/>
    <w:uiPriority w:val="34"/>
    <w:pPr>
      <w:ind w:firstLine="420" w:firstLineChars="200"/>
    </w:pPr>
    <w:rPr>
      <w:rFonts w:ascii="Calibri" w:hAnsi="Calibri" w:eastAsia="宋体" w:cs="Times New Roman"/>
      <w:sz w:val="28"/>
    </w:rPr>
  </w:style>
  <w:style w:type="paragraph" w:styleId="9">
    <w:name w:val="List Paragraph"/>
    <w:basedOn w:val="1"/>
    <w:qFormat/>
    <w:uiPriority w:val="34"/>
    <w:pPr>
      <w:ind w:firstLine="420" w:firstLineChars="200"/>
    </w:pPr>
  </w:style>
  <w:style w:type="character" w:customStyle="1" w:styleId="10">
    <w:name w:val="无间隔 Char"/>
    <w:link w:val="11"/>
    <w:qFormat/>
    <w:uiPriority w:val="1"/>
    <w:rPr>
      <w:rFonts w:eastAsia="仿宋"/>
      <w:sz w:val="24"/>
    </w:rPr>
  </w:style>
  <w:style w:type="paragraph" w:customStyle="1" w:styleId="11">
    <w:name w:val="无间隔1"/>
    <w:link w:val="10"/>
    <w:qFormat/>
    <w:uiPriority w:val="1"/>
    <w:pPr>
      <w:widowControl w:val="0"/>
      <w:jc w:val="both"/>
    </w:pPr>
    <w:rPr>
      <w:rFonts w:eastAsia="仿宋"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5610</Words>
  <Characters>6059</Characters>
  <Lines>45</Lines>
  <Paragraphs>12</Paragraphs>
  <TotalTime>0</TotalTime>
  <ScaleCrop>false</ScaleCrop>
  <LinksUpToDate>false</LinksUpToDate>
  <CharactersWithSpaces>6113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2021-09-23T01:20:00Z</dcterms:created>
  <dc:creator>任 朝霞</dc:creator>
  <cp:lastModifiedBy>日新月异的小王子～</cp:lastModifiedBy>
  <dcterms:modified xsi:type="dcterms:W3CDTF">2022-08-01T08:28:36Z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EE504514E8B443FD90660F31ED21276B</vt:lpwstr>
  </property>
</Properties>
</file>