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32"/>
          <w:szCs w:val="32"/>
        </w:rPr>
      </w:pPr>
      <w:r>
        <w:rPr>
          <w:rFonts w:hint="eastAsia" w:ascii="Calibri" w:hAnsi="Calibri" w:eastAsia="宋体" w:cs="Times New Roman"/>
          <w:sz w:val="32"/>
          <w:szCs w:val="32"/>
        </w:rPr>
        <w:t>附件：</w:t>
      </w:r>
    </w:p>
    <w:p>
      <w:pPr>
        <w:jc w:val="center"/>
        <w:rPr>
          <w:rFonts w:ascii="Calibri" w:hAnsi="Calibri" w:eastAsia="宋体" w:cs="Times New Roman"/>
          <w:sz w:val="36"/>
          <w:szCs w:val="36"/>
        </w:rPr>
      </w:pPr>
      <w:bookmarkStart w:id="0" w:name="_GoBack"/>
      <w:r>
        <w:rPr>
          <w:rFonts w:ascii="Calibri" w:hAnsi="Calibri" w:eastAsia="宋体" w:cs="Times New Roman"/>
          <w:sz w:val="36"/>
          <w:szCs w:val="36"/>
        </w:rPr>
        <w:t>20</w:t>
      </w:r>
      <w:r>
        <w:rPr>
          <w:rFonts w:hint="eastAsia" w:ascii="Calibri" w:hAnsi="Calibri" w:eastAsia="宋体" w:cs="Times New Roman"/>
          <w:sz w:val="36"/>
          <w:szCs w:val="36"/>
        </w:rPr>
        <w:t>20年上半年经开区建设工程行政处罚明细</w:t>
      </w:r>
    </w:p>
    <w:bookmarkEnd w:id="0"/>
    <w:tbl>
      <w:tblPr>
        <w:tblStyle w:val="4"/>
        <w:tblW w:w="14474" w:type="dxa"/>
        <w:tblInd w:w="93" w:type="dxa"/>
        <w:tblLayout w:type="fixed"/>
        <w:tblCellMar>
          <w:top w:w="0" w:type="dxa"/>
          <w:left w:w="108" w:type="dxa"/>
          <w:bottom w:w="0" w:type="dxa"/>
          <w:right w:w="108" w:type="dxa"/>
        </w:tblCellMar>
      </w:tblPr>
      <w:tblGrid>
        <w:gridCol w:w="651"/>
        <w:gridCol w:w="678"/>
        <w:gridCol w:w="2321"/>
        <w:gridCol w:w="1750"/>
        <w:gridCol w:w="994"/>
        <w:gridCol w:w="2552"/>
        <w:gridCol w:w="1979"/>
        <w:gridCol w:w="2267"/>
        <w:gridCol w:w="1282"/>
      </w:tblGrid>
      <w:tr>
        <w:tblPrEx>
          <w:tblCellMar>
            <w:top w:w="0" w:type="dxa"/>
            <w:left w:w="108" w:type="dxa"/>
            <w:bottom w:w="0" w:type="dxa"/>
            <w:right w:w="108" w:type="dxa"/>
          </w:tblCellMar>
        </w:tblPrEx>
        <w:trPr>
          <w:trHeight w:val="855"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67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处罚类型</w:t>
            </w:r>
          </w:p>
        </w:tc>
        <w:tc>
          <w:tcPr>
            <w:tcW w:w="23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工程名称</w:t>
            </w:r>
          </w:p>
        </w:tc>
        <w:tc>
          <w:tcPr>
            <w:tcW w:w="17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接受处罚单位</w:t>
            </w:r>
          </w:p>
        </w:tc>
        <w:tc>
          <w:tcPr>
            <w:tcW w:w="99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处罚单位类型</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处罚原因             </w:t>
            </w:r>
          </w:p>
        </w:tc>
        <w:tc>
          <w:tcPr>
            <w:tcW w:w="19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违法情形               </w:t>
            </w:r>
          </w:p>
        </w:tc>
        <w:tc>
          <w:tcPr>
            <w:tcW w:w="226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处罚依据                          </w:t>
            </w:r>
          </w:p>
        </w:tc>
        <w:tc>
          <w:tcPr>
            <w:tcW w:w="128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处罚</w:t>
            </w:r>
            <w:r>
              <w:rPr>
                <w:rFonts w:ascii="宋体" w:hAnsi="宋体" w:eastAsia="宋体" w:cs="宋体"/>
                <w:b/>
                <w:bCs/>
                <w:color w:val="000000"/>
                <w:kern w:val="0"/>
                <w:szCs w:val="21"/>
              </w:rPr>
              <w:t>金额（万元）</w:t>
            </w:r>
          </w:p>
        </w:tc>
      </w:tr>
      <w:tr>
        <w:tblPrEx>
          <w:tblCellMar>
            <w:top w:w="0" w:type="dxa"/>
            <w:left w:w="108" w:type="dxa"/>
            <w:bottom w:w="0" w:type="dxa"/>
            <w:right w:w="108" w:type="dxa"/>
          </w:tblCellMar>
        </w:tblPrEx>
        <w:trPr>
          <w:trHeight w:val="845"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文明施工</w:t>
            </w:r>
          </w:p>
        </w:tc>
        <w:tc>
          <w:tcPr>
            <w:tcW w:w="2321"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滨海文化商务中心住宅地块5项目</w:t>
            </w:r>
          </w:p>
        </w:tc>
        <w:tc>
          <w:tcPr>
            <w:tcW w:w="1750"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天津三建建筑工程有限公司</w:t>
            </w:r>
          </w:p>
        </w:tc>
        <w:tc>
          <w:tcPr>
            <w:tcW w:w="994" w:type="dxa"/>
            <w:tcBorders>
              <w:top w:val="nil"/>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裸土没苫盖，没实行湿法作业</w:t>
            </w:r>
          </w:p>
        </w:tc>
        <w:tc>
          <w:tcPr>
            <w:tcW w:w="1979"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《天津市大气污染防治条例》第六十一条</w:t>
            </w:r>
          </w:p>
        </w:tc>
        <w:tc>
          <w:tcPr>
            <w:tcW w:w="2267"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《天津市大气污染防治条例》第八十八条</w:t>
            </w:r>
          </w:p>
        </w:tc>
        <w:tc>
          <w:tcPr>
            <w:tcW w:w="1282" w:type="dxa"/>
            <w:tcBorders>
              <w:top w:val="nil"/>
              <w:left w:val="nil"/>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Times New Roman"/>
                <w:szCs w:val="21"/>
              </w:rPr>
              <w:t>10</w:t>
            </w:r>
          </w:p>
        </w:tc>
      </w:tr>
      <w:tr>
        <w:tblPrEx>
          <w:tblCellMar>
            <w:top w:w="0" w:type="dxa"/>
            <w:left w:w="108" w:type="dxa"/>
            <w:bottom w:w="0" w:type="dxa"/>
            <w:right w:w="108" w:type="dxa"/>
          </w:tblCellMar>
        </w:tblPrEx>
        <w:trPr>
          <w:trHeight w:val="1126"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天津赛格海晶股份有限公司冷品加工厂项目</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邯郸市国鹏建筑工程有限公司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分包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现场办公楼模板支架杆自由端过长、灭火器缺失、办公楼主体未搭设安全通道</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4</w:t>
            </w:r>
          </w:p>
        </w:tc>
      </w:tr>
      <w:tr>
        <w:tblPrEx>
          <w:tblCellMar>
            <w:top w:w="0" w:type="dxa"/>
            <w:left w:w="108" w:type="dxa"/>
            <w:bottom w:w="0" w:type="dxa"/>
            <w:right w:w="108" w:type="dxa"/>
          </w:tblCellMar>
        </w:tblPrEx>
        <w:trPr>
          <w:trHeight w:val="1114"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市场</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贝肯山斯茹园7-1-802</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天津招商泰达房地产开发有限公司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建设</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存在质量缺陷，房地产开发企业未在五日内予以勘察、维修</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《天津市商品房管理条例》第三十四条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《天津市商品房管理条例》第三十七条第四项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1130"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天津昂赛细胞基因工程有限公司细胞产品国家工程中心建设项目</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天津安装工程有限公司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模板方案不正确,脚手架设置不符合规范要求,现场一级配电箱重复接地线截面小于规范要求问题</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4.8</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天津昂赛细胞基因工程有限公司细胞产品国家工程中心建设项目</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天津天建工程管理有限公司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模板方案不正确,脚手架设置不符合规范要求,现场一级配电箱重复接地线截面小于规范要求，监理管理不到位，也未向监督管理部门报告</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《天津市建设工程施工安全管理条例》第二十二条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《天津市建设工程施工安全管理条例》第五十一条第二项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2.3</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天誉园一期</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天津正方建设工程监理有限公司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监理工程师不在岗,安全监理人员配备与工程规模不匹配，监理人员无执业资格证</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《天津市建设工程施工安全管理条例》第二十一条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《天津市建设工程施工安全管理条例》第五十一条第一项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天誉园一、二期</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中建五局第三建设有限公司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4号楼、6号楼吊蓝外跨保温板、5号楼吊篮钢丝绳锁扣未留安全弯、临电管理混乱、擅自变更项目经理</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《天津市建设工程施工安全管理条例》第十八条和《天津市建设工程质量管理条例》第十条第二项</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《天津市建设工程施工安全管理条例》第四十八条第三项和《天津市建设工程质量管理条例》第三十六条第一项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964"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天誉园一期</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天津锦世翔建筑工程有限公司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分包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4号楼吊蓝外跨保温板、5号楼吊篮钢丝绳锁扣未留安全弯</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978"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天誉园二期</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天津浩强建设股份有限公司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分包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6号楼吊蓝外跨保温板</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天津市金桥焊材科技有限公司高端焊材智能制造工厂建设一期（预制桩）</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天津建城基业集团有限公司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中标项目经理无现场带班记录，专职安全人员配备不足，安全管理体系不健全</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《天津市建设工程施工安全管理条例》第十四条和第十六条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《天津市建设工程施工安全管理条例》第四十八条第一项和第二项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7</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天津市金桥焊材科技有限公司高端焊材智能制造工厂建设一期（预制桩）</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天津辰达工程监理有限公司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施工单位安全管理体系不健全，专职安全人员配备不足，监理单位审核不到位，也没向监督部门汇报</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《天津市建设工程施工安全管理条例》第二十二条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《天津市建设工程施工安全管理条例》第五十一条第二项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845"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天津柏欣科技有限公司厂房重建</w:t>
            </w:r>
          </w:p>
        </w:tc>
        <w:tc>
          <w:tcPr>
            <w:tcW w:w="1750"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天津渤化海晶建设发展有限公司</w:t>
            </w:r>
          </w:p>
        </w:tc>
        <w:tc>
          <w:tcPr>
            <w:tcW w:w="994" w:type="dxa"/>
            <w:tcBorders>
              <w:top w:val="nil"/>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外脚手架扫地杆主节点小横杆缺失,部分小横杆脱落,作业层脚手板未满铺未绑扎,探头板较多,未加设防护网</w:t>
            </w:r>
          </w:p>
        </w:tc>
        <w:tc>
          <w:tcPr>
            <w:tcW w:w="1979"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《天津市建设工程施工安全管理条例》第十八条</w:t>
            </w:r>
          </w:p>
        </w:tc>
        <w:tc>
          <w:tcPr>
            <w:tcW w:w="2267" w:type="dxa"/>
            <w:tcBorders>
              <w:top w:val="nil"/>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《天津市建设工程施工安全管理条例》第四十八条第三项</w:t>
            </w:r>
          </w:p>
        </w:tc>
        <w:tc>
          <w:tcPr>
            <w:tcW w:w="1282" w:type="dxa"/>
            <w:tcBorders>
              <w:top w:val="nil"/>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3</w:t>
            </w:r>
          </w:p>
        </w:tc>
      </w:tr>
      <w:tr>
        <w:tblPrEx>
          <w:tblCellMar>
            <w:top w:w="0" w:type="dxa"/>
            <w:left w:w="108" w:type="dxa"/>
            <w:bottom w:w="0" w:type="dxa"/>
            <w:right w:w="108" w:type="dxa"/>
          </w:tblCellMar>
        </w:tblPrEx>
        <w:trPr>
          <w:trHeight w:val="1126"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维斯塔斯风力技术（中国）有限公司天津发电工厂改建项目</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江苏省苏中建设集团股份有限公司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施工单位管理人员配备不足</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《天津市建设工程质量管理条例》第十条第二项之规定</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《天津市建设工程质量管理条例》第三十六条第一项之规定</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w:t>
            </w:r>
          </w:p>
        </w:tc>
      </w:tr>
      <w:tr>
        <w:tblPrEx>
          <w:tblCellMar>
            <w:top w:w="0" w:type="dxa"/>
            <w:left w:w="108" w:type="dxa"/>
            <w:bottom w:w="0" w:type="dxa"/>
            <w:right w:w="108" w:type="dxa"/>
          </w:tblCellMar>
        </w:tblPrEx>
        <w:trPr>
          <w:trHeight w:val="1114"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文明施工</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远洋北海西路（天著春秋）项目园林景观</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天津众诚达绿化工程有限公司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开发区环保网格员通报</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《天津市大气污染防治条例》第六十一条</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《天津市大气污染防治条例》第八十八条第一项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w:t>
            </w:r>
          </w:p>
        </w:tc>
      </w:tr>
      <w:tr>
        <w:tblPrEx>
          <w:tblCellMar>
            <w:top w:w="0" w:type="dxa"/>
            <w:left w:w="108" w:type="dxa"/>
            <w:bottom w:w="0" w:type="dxa"/>
            <w:right w:w="108" w:type="dxa"/>
          </w:tblCellMar>
        </w:tblPrEx>
        <w:trPr>
          <w:trHeight w:val="1130"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华纳豪园四、六期项目</w:t>
            </w:r>
          </w:p>
        </w:tc>
        <w:tc>
          <w:tcPr>
            <w:tcW w:w="17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天津汉周房地产建设有限公司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建设</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深基坑施工，建设单位项目负责人不在现场带班</w:t>
            </w:r>
          </w:p>
        </w:tc>
        <w:tc>
          <w:tcPr>
            <w:tcW w:w="1979"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《天津市建设工程施工安全管理条例》第三十条</w:t>
            </w:r>
          </w:p>
        </w:tc>
        <w:tc>
          <w:tcPr>
            <w:tcW w:w="22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《天津市建设工程施工安全管理条例》第四十七条第三项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1</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华纳豪园四、六期项目</w:t>
            </w:r>
          </w:p>
        </w:tc>
        <w:tc>
          <w:tcPr>
            <w:tcW w:w="17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天津市建设工程监理公司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深基坑施工，总监负责人不在现场带班</w:t>
            </w:r>
          </w:p>
        </w:tc>
        <w:tc>
          <w:tcPr>
            <w:tcW w:w="1979"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《天津市建设工程施工安全管理条例》第三十条</w:t>
            </w:r>
          </w:p>
        </w:tc>
        <w:tc>
          <w:tcPr>
            <w:tcW w:w="22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《天津市建设工程施工安全管理条例》第五十一条第三项</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67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天津泰达水业有限公司开发区东南组团及西北组团给水管网</w:t>
            </w:r>
          </w:p>
        </w:tc>
        <w:tc>
          <w:tcPr>
            <w:tcW w:w="1750"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四川益生园艺工程有限责任公司</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现场无施工管理人员</w:t>
            </w:r>
          </w:p>
        </w:tc>
        <w:tc>
          <w:tcPr>
            <w:tcW w:w="1979"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《天津市建设工程质量管理条例》第十条第二项之规定</w:t>
            </w:r>
          </w:p>
        </w:tc>
        <w:tc>
          <w:tcPr>
            <w:tcW w:w="226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Times New Roman"/>
                <w:color w:val="000000"/>
                <w:szCs w:val="21"/>
              </w:rPr>
              <w:t>《天津市建设工程质量管理条例》第三十六条第一项之规定</w:t>
            </w:r>
          </w:p>
        </w:tc>
        <w:tc>
          <w:tcPr>
            <w:tcW w:w="128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Cs w:val="21"/>
              </w:rPr>
            </w:pPr>
            <w:r>
              <w:rPr>
                <w:rFonts w:hint="eastAsia" w:ascii="宋体" w:hAnsi="宋体" w:eastAsia="宋体" w:cs="Times New Roman"/>
                <w:color w:val="000000"/>
                <w:szCs w:val="21"/>
              </w:rPr>
              <w:t>2.5</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天津市港丰建筑安装工程有限公司厂房扩建项目</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天津市中天富丽建筑工程有限公司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现场钢结构安装施工时无安全绳和安全网,电线缆拖地泡水,施工区域与建设单位生产区域未分开</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天津三星电机有限公司MLCC滨海三期扩能项目</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三星工程建设（上海）有限公司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发现一名2020年5月10日从新冠病毒疫情高风险地区吉林省舒兰市返津的工人，施工单位瞒报该工人信息，对工地现场造成重大安全隐患问题</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《天津市建设工程施工安全管理条例》第十八条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《天津市建设工程施工安全管理条例》第四十八条第三项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轻轨控制中心、培训中心</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天津滨海快速交通发展有限公司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建设</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竣工验收后未及时办理竣工备案问题</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《建设工程质量管理条例》第四十九条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《建设工程质量管理条例》第五十六条第八项之规定</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现代产业区东扩区污水总管与污水泵站接入口工程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石家庄一建建设集团有限公司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超过一定规模的危险性较大的分部分项工程的风险点位深基坑施工中，施工单位负责人未到现场带班</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《天津市建设工程施工安全管理条例》第三十条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《天津市建设工程施工安全管理条例》第四十九条第三项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现代产业区东扩区污水总管与污水泵站接入口工程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天津市博华工程建设监理有限公司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超过一定规模的危险性较大的分部分项工程的风险点位深基坑施工中，监理单位未在现场旁站</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《天津市建设工程施工安全管理条例》第三十条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《天津市建设工程施工安全管理条例》第五十一条第三项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天津中财型材有限责任公司四期原料仓库项目</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天津金磊建筑工程有限公司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施工单位未经地基阶段验收就擅自进行下一个工序</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《天津市建设工程质量管理条例》第十八条第一款</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《天津市建设工程质量管理条例》第四十二条</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天津中财型材有限责任公司四期原料仓库项目</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天津开发区泰达国际咨询监理有限公司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施工单位未经地基阶段验收就擅自进行下一个工序基础地梁钢筋绑扎，监理单位未制止，也没有报告</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天津市建设工程质量管理条例》第十八条第二款</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《天津市建设工程质量管理条例》第三十六条第三项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安全</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津滨开（挂）2019－1－C地块</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天津市北方建设监理事务所</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超过一定规模的危险性较大的分部分项工程的风险点位深基坑施工中，监理单位项目负责人未在现场带班</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《天津市建设工程施工安全管理条例》第三十条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《天津市建设工程施工安全管理条例》第五十一条第三项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文明施工</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2017年城市公园配套绿化景观提升工程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天津市海岸盐碱地生态绿化工程有限公司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现场搅拌混凝土</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《天津市大气污染防治条例》第六十二条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《天津市大气污染防治条例》第八十八条第二项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上汽大众汽车有限公司天津分公司充电间工程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上汽大众汽车有限公司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建设</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建设单位未组织地基阶段验收就要求施工单位进行下一个工序基础地梁钢筋绑扎</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《天津市建设工程质量管理条例》第十八条第三款</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《天津市建设工程质量管理条例》第四十二条</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5.2</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质量</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上汽大众汽车有限公司天津分公司充电间工程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山东敬业建设项目管理有限公司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监理</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建设单位未经地基阶段验收就要求施工单位进行下一个工序基础地梁钢筋绑扎，监理单位未制止，也没有报告</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天津市建设工程质量管理条例》第十八条第二款</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《天津市建设工程质量管理条例》第三十六条第三项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w:t>
            </w:r>
          </w:p>
        </w:tc>
      </w:tr>
      <w:tr>
        <w:tblPrEx>
          <w:tblCellMar>
            <w:top w:w="0" w:type="dxa"/>
            <w:left w:w="108" w:type="dxa"/>
            <w:bottom w:w="0" w:type="dxa"/>
            <w:right w:w="108" w:type="dxa"/>
          </w:tblCellMar>
        </w:tblPrEx>
        <w:trPr>
          <w:trHeight w:val="1147" w:hRule="atLeast"/>
        </w:trPr>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29</w:t>
            </w:r>
          </w:p>
        </w:tc>
        <w:tc>
          <w:tcPr>
            <w:tcW w:w="6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文明施工</w:t>
            </w:r>
          </w:p>
        </w:tc>
        <w:tc>
          <w:tcPr>
            <w:tcW w:w="2321"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天津滨海高铁东项目C地块工程</w:t>
            </w:r>
          </w:p>
        </w:tc>
        <w:tc>
          <w:tcPr>
            <w:tcW w:w="1750"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中建五局第三建设有限公司</w:t>
            </w:r>
          </w:p>
        </w:tc>
        <w:tc>
          <w:tcPr>
            <w:tcW w:w="99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总包</w:t>
            </w:r>
          </w:p>
        </w:tc>
        <w:tc>
          <w:tcPr>
            <w:tcW w:w="2552"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裸土没苫盖</w:t>
            </w:r>
          </w:p>
        </w:tc>
        <w:tc>
          <w:tcPr>
            <w:tcW w:w="19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《天津市大气污染防治条例》第六十一条</w:t>
            </w:r>
          </w:p>
        </w:tc>
        <w:tc>
          <w:tcPr>
            <w:tcW w:w="2267" w:type="dxa"/>
            <w:tcBorders>
              <w:top w:val="single" w:color="auto" w:sz="4" w:space="0"/>
              <w:left w:val="nil"/>
              <w:bottom w:val="single" w:color="auto" w:sz="4" w:space="0"/>
              <w:right w:val="single" w:color="auto" w:sz="4"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《天津市大气污染防治条例》第八十八条第一项</w:t>
            </w:r>
          </w:p>
        </w:tc>
        <w:tc>
          <w:tcPr>
            <w:tcW w:w="128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w:t>
            </w:r>
          </w:p>
        </w:tc>
      </w:tr>
    </w:tbl>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spacing w:line="360" w:lineRule="auto"/>
        <w:rPr>
          <w:rFonts w:ascii="仿宋_GB2312" w:hAnsi="Calibri" w:eastAsia="仿宋_GB2312" w:cs="Times New Roman"/>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66"/>
    <w:rsid w:val="00006860"/>
    <w:rsid w:val="00010CE2"/>
    <w:rsid w:val="00013991"/>
    <w:rsid w:val="00061BA1"/>
    <w:rsid w:val="000740DB"/>
    <w:rsid w:val="00082D30"/>
    <w:rsid w:val="00082FA0"/>
    <w:rsid w:val="0008761C"/>
    <w:rsid w:val="000B7AC9"/>
    <w:rsid w:val="000F5C5C"/>
    <w:rsid w:val="00154E25"/>
    <w:rsid w:val="0018530F"/>
    <w:rsid w:val="001925D7"/>
    <w:rsid w:val="00197D57"/>
    <w:rsid w:val="001A066F"/>
    <w:rsid w:val="001B0A30"/>
    <w:rsid w:val="001C1C75"/>
    <w:rsid w:val="00206102"/>
    <w:rsid w:val="002D6404"/>
    <w:rsid w:val="002E03CE"/>
    <w:rsid w:val="002F3B17"/>
    <w:rsid w:val="003024B2"/>
    <w:rsid w:val="003B4052"/>
    <w:rsid w:val="003C2F83"/>
    <w:rsid w:val="003F4A4F"/>
    <w:rsid w:val="003F749F"/>
    <w:rsid w:val="00421DB5"/>
    <w:rsid w:val="00427E8B"/>
    <w:rsid w:val="00475C83"/>
    <w:rsid w:val="0049159C"/>
    <w:rsid w:val="004962E7"/>
    <w:rsid w:val="004A2FF0"/>
    <w:rsid w:val="004C0D52"/>
    <w:rsid w:val="004C34AD"/>
    <w:rsid w:val="004E0073"/>
    <w:rsid w:val="00537288"/>
    <w:rsid w:val="005533F2"/>
    <w:rsid w:val="0055747A"/>
    <w:rsid w:val="005740A1"/>
    <w:rsid w:val="005855CF"/>
    <w:rsid w:val="00593AA1"/>
    <w:rsid w:val="00595144"/>
    <w:rsid w:val="005A0251"/>
    <w:rsid w:val="00602F20"/>
    <w:rsid w:val="00620956"/>
    <w:rsid w:val="006258EB"/>
    <w:rsid w:val="006328D7"/>
    <w:rsid w:val="006353E5"/>
    <w:rsid w:val="006354A4"/>
    <w:rsid w:val="00645B56"/>
    <w:rsid w:val="00685CBF"/>
    <w:rsid w:val="006B2213"/>
    <w:rsid w:val="006B48D3"/>
    <w:rsid w:val="006D1705"/>
    <w:rsid w:val="006D47A9"/>
    <w:rsid w:val="006E09C9"/>
    <w:rsid w:val="00707F68"/>
    <w:rsid w:val="0071089D"/>
    <w:rsid w:val="00754EFC"/>
    <w:rsid w:val="007614CB"/>
    <w:rsid w:val="00773F49"/>
    <w:rsid w:val="007A7745"/>
    <w:rsid w:val="007C02B7"/>
    <w:rsid w:val="007C4020"/>
    <w:rsid w:val="00817728"/>
    <w:rsid w:val="00842DB7"/>
    <w:rsid w:val="00843CDC"/>
    <w:rsid w:val="008C383E"/>
    <w:rsid w:val="008D4149"/>
    <w:rsid w:val="00902B66"/>
    <w:rsid w:val="00922388"/>
    <w:rsid w:val="00935CA8"/>
    <w:rsid w:val="009469E8"/>
    <w:rsid w:val="009553E9"/>
    <w:rsid w:val="00964C1F"/>
    <w:rsid w:val="009756D1"/>
    <w:rsid w:val="009917A3"/>
    <w:rsid w:val="00993034"/>
    <w:rsid w:val="009B09CC"/>
    <w:rsid w:val="009B68A4"/>
    <w:rsid w:val="009C7D2C"/>
    <w:rsid w:val="009E5FAB"/>
    <w:rsid w:val="009F74AC"/>
    <w:rsid w:val="00A06C62"/>
    <w:rsid w:val="00A2508B"/>
    <w:rsid w:val="00A32662"/>
    <w:rsid w:val="00A7110A"/>
    <w:rsid w:val="00A7625B"/>
    <w:rsid w:val="00A77C43"/>
    <w:rsid w:val="00A86A2C"/>
    <w:rsid w:val="00AA713F"/>
    <w:rsid w:val="00AF5269"/>
    <w:rsid w:val="00B14CA4"/>
    <w:rsid w:val="00B27FC0"/>
    <w:rsid w:val="00B81FB8"/>
    <w:rsid w:val="00BB4414"/>
    <w:rsid w:val="00BC315C"/>
    <w:rsid w:val="00BE754C"/>
    <w:rsid w:val="00C17E79"/>
    <w:rsid w:val="00C27A6F"/>
    <w:rsid w:val="00C4317F"/>
    <w:rsid w:val="00C973A8"/>
    <w:rsid w:val="00CA1B49"/>
    <w:rsid w:val="00CA7337"/>
    <w:rsid w:val="00CB51AE"/>
    <w:rsid w:val="00CE7CC7"/>
    <w:rsid w:val="00CF4C05"/>
    <w:rsid w:val="00CF5805"/>
    <w:rsid w:val="00D307C9"/>
    <w:rsid w:val="00D532E3"/>
    <w:rsid w:val="00D5631B"/>
    <w:rsid w:val="00D86821"/>
    <w:rsid w:val="00D95391"/>
    <w:rsid w:val="00DF795B"/>
    <w:rsid w:val="00E052E4"/>
    <w:rsid w:val="00E204CD"/>
    <w:rsid w:val="00E52A5B"/>
    <w:rsid w:val="00E56FE6"/>
    <w:rsid w:val="00E772AD"/>
    <w:rsid w:val="00E903DA"/>
    <w:rsid w:val="00E91506"/>
    <w:rsid w:val="00EF5D4C"/>
    <w:rsid w:val="00F0306F"/>
    <w:rsid w:val="00F440DD"/>
    <w:rsid w:val="00F56BD3"/>
    <w:rsid w:val="00F87446"/>
    <w:rsid w:val="00FB1E45"/>
    <w:rsid w:val="00FB47C3"/>
    <w:rsid w:val="00FB56DE"/>
    <w:rsid w:val="00FE0347"/>
    <w:rsid w:val="00FF2DF7"/>
    <w:rsid w:val="6B23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627</Words>
  <Characters>3575</Characters>
  <Lines>29</Lines>
  <Paragraphs>8</Paragraphs>
  <TotalTime>5</TotalTime>
  <ScaleCrop>false</ScaleCrop>
  <LinksUpToDate>false</LinksUpToDate>
  <CharactersWithSpaces>4194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2020-08-25T01:08:00Z</dcterms:created>
  <dc:creator>霍金磊</dc:creator>
  <cp:lastModifiedBy>南风知我意</cp:lastModifiedBy>
  <dcterms:modified xsi:type="dcterms:W3CDTF">2020-08-25T03:14:23Z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