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spacing w:line="58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2018年政务公开工作第    季度完成情况报送表</w:t>
      </w:r>
    </w:p>
    <w:p>
      <w:pPr>
        <w:spacing w:line="588" w:lineRule="exact"/>
        <w:rPr>
          <w:rFonts w:ascii="仿宋_GB2312" w:eastAsia="仿宋_GB2312"/>
          <w:sz w:val="32"/>
          <w:szCs w:val="32"/>
        </w:rPr>
      </w:pPr>
    </w:p>
    <w:p>
      <w:pPr>
        <w:spacing w:line="588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部门名称（公章）：</w:t>
      </w:r>
    </w:p>
    <w:tbl>
      <w:tblPr>
        <w:tblStyle w:val="4"/>
        <w:tblW w:w="13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7554"/>
        <w:gridCol w:w="2281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755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公开内容</w:t>
            </w:r>
          </w:p>
        </w:tc>
        <w:tc>
          <w:tcPr>
            <w:tcW w:w="2281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公开方式</w:t>
            </w:r>
          </w:p>
        </w:tc>
        <w:tc>
          <w:tcPr>
            <w:tcW w:w="222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公开时间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755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1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755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1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755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1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755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1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755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1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755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1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755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1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88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88" w:right="1985" w:bottom="1474" w:left="1985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8"/>
        <w:szCs w:val="28"/>
        <w:lang w:eastAsia="zh-CN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25 -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8"/>
        <w:szCs w:val="28"/>
        <w:lang w:eastAsia="zh-CN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24 -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20A23"/>
    <w:rsid w:val="09620A2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2018-08-14T09:06:00Z</dcterms:created>
  <dc:creator> パ潜意识里╮的微笑</dc:creator>
  <cp:lastModifiedBy> パ潜意识里╮的微笑</cp:lastModifiedBy>
  <dcterms:modified xsi:type="dcterms:W3CDTF">2018-08-14T09:06:48Z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