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  <w:r>
        <w:rPr>
          <w:rFonts w:hint="eastAsia" w:eastAsia="仿宋_GB2312"/>
          <w:spacing w:val="-2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2018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中国（天津）跨境电子商务综合试验区服务体系建设项目支持方向</w:t>
      </w:r>
    </w:p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一、跨境电子商务线上综合服务平台建设</w:t>
      </w:r>
    </w:p>
    <w:p>
      <w:pPr>
        <w:snapToGrid w:val="0"/>
        <w:spacing w:line="580" w:lineRule="exact"/>
        <w:ind w:firstLine="64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支持口岸、海关等政府部门建设</w:t>
      </w:r>
      <w:r>
        <w:rPr>
          <w:rFonts w:hint="eastAsia" w:eastAsia="仿宋_GB2312"/>
          <w:sz w:val="32"/>
          <w:szCs w:val="32"/>
        </w:rPr>
        <w:t>市级跨境电子商务</w:t>
      </w:r>
      <w:r>
        <w:rPr>
          <w:rFonts w:eastAsia="仿宋_GB2312"/>
          <w:sz w:val="32"/>
          <w:szCs w:val="32"/>
        </w:rPr>
        <w:t>公共</w:t>
      </w:r>
      <w:r>
        <w:rPr>
          <w:rFonts w:hint="eastAsia" w:eastAsia="仿宋_GB2312"/>
          <w:sz w:val="32"/>
          <w:szCs w:val="32"/>
        </w:rPr>
        <w:t>服务</w:t>
      </w:r>
      <w:r>
        <w:rPr>
          <w:rFonts w:eastAsia="仿宋_GB2312"/>
          <w:sz w:val="32"/>
          <w:szCs w:val="32"/>
        </w:rPr>
        <w:t>平台或监管平台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为跨境电子商务企业提供</w:t>
      </w:r>
      <w:r>
        <w:rPr>
          <w:rFonts w:hint="eastAsia" w:eastAsia="仿宋_GB2312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政务服务</w:t>
      </w:r>
      <w:r>
        <w:rPr>
          <w:rFonts w:hint="eastAsia" w:eastAsia="仿宋_GB2312"/>
          <w:sz w:val="32"/>
          <w:szCs w:val="32"/>
        </w:rPr>
        <w:t>。对建设</w:t>
      </w:r>
      <w:r>
        <w:rPr>
          <w:rFonts w:eastAsia="仿宋_GB2312"/>
          <w:sz w:val="32"/>
          <w:szCs w:val="32"/>
        </w:rPr>
        <w:t>所需硬件、通用性软件购置，以及公共应用平台开发等费用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不包括后期运行维护费用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予以定额补助</w:t>
      </w:r>
      <w:r>
        <w:rPr>
          <w:rFonts w:hint="eastAsia" w:eastAsia="仿宋_GB2312"/>
          <w:sz w:val="32"/>
          <w:szCs w:val="32"/>
        </w:rPr>
        <w:t>，补助金额最高不超过300万元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580" w:lineRule="exact"/>
        <w:ind w:firstLine="64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支持</w:t>
      </w:r>
      <w:r>
        <w:rPr>
          <w:rFonts w:hint="eastAsia" w:eastAsia="仿宋_GB2312"/>
          <w:sz w:val="32"/>
          <w:szCs w:val="32"/>
        </w:rPr>
        <w:t>经市商务委授权的中国（天津）</w:t>
      </w:r>
      <w:r>
        <w:rPr>
          <w:rFonts w:eastAsia="仿宋_GB2312"/>
          <w:sz w:val="32"/>
          <w:szCs w:val="32"/>
        </w:rPr>
        <w:t>跨境电子商务综合试验区门户网站及微信公众号开发建设</w:t>
      </w:r>
      <w:r>
        <w:rPr>
          <w:rFonts w:hint="eastAsia" w:eastAsia="仿宋_GB2312"/>
          <w:sz w:val="32"/>
          <w:szCs w:val="32"/>
        </w:rPr>
        <w:t>。对建设</w:t>
      </w:r>
      <w:r>
        <w:rPr>
          <w:rFonts w:eastAsia="仿宋_GB2312"/>
          <w:sz w:val="32"/>
          <w:szCs w:val="32"/>
        </w:rPr>
        <w:t>所需硬件、通用性软件购置，以及公共应用平台开发等费用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不包括后期运行维护费用</w:t>
      </w:r>
      <w:r>
        <w:rPr>
          <w:rFonts w:hint="eastAsia" w:eastAsia="仿宋_GB2312"/>
          <w:sz w:val="32"/>
          <w:szCs w:val="32"/>
        </w:rPr>
        <w:t>）按照不超过实际支出的50%给予补助，补助金额最高不超过100万元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580" w:lineRule="exact"/>
        <w:ind w:firstLine="645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</w:t>
      </w:r>
      <w:r>
        <w:rPr>
          <w:rFonts w:hint="eastAsia" w:eastAsia="仿宋_GB2312"/>
          <w:sz w:val="32"/>
          <w:szCs w:val="32"/>
        </w:rPr>
        <w:t>项目建设起止时间为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月1日至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9年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月31日。</w:t>
      </w:r>
    </w:p>
    <w:p>
      <w:pPr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二、跨境电子商务创新试验区公共服务体系建设</w:t>
      </w:r>
    </w:p>
    <w:p>
      <w:pPr>
        <w:snapToGrid w:val="0"/>
        <w:spacing w:line="580" w:lineRule="exact"/>
        <w:ind w:firstLine="64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支持经市商务委认定的跨境电子商务创新试验区公共服务体系建设，包括：</w:t>
      </w:r>
      <w:r>
        <w:rPr>
          <w:rFonts w:eastAsia="仿宋_GB2312"/>
          <w:sz w:val="32"/>
          <w:szCs w:val="32"/>
        </w:rPr>
        <w:t>一是支持各创新试验区结合全市建设方案开展管理规范、统计监测、信用体系等电子商务软环境建设及工作创新；二是支持</w:t>
      </w:r>
      <w:r>
        <w:rPr>
          <w:rFonts w:hint="eastAsia" w:eastAsia="仿宋_GB2312"/>
          <w:sz w:val="32"/>
          <w:szCs w:val="32"/>
        </w:rPr>
        <w:t>为创新试验区</w:t>
      </w:r>
      <w:r>
        <w:rPr>
          <w:rFonts w:eastAsia="仿宋_GB2312"/>
          <w:sz w:val="32"/>
          <w:szCs w:val="32"/>
        </w:rPr>
        <w:t>内跨境电商企业</w:t>
      </w:r>
      <w:r>
        <w:rPr>
          <w:rFonts w:hint="eastAsia" w:eastAsia="仿宋_GB2312"/>
          <w:sz w:val="32"/>
          <w:szCs w:val="32"/>
        </w:rPr>
        <w:t>提供企业或产品集中展览、展示和宣传服务等</w:t>
      </w:r>
      <w:r>
        <w:rPr>
          <w:rFonts w:eastAsia="仿宋_GB2312"/>
          <w:sz w:val="32"/>
          <w:szCs w:val="32"/>
        </w:rPr>
        <w:t>；三是支持</w:t>
      </w:r>
      <w:r>
        <w:rPr>
          <w:rFonts w:hint="eastAsia" w:eastAsia="仿宋_GB2312"/>
          <w:sz w:val="32"/>
          <w:szCs w:val="32"/>
        </w:rPr>
        <w:t>为创新试验区</w:t>
      </w:r>
      <w:r>
        <w:rPr>
          <w:rFonts w:eastAsia="仿宋_GB2312"/>
          <w:sz w:val="32"/>
          <w:szCs w:val="32"/>
        </w:rPr>
        <w:t>内跨境电商企业开展质量安全风险监测及产品溯源</w:t>
      </w:r>
      <w:r>
        <w:rPr>
          <w:rFonts w:hint="eastAsia" w:eastAsia="仿宋_GB2312"/>
          <w:sz w:val="32"/>
          <w:szCs w:val="32"/>
        </w:rPr>
        <w:t>等服务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对各类公共服务体系建设项目</w:t>
      </w:r>
      <w:r>
        <w:rPr>
          <w:rFonts w:eastAsia="仿宋_GB2312"/>
          <w:sz w:val="32"/>
          <w:szCs w:val="32"/>
        </w:rPr>
        <w:t>所需</w:t>
      </w:r>
      <w:r>
        <w:rPr>
          <w:rFonts w:hint="eastAsia" w:eastAsia="仿宋_GB2312"/>
          <w:sz w:val="32"/>
          <w:szCs w:val="32"/>
        </w:rPr>
        <w:t>的相关设备</w:t>
      </w:r>
      <w:r>
        <w:rPr>
          <w:rFonts w:eastAsia="仿宋_GB2312"/>
          <w:sz w:val="32"/>
          <w:szCs w:val="32"/>
        </w:rPr>
        <w:t>、软件</w:t>
      </w:r>
      <w:r>
        <w:rPr>
          <w:rFonts w:hint="eastAsia" w:eastAsia="仿宋_GB2312"/>
          <w:sz w:val="32"/>
          <w:szCs w:val="32"/>
        </w:rPr>
        <w:t>、统计信息购置费用、场地租赁费用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按照不超过实际支出的70%给予补助（</w:t>
      </w:r>
      <w:r>
        <w:rPr>
          <w:rFonts w:eastAsia="仿宋_GB2312"/>
          <w:sz w:val="32"/>
          <w:szCs w:val="32"/>
        </w:rPr>
        <w:t>不包括土地购置、</w:t>
      </w:r>
      <w:r>
        <w:rPr>
          <w:rFonts w:hint="eastAsia" w:eastAsia="仿宋_GB2312"/>
          <w:sz w:val="32"/>
          <w:szCs w:val="32"/>
        </w:rPr>
        <w:t>土建、</w:t>
      </w:r>
      <w:r>
        <w:rPr>
          <w:rFonts w:eastAsia="仿宋_GB2312"/>
          <w:sz w:val="32"/>
          <w:szCs w:val="32"/>
        </w:rPr>
        <w:t>拆迁、</w:t>
      </w:r>
      <w:r>
        <w:rPr>
          <w:rFonts w:hint="eastAsia" w:eastAsia="仿宋_GB2312"/>
          <w:sz w:val="32"/>
          <w:szCs w:val="32"/>
        </w:rPr>
        <w:t>装修</w:t>
      </w:r>
      <w:r>
        <w:rPr>
          <w:rFonts w:eastAsia="仿宋_GB2312"/>
          <w:sz w:val="32"/>
          <w:szCs w:val="32"/>
        </w:rPr>
        <w:t>、通用办公设备</w:t>
      </w:r>
      <w:r>
        <w:rPr>
          <w:rFonts w:hint="eastAsia" w:eastAsia="仿宋_GB2312"/>
          <w:sz w:val="32"/>
          <w:szCs w:val="32"/>
        </w:rPr>
        <w:t>购置、</w:t>
      </w:r>
      <w:r>
        <w:rPr>
          <w:rFonts w:eastAsia="仿宋_GB2312"/>
          <w:sz w:val="32"/>
          <w:szCs w:val="32"/>
        </w:rPr>
        <w:t>人员经费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设施维护等经常性开支</w:t>
      </w:r>
      <w:r>
        <w:rPr>
          <w:rFonts w:hint="eastAsia" w:eastAsia="仿宋_GB2312"/>
          <w:sz w:val="32"/>
          <w:szCs w:val="32"/>
        </w:rPr>
        <w:t>），每个项目每年支持金额最高不超过150万元。项目建设起止时间为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年8月1日至201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月3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日。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三、支持跨境电子商务建设项目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支持跨境电子商务公共基础设施建设。对满足海关查验要求的跨境电商监管查验场所的软硬件购置费，包括安检机、查验设备、机检系统、同屏比对系统、视频监控系统、消防系统、防火墙系统、辅助设备和管理信息系统、地面平整硬化、海关必要的办公场地建设及设备（网络、通讯、取暖、降温）等费用按照最高不超过50%的比例予以补助，项目最高支持金额不超过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00万元。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支持企业首次与天津市跨境电子商务信息化公共服务平台（以下简称“公共服务平台”）实现对接的信息系统建设、升级改造项目，对其中相关的软硬件购置费用，按照投资比例给予补助，每个项目支持比例不超过50%，支持金额不超过10万元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3.支持跨境电商零售企业项目。对已与公共服务平台对接，纳入天津海关进出口统计，首次实现申报期间内跨境电子商务交易额</w:t>
      </w:r>
      <w:r>
        <w:rPr>
          <w:rFonts w:hint="eastAsia" w:eastAsia="仿宋_GB2312"/>
          <w:sz w:val="32"/>
          <w:szCs w:val="32"/>
        </w:rPr>
        <w:t>200万美元、</w:t>
      </w:r>
      <w:r>
        <w:rPr>
          <w:rFonts w:eastAsia="仿宋_GB2312"/>
          <w:sz w:val="32"/>
          <w:szCs w:val="32"/>
        </w:rPr>
        <w:t>500万美元、1000万美元、5000万美元的跨境电商零售企业，按照最高不超过50%的投资比例，分别给予最高不超过</w:t>
      </w:r>
      <w:r>
        <w:rPr>
          <w:rFonts w:hint="eastAsia" w:eastAsia="仿宋_GB2312"/>
          <w:sz w:val="32"/>
          <w:szCs w:val="32"/>
        </w:rPr>
        <w:t>20万元、</w:t>
      </w:r>
      <w:r>
        <w:rPr>
          <w:rFonts w:eastAsia="仿宋_GB2312"/>
          <w:sz w:val="32"/>
          <w:szCs w:val="32"/>
        </w:rPr>
        <w:t>40万元、100万元、200万元的补助。支持内容包括申报期间内项目建设直接相关的设备和软件购置（包括计算机、服务器、网络通信设备、分拣、包装、装卸搬运等专业设备，专业软件）、网络营销推广（包括网站竞价排名、搜索引擎优化、微博、微信等新媒体营销）费用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支持我市境内跨境电商保税仓建设。对已与公共服务平台对接，服务跨境电商企业零售业务的仓储企业初次改造按照最高不超过50%的投资比例给予最高不超过20万元的补助，对申报期间内跨境电商双放行清单量首次实现50万单、100万单、300万单的仓储企业，按照最高不超过50%的投资比例，分别给予最高不超过50万元、100万元、200万元的补助。支持内容包括申报期间内对其软硬件购置费用，包括货架（货柜）、视频监控系统、消防系统、分拣、包装、装卸搬运机械等。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支持跨境电商进口商品展示交易中心建设。建筑面积在100平米以上的，且跨境电子商务展示交易部分销售额不低于500万元人民币，对其软硬件购置费用，包括货架（货柜）、视频监控系统、门牌广告，按照不超过50%的投资比例给予补助，单个项目支持金额最高不超过20万元，同一项目单位在不同区域建设多个项目的，支持金额最高不超过100万元。</w:t>
      </w:r>
    </w:p>
    <w:p>
      <w:r>
        <w:rPr>
          <w:rFonts w:eastAsia="仿宋_GB2312"/>
          <w:sz w:val="32"/>
          <w:szCs w:val="32"/>
        </w:rPr>
        <w:t>以上</w:t>
      </w:r>
      <w:r>
        <w:rPr>
          <w:rFonts w:hint="eastAsia" w:eastAsia="仿宋_GB2312"/>
          <w:sz w:val="32"/>
          <w:szCs w:val="32"/>
        </w:rPr>
        <w:t>项目建设起止时间为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年8月1日至201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月3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260E"/>
    <w:rsid w:val="2DC626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2018-08-28T02:18:00Z</dcterms:created>
  <dc:creator>奥利奥626</dc:creator>
  <cp:lastModifiedBy>奥利奥626</cp:lastModifiedBy>
  <dcterms:modified xsi:type="dcterms:W3CDTF">2018-08-28T02:19:12Z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