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-9509760</wp:posOffset>
                </wp:positionV>
                <wp:extent cx="5392420" cy="0"/>
                <wp:effectExtent l="0" t="0" r="0" b="0"/>
                <wp:wrapNone/>
                <wp:docPr id="1" name="直线 2"/>
                <wp:cNvGraphicFramePr/>
                <a:graphic xmlns:a="http://schemas.openxmlformats.org/drawingml/2006/main">
                  <a:graphicData uri="http://schemas.microsoft.com/office/word/2010/wordprocessingShape">
                    <wps:wsp>
                      <wps:cNvSpPr/>
                      <wps:spPr>
                        <a:xfrm>
                          <a:off x="0" y="0"/>
                          <a:ext cx="53924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2pt;margin-top:-748.8pt;height:0pt;width:424.6pt;z-index:251663360;mso-width-relative:page;mso-height-relative:page;" coordsize="21600,21600" o:gfxdata="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XixT2AAAAA4BAAAPAAAAAAAAAAEAIAAAACIAAABk&#10;cnMvZG93bnJldi54bWxQSwECFAAUAAAACACHTuJADY5HfM0BAACNAwAADgAAAAAAAAABACAAAAAn&#10;AQAAZHJzL2Uyb0RvYy54bWxQSwUGAAAAAAYABgBZAQAAZgUAAAAA&#10;">
                <v:path arrowok="t"/>
                <v:fill focussize="0,0"/>
                <v:stroke/>
                <v:imagedata o:title=""/>
                <o:lock v:ext="edit"/>
              </v:line>
            </w:pict>
          </mc:Fallback>
        </mc:AlternateContent>
      </w:r>
      <w:r>
        <w:rPr>
          <w:rFonts w:hint="eastAsia" w:ascii="仿宋" w:hAnsi="仿宋" w:eastAsia="仿宋"/>
          <w:sz w:val="32"/>
          <w:szCs w:val="32"/>
        </w:rPr>
        <w:t>附件一</w:t>
      </w:r>
    </w:p>
    <w:p>
      <w:pPr>
        <w:rPr>
          <w:rFonts w:ascii="宋体" w:hAnsi="宋体"/>
          <w:sz w:val="28"/>
          <w:szCs w:val="28"/>
        </w:rPr>
      </w:pPr>
    </w:p>
    <w:p>
      <w:pPr>
        <w:jc w:val="center"/>
        <w:rPr>
          <w:rFonts w:asciiTheme="majorEastAsia" w:hAnsiTheme="majorEastAsia" w:eastAsiaTheme="majorEastAsia"/>
          <w:sz w:val="44"/>
          <w:szCs w:val="44"/>
        </w:rPr>
      </w:pPr>
      <w:bookmarkStart w:id="0" w:name="_GoBack"/>
      <w:r>
        <w:rPr>
          <w:rFonts w:hint="eastAsia" w:asciiTheme="majorEastAsia" w:hAnsiTheme="majorEastAsia" w:eastAsiaTheme="majorEastAsia"/>
          <w:sz w:val="44"/>
          <w:szCs w:val="44"/>
        </w:rPr>
        <w:t>2017年度天津市先进外商投资企业</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评比条件及标准</w:t>
      </w:r>
      <w:bookmarkEnd w:id="0"/>
    </w:p>
    <w:p>
      <w:pPr>
        <w:jc w:val="center"/>
        <w:rPr>
          <w:rFonts w:ascii="黑体" w:hAnsi="宋体" w:eastAsia="黑体"/>
          <w:sz w:val="32"/>
          <w:szCs w:val="32"/>
        </w:rPr>
      </w:pPr>
    </w:p>
    <w:p>
      <w:pPr>
        <w:ind w:firstLine="640" w:firstLineChars="200"/>
        <w:rPr>
          <w:rFonts w:ascii="仿宋" w:hAnsi="仿宋" w:eastAsia="仿宋"/>
          <w:sz w:val="32"/>
          <w:szCs w:val="32"/>
        </w:rPr>
      </w:pPr>
      <w:r>
        <w:rPr>
          <w:rFonts w:hint="eastAsia" w:ascii="仿宋" w:hAnsi="仿宋" w:eastAsia="仿宋"/>
          <w:sz w:val="32"/>
          <w:szCs w:val="32"/>
        </w:rPr>
        <w:t>为推动我市外商投资企业积极履行社会责任，为构建和谐社会做出贡献，并努力推动外商投资企业在履行企业社会责任的同时实现自身的良性发展，今年我市评选先进外商投资企业包含参评入门条件和经济指标两项内容。</w:t>
      </w:r>
    </w:p>
    <w:p>
      <w:pPr>
        <w:ind w:firstLine="640" w:firstLineChars="200"/>
        <w:rPr>
          <w:rFonts w:ascii="黑体" w:hAnsi="黑体" w:eastAsia="黑体"/>
          <w:sz w:val="32"/>
          <w:szCs w:val="32"/>
        </w:rPr>
      </w:pPr>
      <w:r>
        <w:rPr>
          <w:rFonts w:hint="eastAsia" w:ascii="黑体" w:hAnsi="黑体" w:eastAsia="黑体"/>
          <w:sz w:val="32"/>
          <w:szCs w:val="32"/>
        </w:rPr>
        <w:t>一、天津市先进外商投资企业参评入门条件</w:t>
      </w:r>
    </w:p>
    <w:p>
      <w:pPr>
        <w:tabs>
          <w:tab w:val="left" w:pos="525"/>
        </w:tabs>
        <w:ind w:firstLine="640" w:firstLineChars="200"/>
        <w:rPr>
          <w:rFonts w:ascii="华文楷体" w:hAnsi="华文楷体" w:eastAsia="华文楷体"/>
          <w:sz w:val="32"/>
          <w:szCs w:val="32"/>
        </w:rPr>
      </w:pPr>
      <w:r>
        <w:rPr>
          <w:rFonts w:hint="eastAsia" w:ascii="华文楷体" w:hAnsi="华文楷体" w:eastAsia="华文楷体"/>
          <w:sz w:val="32"/>
          <w:szCs w:val="32"/>
        </w:rPr>
        <w:t>（一）在关爱员工的实践中成绩突出</w:t>
      </w:r>
    </w:p>
    <w:p>
      <w:pPr>
        <w:ind w:firstLine="640" w:firstLineChars="200"/>
        <w:rPr>
          <w:rFonts w:ascii="仿宋" w:hAnsi="仿宋" w:eastAsia="仿宋"/>
          <w:sz w:val="32"/>
          <w:szCs w:val="32"/>
        </w:rPr>
      </w:pPr>
      <w:r>
        <w:rPr>
          <w:rFonts w:hint="eastAsia" w:ascii="仿宋" w:hAnsi="仿宋" w:eastAsia="仿宋"/>
          <w:sz w:val="32"/>
          <w:szCs w:val="32"/>
        </w:rPr>
        <w:t>企业已经建立了成熟运转的工会组织，积极保障企业员工的合法权益，劳动合同签订率为百分之百。按时、按规定为企业员工上“五险一金”（养老、医疗、工伤、生育、失业险；住房公积金）。在关心员工的学习、生活和工作条件等方面，制度完善，措施得力，企业劳动关系和谐，得到广大员工和社会各界的共同认可。</w:t>
      </w:r>
    </w:p>
    <w:p>
      <w:pPr>
        <w:ind w:left="570"/>
        <w:rPr>
          <w:rFonts w:ascii="华文楷体" w:hAnsi="华文楷体" w:eastAsia="华文楷体"/>
          <w:sz w:val="32"/>
          <w:szCs w:val="32"/>
        </w:rPr>
      </w:pPr>
      <w:r>
        <w:rPr>
          <w:rFonts w:hint="eastAsia" w:ascii="华文楷体" w:hAnsi="华文楷体" w:eastAsia="华文楷体"/>
          <w:sz w:val="32"/>
          <w:szCs w:val="32"/>
        </w:rPr>
        <w:t>（二）在环境保护工作实践中成绩突出</w:t>
      </w:r>
    </w:p>
    <w:p>
      <w:pPr>
        <w:ind w:firstLine="640" w:firstLineChars="200"/>
        <w:rPr>
          <w:rFonts w:ascii="仿宋" w:hAnsi="仿宋" w:eastAsia="仿宋"/>
          <w:sz w:val="32"/>
          <w:szCs w:val="32"/>
        </w:rPr>
      </w:pPr>
      <w:r>
        <w:rPr>
          <w:rFonts w:hint="eastAsia" w:ascii="仿宋" w:hAnsi="仿宋" w:eastAsia="仿宋"/>
          <w:sz w:val="32"/>
          <w:szCs w:val="32"/>
        </w:rPr>
        <w:t>长期致力于在环境保护、节约能源、资源再利用等方面</w:t>
      </w:r>
    </w:p>
    <w:p>
      <w:pPr>
        <w:rPr>
          <w:rFonts w:ascii="仿宋" w:hAnsi="仿宋" w:eastAsia="仿宋"/>
          <w:sz w:val="32"/>
          <w:szCs w:val="32"/>
        </w:rPr>
      </w:pPr>
      <w:r>
        <w:rPr>
          <w:rFonts w:hint="eastAsia" w:ascii="仿宋" w:hAnsi="仿宋" w:eastAsia="仿宋"/>
          <w:sz w:val="32"/>
          <w:szCs w:val="32"/>
        </w:rPr>
        <w:t>开展工作，在企业内有效推行节能降耗工作，主动承担责任和履行义务，为保护环境、建设节约型社会做出突出贡献。</w:t>
      </w:r>
    </w:p>
    <w:p>
      <w:pPr>
        <w:ind w:left="570"/>
        <w:rPr>
          <w:rFonts w:ascii="华文楷体" w:hAnsi="华文楷体" w:eastAsia="华文楷体"/>
          <w:sz w:val="32"/>
          <w:szCs w:val="32"/>
        </w:rPr>
      </w:pPr>
    </w:p>
    <w:p>
      <w:pPr>
        <w:ind w:left="570"/>
        <w:rPr>
          <w:rFonts w:ascii="仿宋" w:hAnsi="仿宋" w:eastAsia="仿宋"/>
          <w:sz w:val="32"/>
          <w:szCs w:val="32"/>
        </w:rPr>
      </w:pPr>
      <w:r>
        <w:rPr>
          <w:rFonts w:hint="eastAsia" w:ascii="华文楷体" w:hAnsi="华文楷体" w:eastAsia="华文楷体"/>
          <w:sz w:val="32"/>
          <w:szCs w:val="32"/>
        </w:rPr>
        <w:t>（三）切实做好企业安全保障工作</w:t>
      </w:r>
    </w:p>
    <w:p>
      <w:pPr>
        <w:rPr>
          <w:rFonts w:ascii="仿宋" w:hAnsi="仿宋" w:eastAsia="仿宋"/>
          <w:sz w:val="32"/>
          <w:szCs w:val="32"/>
        </w:rPr>
      </w:pPr>
      <w:r>
        <w:rPr>
          <w:rFonts w:hint="eastAsia" w:ascii="仿宋" w:hAnsi="仿宋" w:eastAsia="仿宋"/>
          <w:sz w:val="32"/>
          <w:szCs w:val="32"/>
        </w:rPr>
        <w:t xml:space="preserve">    承担企业安全主体责任，做好各项安全规章制度的设立完善，加大安全隐患检查力度并投入必须的整改资金，加强对员工的安全生产教育培训，积极配合属地各监管部门做好日常安全管理工作，各项安全台账记录完整规范，应急预案要做到完善有效并适时进行演练。</w:t>
      </w:r>
    </w:p>
    <w:p>
      <w:pPr>
        <w:ind w:left="570"/>
        <w:rPr>
          <w:rFonts w:ascii="华文楷体" w:hAnsi="华文楷体" w:eastAsia="华文楷体"/>
          <w:sz w:val="32"/>
          <w:szCs w:val="32"/>
        </w:rPr>
      </w:pPr>
      <w:r>
        <w:rPr>
          <w:rFonts w:hint="eastAsia" w:ascii="华文楷体" w:hAnsi="华文楷体" w:eastAsia="华文楷体"/>
          <w:sz w:val="32"/>
          <w:szCs w:val="32"/>
        </w:rPr>
        <w:t>（四）在知识产权保护工作实践中成绩突出</w:t>
      </w:r>
    </w:p>
    <w:p>
      <w:pPr>
        <w:ind w:firstLine="640" w:firstLineChars="200"/>
        <w:rPr>
          <w:rFonts w:ascii="仿宋" w:hAnsi="仿宋" w:eastAsia="仿宋"/>
          <w:sz w:val="32"/>
          <w:szCs w:val="32"/>
        </w:rPr>
      </w:pPr>
      <w:r>
        <w:rPr>
          <w:rFonts w:hint="eastAsia" w:ascii="仿宋" w:hAnsi="仿宋" w:eastAsia="仿宋"/>
          <w:sz w:val="32"/>
          <w:szCs w:val="32"/>
        </w:rPr>
        <w:t>对消费者负责，供消关系和谐，不制造、出售假冒伪劣产品。积极开展和参与知识产权保护工作，主动承担责任和义务，为中国知识产权的保护和宣传工作做出突出贡献。在企业内部宣传知识产权保护知识，使用正版软件，积极配合有关部门开展维权打假活动。</w:t>
      </w:r>
    </w:p>
    <w:p>
      <w:pPr>
        <w:ind w:firstLine="640" w:firstLineChars="200"/>
        <w:rPr>
          <w:rFonts w:ascii="华文楷体" w:hAnsi="华文楷体" w:eastAsia="华文楷体"/>
          <w:sz w:val="32"/>
          <w:szCs w:val="32"/>
        </w:rPr>
      </w:pPr>
      <w:r>
        <w:rPr>
          <w:rFonts w:hint="eastAsia" w:ascii="华文楷体" w:hAnsi="华文楷体" w:eastAsia="华文楷体"/>
          <w:sz w:val="32"/>
          <w:szCs w:val="32"/>
        </w:rPr>
        <w:t>（五）在社会公益事业实践中成绩突出</w:t>
      </w:r>
    </w:p>
    <w:p>
      <w:pPr>
        <w:ind w:firstLine="640" w:firstLineChars="200"/>
        <w:rPr>
          <w:rFonts w:ascii="仿宋" w:hAnsi="仿宋" w:eastAsia="仿宋"/>
          <w:sz w:val="32"/>
          <w:szCs w:val="32"/>
        </w:rPr>
      </w:pPr>
      <w:r>
        <w:rPr>
          <w:rFonts w:hint="eastAsia" w:ascii="仿宋" w:hAnsi="仿宋" w:eastAsia="仿宋"/>
          <w:sz w:val="32"/>
          <w:szCs w:val="32"/>
        </w:rPr>
        <w:t>长期积极参与社会公益事业，包括参加救灾、环境保护、教育、文体、卫生等方面的活动，在支持社会公益事业上做出突出贡献，并获得政府有关部门颁发的证书或奖励等。</w:t>
      </w:r>
    </w:p>
    <w:p>
      <w:pPr>
        <w:ind w:firstLine="640" w:firstLineChars="200"/>
        <w:rPr>
          <w:rFonts w:ascii="仿宋" w:hAnsi="仿宋" w:eastAsia="仿宋"/>
          <w:sz w:val="32"/>
          <w:szCs w:val="32"/>
        </w:rPr>
      </w:pPr>
      <w:r>
        <w:rPr>
          <w:rFonts w:hint="eastAsia" w:ascii="仿宋" w:hAnsi="仿宋" w:eastAsia="仿宋"/>
          <w:sz w:val="32"/>
          <w:szCs w:val="32"/>
        </w:rPr>
        <w:t>以上入门条件，参评企业必需同时具备四项以上（含四项）条件，第1、2、3项为必选项，第4、5项为任选项，方可参选。</w:t>
      </w:r>
    </w:p>
    <w:p>
      <w:pPr>
        <w:ind w:firstLine="640" w:firstLineChars="200"/>
        <w:rPr>
          <w:rFonts w:ascii="黑体" w:hAnsi="黑体" w:eastAsia="黑体"/>
          <w:sz w:val="32"/>
          <w:szCs w:val="32"/>
        </w:rPr>
      </w:pPr>
      <w:r>
        <w:rPr>
          <w:rFonts w:hint="eastAsia" w:ascii="黑体" w:hAnsi="黑体" w:eastAsia="黑体"/>
          <w:sz w:val="32"/>
          <w:szCs w:val="32"/>
        </w:rPr>
        <w:t>二、天津市先进外商投资企业参评经济指标</w:t>
      </w:r>
    </w:p>
    <w:p>
      <w:pPr>
        <w:ind w:firstLine="640" w:firstLineChars="200"/>
        <w:rPr>
          <w:rFonts w:ascii="华文楷体" w:hAnsi="华文楷体" w:eastAsia="华文楷体"/>
          <w:sz w:val="32"/>
          <w:szCs w:val="32"/>
        </w:rPr>
      </w:pPr>
      <w:r>
        <w:rPr>
          <w:rFonts w:hint="eastAsia" w:ascii="华文楷体" w:hAnsi="华文楷体" w:eastAsia="华文楷体"/>
          <w:sz w:val="32"/>
          <w:szCs w:val="32"/>
        </w:rPr>
        <w:t>（一）生产型企业</w:t>
      </w:r>
    </w:p>
    <w:p>
      <w:pPr>
        <w:ind w:firstLine="640" w:firstLineChars="200"/>
        <w:rPr>
          <w:rFonts w:ascii="仿宋" w:hAnsi="仿宋" w:eastAsia="仿宋"/>
          <w:sz w:val="32"/>
          <w:szCs w:val="32"/>
        </w:rPr>
      </w:pPr>
      <w:r>
        <w:rPr>
          <w:rFonts w:hint="eastAsia" w:ascii="仿宋" w:hAnsi="仿宋" w:eastAsia="仿宋"/>
          <w:sz w:val="32"/>
          <w:szCs w:val="32"/>
        </w:rPr>
        <w:t>1.2017年税前利润在5000万元人民币以上（含5000万元）或人均年税前利润在20万元人民币以上（含20万元）；</w:t>
      </w:r>
    </w:p>
    <w:p>
      <w:pPr>
        <w:ind w:firstLine="640" w:firstLineChars="200"/>
        <w:rPr>
          <w:rFonts w:ascii="仿宋" w:hAnsi="仿宋" w:eastAsia="仿宋"/>
          <w:sz w:val="32"/>
          <w:szCs w:val="32"/>
        </w:rPr>
      </w:pPr>
      <w:r>
        <w:rPr>
          <w:rFonts w:hint="eastAsia" w:ascii="仿宋" w:hAnsi="仿宋" w:eastAsia="仿宋"/>
          <w:sz w:val="32"/>
          <w:szCs w:val="32"/>
        </w:rPr>
        <w:t>2.2017年销售额在3亿元人民币以上（含3亿元）且上缴税金在1000万元人民币以上（含1000万元）或人均年上缴税金在15万元人民币以上（含15万元）。</w:t>
      </w:r>
    </w:p>
    <w:p>
      <w:pPr>
        <w:ind w:firstLine="640" w:firstLineChars="200"/>
        <w:rPr>
          <w:rFonts w:ascii="华文楷体" w:hAnsi="华文楷体" w:eastAsia="华文楷体"/>
          <w:sz w:val="32"/>
          <w:szCs w:val="32"/>
        </w:rPr>
      </w:pPr>
      <w:r>
        <w:rPr>
          <w:rFonts w:hint="eastAsia" w:ascii="华文楷体" w:hAnsi="华文楷体" w:eastAsia="华文楷体"/>
          <w:sz w:val="32"/>
          <w:szCs w:val="32"/>
        </w:rPr>
        <w:t>（二）服务型企业</w:t>
      </w:r>
    </w:p>
    <w:p>
      <w:pPr>
        <w:ind w:firstLine="640" w:firstLineChars="200"/>
        <w:rPr>
          <w:rFonts w:ascii="仿宋" w:hAnsi="仿宋" w:eastAsia="仿宋"/>
          <w:sz w:val="32"/>
          <w:szCs w:val="32"/>
        </w:rPr>
      </w:pPr>
      <w:r>
        <w:rPr>
          <w:rFonts w:hint="eastAsia" w:ascii="仿宋" w:hAnsi="仿宋" w:eastAsia="仿宋"/>
          <w:sz w:val="32"/>
          <w:szCs w:val="32"/>
        </w:rPr>
        <w:t>2017年销售额（营业额）在2亿元人民币以上（含2亿元）且上缴税金在1000万元人民币以上（含1000万元）。</w:t>
      </w:r>
    </w:p>
    <w:p>
      <w:pPr>
        <w:ind w:firstLine="640" w:firstLineChars="200"/>
        <w:rPr>
          <w:rFonts w:ascii="仿宋" w:hAnsi="仿宋" w:eastAsia="仿宋"/>
          <w:sz w:val="32"/>
          <w:szCs w:val="32"/>
        </w:rPr>
      </w:pPr>
      <w:r>
        <w:rPr>
          <w:rFonts w:hint="eastAsia" w:ascii="仿宋" w:hAnsi="仿宋" w:eastAsia="仿宋"/>
          <w:sz w:val="32"/>
          <w:szCs w:val="32"/>
        </w:rPr>
        <w:t>以上指标均指在本市统计、缴纳范围内的数据，不含外地已统计或缴纳的部分（税金为增值税和企业所得税之和）。</w:t>
      </w:r>
    </w:p>
    <w:p>
      <w:pPr>
        <w:ind w:firstLine="640" w:firstLineChars="200"/>
        <w:rPr>
          <w:rFonts w:ascii="黑体" w:hAnsi="黑体" w:eastAsia="黑体"/>
          <w:sz w:val="32"/>
          <w:szCs w:val="32"/>
        </w:rPr>
      </w:pPr>
      <w:r>
        <w:rPr>
          <w:rFonts w:hint="eastAsia" w:ascii="黑体" w:hAnsi="黑体" w:eastAsia="黑体"/>
          <w:sz w:val="32"/>
          <w:szCs w:val="32"/>
        </w:rPr>
        <w:t>三、天津市评定先进外商投资企业条件</w:t>
      </w:r>
    </w:p>
    <w:p>
      <w:pPr>
        <w:rPr>
          <w:rFonts w:ascii="华文楷体" w:hAnsi="华文楷体" w:eastAsia="华文楷体"/>
          <w:sz w:val="32"/>
          <w:szCs w:val="32"/>
        </w:rPr>
      </w:pPr>
      <w:r>
        <w:rPr>
          <w:rFonts w:hint="eastAsia" w:ascii="仿宋" w:hAnsi="仿宋" w:eastAsia="仿宋"/>
          <w:sz w:val="32"/>
          <w:szCs w:val="32"/>
        </w:rPr>
        <w:t xml:space="preserve"> </w:t>
      </w:r>
      <w:r>
        <w:rPr>
          <w:rFonts w:hint="eastAsia" w:ascii="华文楷体" w:hAnsi="华文楷体" w:eastAsia="华文楷体"/>
          <w:sz w:val="32"/>
          <w:szCs w:val="32"/>
        </w:rPr>
        <w:t xml:space="preserve">   （一）具备参评入门条件；</w:t>
      </w:r>
    </w:p>
    <w:p>
      <w:pPr>
        <w:rPr>
          <w:rFonts w:ascii="华文楷体" w:hAnsi="华文楷体" w:eastAsia="华文楷体"/>
          <w:sz w:val="32"/>
          <w:szCs w:val="32"/>
        </w:rPr>
      </w:pPr>
      <w:r>
        <w:rPr>
          <w:rFonts w:hint="eastAsia" w:ascii="华文楷体" w:hAnsi="华文楷体" w:eastAsia="华文楷体"/>
          <w:sz w:val="32"/>
          <w:szCs w:val="32"/>
        </w:rPr>
        <w:t xml:space="preserve">    （二）达到参评企业经济指标。</w:t>
      </w:r>
    </w:p>
    <w:p>
      <w:pPr>
        <w:ind w:left="881" w:leftChars="267" w:hanging="320" w:hangingChars="100"/>
        <w:rPr>
          <w:rFonts w:ascii="黑体" w:hAnsi="黑体" w:eastAsia="黑体"/>
          <w:sz w:val="32"/>
          <w:szCs w:val="32"/>
        </w:rPr>
      </w:pPr>
      <w:r>
        <w:rPr>
          <w:rFonts w:hint="eastAsia" w:ascii="黑体" w:hAnsi="黑体" w:eastAsia="黑体"/>
          <w:sz w:val="32"/>
          <w:szCs w:val="32"/>
        </w:rPr>
        <w:t>四、“优秀企业家”的条件</w:t>
      </w:r>
    </w:p>
    <w:p>
      <w:pPr>
        <w:ind w:firstLine="627" w:firstLineChars="196"/>
        <w:rPr>
          <w:rFonts w:ascii="仿宋" w:hAnsi="仿宋" w:eastAsia="仿宋"/>
          <w:sz w:val="32"/>
          <w:szCs w:val="32"/>
        </w:rPr>
      </w:pPr>
      <w:r>
        <w:rPr>
          <w:rFonts w:hint="eastAsia" w:ascii="仿宋" w:hAnsi="仿宋" w:eastAsia="仿宋"/>
          <w:sz w:val="32"/>
          <w:szCs w:val="32"/>
        </w:rPr>
        <w:t>获奖条件：在天津市先进外商投资企业的范围内，企业2017年上缴税金（增值税和企业所得税之和）在全市排名前六位的外商投资企业。金奖一名、银奖二名、铜奖三名，按上缴税金额由高到低排序。</w:t>
      </w:r>
    </w:p>
    <w:p>
      <w:pPr>
        <w:ind w:firstLine="627" w:firstLineChars="196"/>
        <w:rPr>
          <w:rFonts w:ascii="黑体" w:hAnsi="黑体" w:eastAsia="黑体"/>
          <w:sz w:val="32"/>
          <w:szCs w:val="32"/>
        </w:rPr>
      </w:pPr>
      <w:r>
        <w:rPr>
          <w:rFonts w:hint="eastAsia" w:ascii="黑体" w:hAnsi="黑体" w:eastAsia="黑体"/>
          <w:sz w:val="32"/>
          <w:szCs w:val="32"/>
        </w:rPr>
        <w:t>五、评选步骤</w:t>
      </w:r>
    </w:p>
    <w:p>
      <w:pPr>
        <w:ind w:firstLine="640" w:firstLineChars="200"/>
        <w:rPr>
          <w:rFonts w:ascii="仿宋" w:hAnsi="仿宋" w:eastAsia="仿宋"/>
          <w:sz w:val="32"/>
          <w:szCs w:val="32"/>
        </w:rPr>
      </w:pPr>
      <w:r>
        <w:rPr>
          <w:rFonts w:hint="eastAsia" w:ascii="仿宋" w:hAnsi="仿宋" w:eastAsia="仿宋"/>
          <w:sz w:val="32"/>
          <w:szCs w:val="32"/>
        </w:rPr>
        <w:t>（一）凡符合评比条件的本市外商投资企业都可以自愿报名参加。请按会计师事务所审计的年度报表认真逐项填写《2017年度天津市先进外商投资企业评选申报表》和其它材料。各单位填写时不得弄虚作假，对弄虚作假者将取消参评资格或获奖称号。</w:t>
      </w:r>
    </w:p>
    <w:p>
      <w:pPr>
        <w:ind w:firstLine="640" w:firstLineChars="200"/>
        <w:rPr>
          <w:rFonts w:ascii="仿宋" w:hAnsi="仿宋" w:eastAsia="仿宋"/>
          <w:sz w:val="32"/>
          <w:szCs w:val="32"/>
        </w:rPr>
      </w:pPr>
      <w:r>
        <w:rPr>
          <w:rFonts w:hint="eastAsia" w:ascii="仿宋" w:hAnsi="仿宋" w:eastAsia="仿宋"/>
          <w:sz w:val="32"/>
          <w:szCs w:val="32"/>
        </w:rPr>
        <w:t>（二）请参加评选的企业把申报表和该年度审计报告及符合四项入门条件的简要文字说明或证书复印件，务必于5月11日（周五）下班前直接报送市外企协会秘书处（地址：天津市和平区大沽北路158号625室）。</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联 系 人：宋  维    58683707</w:t>
      </w:r>
    </w:p>
    <w:p>
      <w:r>
        <w:rPr>
          <w:rFonts w:hint="eastAsia" w:ascii="仿宋" w:hAnsi="仿宋" w:eastAsia="仿宋"/>
          <w:sz w:val="32"/>
          <w:szCs w:val="32"/>
        </w:rPr>
        <w:t>李  楠    58683707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84889"/>
    <w:rsid w:val="245848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2018-05-07T01:38:00Z</dcterms:created>
  <dc:creator>Administrator</dc:creator>
  <cp:lastModifiedBy>Administrator</cp:lastModifiedBy>
  <dcterms:modified xsi:type="dcterms:W3CDTF">2018-05-07T01:39:45Z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