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附件2</w:t>
      </w:r>
    </w:p>
    <w:p>
      <w:pPr>
        <w:spacing w:line="60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仿宋_GB2312"/>
          <w:sz w:val="44"/>
          <w:szCs w:val="44"/>
        </w:rPr>
        <w:t>2017年开发区合成树脂行业提标改造和挥发性有机物企业VOCs治理项目表</w:t>
      </w:r>
      <w:bookmarkEnd w:id="0"/>
    </w:p>
    <w:tbl>
      <w:tblPr>
        <w:tblStyle w:val="3"/>
        <w:tblW w:w="9600" w:type="dxa"/>
        <w:jc w:val="center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080"/>
        <w:gridCol w:w="4880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任务类别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项目名称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完成时限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合成树脂工业企业提标改造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巴斯夫聚氨酯（天津）有限公司VOCs净化系统改造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合成树脂工业企业提标改造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天津天寰聚氨酯有限公司VOCs净化系统改造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天津立中车轮有限公司VOCs治理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天津博信汽车零部件有限公司VOCs治理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天津四维企业有限公司VOCs治理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罗曼胶带技术(天津)有限公司VOCs治理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天津东汽风电叶片工程有限公司VOCs治理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天津德威涂料化工有限公司VOCs治理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维斯塔斯风力技术(中国)有限公司VOCs治理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约翰迪尔(天津)有限公司VOCs治理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天津雅马哈电子乐器有限公司VOCs治理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巴特勒(天津)有限公司VOCs治理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丰田一汽(天津)模具有限公司VOCs治理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鸿富锦精密电子(天津)有限公司VOCs治理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天津药明康德新药开发有限公司VOCs治理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任务类别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项目名称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完成时限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天津科瑞达涂料化工有限公司VOCs治理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天津双叶协展机械有限公司VOCs治理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藤仓化成涂料(天津)有限公司VOCs治理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博爱（中国）膨化芯材有限公司VOCs治理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VOCs治理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世誉产品标识（天津）有限公司VOCs治理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2017.10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B3B84"/>
    <w:rsid w:val="7BBB3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2017-08-09T01:12:00Z</dcterms:created>
  <dc:creator>Administrator</dc:creator>
  <cp:lastModifiedBy>Administrator</cp:lastModifiedBy>
  <dcterms:modified xsi:type="dcterms:W3CDTF">2017-08-09T01:13:46Z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