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中塘镇国有企业监督管理工作方案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切实履行出资人职责，扎实开展企业监督管理，推进企业依法合规运营，完成改革提升任务，提高企业经营水平和经营效益。依据《中华人民共和国公司法》《中华人民共和国企业国有资产法》等法律法规及区国资委相关文件，结合中塘实际，制定工作方案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监督管理对象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188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区政府委托中塘镇管理的国有企业及子公司、镇属国有企业。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二、监督管理内容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1.推进改革。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对企业改革工作进行指导，包括企业的改革方向、改革进程等。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2.资本管理。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对企业国有资本进行管理，包括企业资产保值增值、企业股权转让、投资等。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3.资产管理。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对企业资产进行管理，包括企业的固定资产、无形资产、应收款项、应付账款、资产处置等。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4.风险管理。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对企业风险防控进行管理，包括企业风险评估、风险控制、风险防范等。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5.制度监督。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对企业制度执行情况进行监督，包括企业的管理制度、内控体系等制定与执行情况。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6.重大决策监督。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对企业重大决策事项进行监督，包括企业履行“三重一大”前置程序、投资决策、并购重组、关联交易、重大资产处置等。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7.财务监督。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对企业的经济活动及会计凭证等资料进行监督，重点对企业财务数据的真实性、准确性、可靠性、完整性、合法性等进行监督。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8.审计监督。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对企业开展的审计工作进行监督，包括企业选用审计机构、审计过程、审计结果等。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9.人才队伍建设监督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对企业市场化用工进行监督，包括企业的职业经理人选聘、市场化人员招聘、人才队伍培养等。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10.考核监督。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对企业内部考核进行监督，包括企业的副职负责人绩效考核、企业部门绩效考核、职工绩效考核等。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11.薪酬监督。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对企业薪酬制度执行情况进行监督，包括企业制定工资总额预算编制、薪酬发放标准、薪酬福利发放等。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12.备案监督。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对企业备案材料进行监督，包括企业向国资委等部门报送的材料、提交的方案等。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三、监督管理方式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1.日常管理监督。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通过财务报表、专项检查、审计报告等方式进行日常管理监督。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2.专项管理监督。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针对企业特定事项进行专项管理监督，对重大决策事项的专项审计、重大资产处置的专项检查等。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3.联合管理监督。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国企管理工作专班与其他部门联合开展管理监督工作，共同发现问题、解决问题。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4.信息化管理监督。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国企管理工作专班利用“滨海智慧国资系统”等信息化手段，对各国有企业资产等情况开展监督工作，对国有企业资产进行动态监督。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5.进驻管理监督。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国有企业管理工作专班委派工作人员，进驻企业开展管理监督工作，向企业下发管理监督事项清单，逐条开展管理监督工作，企业现场提交材料并进行反馈。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6.报告监督。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各国有企业应当定期向国有企业管理专班报告公司财务、资产、人事、党建、学习等情况。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国有企业管理工作专班要做好监督档案资料管理工作，定期按监督管理类别进行整理和归档，确保其完整性和系统性。对涉及国家秘密和企业商业秘密的监督档案资料，要严格按照相关规定加强保密管理，防止泄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2.国企管理工作专班及时向企业反馈发现的问题，督促企业落实整改。定期向镇党委、镇政府报告监督管理成果，不断改进监督管理工作中存在的问题，提高监督工作的质量和效果。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3.各企业要建立健全工作报告制度，按照通知要求定期报告重点工作开展情况以及需要报告的其他工作。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5E2EA"/>
    <w:multiLevelType w:val="singleLevel"/>
    <w:tmpl w:val="6755E2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NGU0YzJmODczYzIzY2JmMzY5NTYzYzcwM2IzNWEifQ=="/>
  </w:docVars>
  <w:rsids>
    <w:rsidRoot w:val="00000000"/>
    <w:rsid w:val="051A0B4E"/>
    <w:rsid w:val="0A653A72"/>
    <w:rsid w:val="0C16304E"/>
    <w:rsid w:val="0C4C7444"/>
    <w:rsid w:val="0DFD231E"/>
    <w:rsid w:val="0FCB5376"/>
    <w:rsid w:val="11541CCE"/>
    <w:rsid w:val="11FA5E85"/>
    <w:rsid w:val="1DB57B21"/>
    <w:rsid w:val="242D23BA"/>
    <w:rsid w:val="2E6F1626"/>
    <w:rsid w:val="2EA94D33"/>
    <w:rsid w:val="2EB20CB9"/>
    <w:rsid w:val="31410CEC"/>
    <w:rsid w:val="317C15B8"/>
    <w:rsid w:val="3B073245"/>
    <w:rsid w:val="4DE4554D"/>
    <w:rsid w:val="4E2249BA"/>
    <w:rsid w:val="51C4585C"/>
    <w:rsid w:val="576A5881"/>
    <w:rsid w:val="5A3E5678"/>
    <w:rsid w:val="5EBA426F"/>
    <w:rsid w:val="63263520"/>
    <w:rsid w:val="63306A7E"/>
    <w:rsid w:val="66481B4E"/>
    <w:rsid w:val="6CD116D4"/>
    <w:rsid w:val="714473BF"/>
    <w:rsid w:val="71CE7000"/>
    <w:rsid w:val="74023050"/>
    <w:rsid w:val="786E7961"/>
    <w:rsid w:val="BF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1556</Characters>
  <Lines>0</Lines>
  <Paragraphs>0</Paragraphs>
  <TotalTime>21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2023-12-06T17:14:00Z</dcterms:created>
  <dc:creator>a4785</dc:creator>
  <cp:lastModifiedBy>梁婷</cp:lastModifiedBy>
  <cp:lastPrinted>2024-01-03T02:48:00Z</cp:lastPrinted>
  <dcterms:modified xsi:type="dcterms:W3CDTF">2024-01-12T01:12:48Z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A0F8A0FAF0A24F918E0D4AEA8E978F25_13</vt:lpwstr>
  </property>
</Properties>
</file>