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72"/>
        </w:rPr>
        <w:t>天津市滨海新区新城镇人民政府</w:t>
      </w:r>
    </w:p>
    <w:p>
      <w:pPr>
        <w:spacing w:before="0" w:after="0" w:line="240" w:lineRule="auto"/>
        <w:ind w:firstLine="0"/>
        <w:jc w:val="center"/>
        <w:outlineLvl w:val="9"/>
      </w:pPr>
      <w:r>
        <w:rPr>
          <w:rFonts w:ascii="方正小标宋_GBK" w:hAnsi="方正小标宋_GBK" w:eastAsia="方正小标宋_GBK" w:cs="方正小标宋_GBK"/>
          <w:sz w:val="72"/>
        </w:rPr>
        <w:t>2026年部门预算绩效文本</w:t>
      </w:r>
    </w:p>
    <w:p>
      <w:pPr>
        <w:spacing w:before="0" w:after="0" w:line="240" w:lineRule="auto"/>
        <w:ind w:firstLine="0"/>
        <w:jc w:val="center"/>
        <w:outlineLvl w:val="9"/>
      </w:pP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宋体" w:hAnsi="宋体" w:eastAsia="宋体" w:cs="宋体"/>
          <w:sz w:val="21"/>
        </w:rPr>
        <w:t xml:space="preserve"> </w:t>
      </w:r>
    </w:p>
    <w:p>
      <w:pPr>
        <w:spacing w:before="0" w:after="0" w:line="240" w:lineRule="auto"/>
        <w:ind w:firstLine="0"/>
        <w:jc w:val="center"/>
        <w:outlineLvl w:val="9"/>
      </w:pPr>
      <w:r>
        <w:rPr>
          <w:rFonts w:ascii="方正楷体_GBK" w:hAnsi="方正楷体_GBK" w:eastAsia="方正楷体_GBK" w:cs="方正楷体_GBK"/>
          <w:b/>
          <w:sz w:val="32"/>
        </w:rPr>
        <w:t>天津市滨海新区新城镇人民政府编制</w:t>
      </w:r>
    </w:p>
    <w:p>
      <w:pPr>
        <w:spacing w:before="0" w:after="0" w:line="240" w:lineRule="auto"/>
        <w:ind w:firstLine="0"/>
        <w:jc w:val="center"/>
        <w:outlineLvl w:val="9"/>
        <w:sectPr>
          <w:pgSz w:w="11900" w:h="16840"/>
          <w:pgMar w:top="1984" w:right="1304" w:bottom="1134" w:left="1304" w:header="720" w:footer="720" w:gutter="0"/>
          <w:cols w:space="720" w:num="1"/>
          <w:titlePg/>
        </w:sectPr>
      </w:pPr>
      <w:r>
        <w:rPr>
          <w:rFonts w:ascii="方正楷体_GBK" w:hAnsi="方正楷体_GBK" w:eastAsia="方正楷体_GBK" w:cs="方正楷体_GBK"/>
          <w:b/>
          <w:sz w:val="32"/>
        </w:rPr>
        <w:t>审核</w:t>
      </w:r>
    </w:p>
    <w:p>
      <w:pPr>
        <w:spacing w:before="0" w:after="0" w:line="240" w:lineRule="auto"/>
        <w:ind w:firstLine="0"/>
        <w:jc w:val="center"/>
        <w:outlineLvl w:val="9"/>
        <w:sectPr>
          <w:pgSz w:w="11900" w:h="16840"/>
          <w:pgMar w:top="1984" w:right="1304" w:bottom="1134" w:left="1304" w:header="720" w:footer="720" w:gutter="0"/>
          <w:cols w:space="720" w:num="1"/>
          <w:titlePg/>
        </w:sectPr>
      </w:pPr>
    </w:p>
    <w:p>
      <w:pPr>
        <w:spacing w:before="0" w:after="0" w:line="240" w:lineRule="auto"/>
        <w:ind w:firstLine="0"/>
        <w:jc w:val="center"/>
        <w:outlineLvl w:val="9"/>
      </w:pPr>
      <w:r>
        <w:rPr>
          <w:rFonts w:ascii="方正小标宋_GBK" w:hAnsi="方正小标宋_GBK" w:eastAsia="方正小标宋_GBK" w:cs="方正小标宋_GBK"/>
          <w:sz w:val="36"/>
        </w:rPr>
        <w:t xml:space="preserve"> </w:t>
      </w:r>
    </w:p>
    <w:p>
      <w:pPr>
        <w:spacing w:before="0" w:after="0" w:line="240" w:lineRule="auto"/>
        <w:ind w:firstLine="0"/>
        <w:jc w:val="center"/>
        <w:outlineLvl w:val="0"/>
      </w:pPr>
      <w:r>
        <w:rPr>
          <w:rFonts w:ascii="方正小标宋_GBK" w:hAnsi="方正小标宋_GBK" w:eastAsia="方正小标宋_GBK" w:cs="方正小标宋_GBK"/>
          <w:sz w:val="36"/>
        </w:rPr>
        <w:t>目    录</w:t>
      </w:r>
    </w:p>
    <w:p>
      <w:pPr>
        <w:spacing w:before="0" w:after="0" w:line="240" w:lineRule="auto"/>
        <w:ind w:firstLine="0"/>
        <w:jc w:val="center"/>
        <w:outlineLvl w:val="9"/>
      </w:pPr>
      <w:r>
        <w:rPr>
          <w:rFonts w:ascii="方正小标宋_GBK" w:hAnsi="方正小标宋_GBK" w:eastAsia="方正小标宋_GBK" w:cs="方正小标宋_GBK"/>
          <w:sz w:val="30"/>
        </w:rPr>
        <w:t xml:space="preserve"> </w:t>
      </w:r>
    </w:p>
    <w:p>
      <w:pPr>
        <w:spacing w:before="0" w:after="0" w:line="240" w:lineRule="auto"/>
        <w:ind w:firstLine="0"/>
        <w:jc w:val="center"/>
        <w:outlineLvl w:val="9"/>
      </w:pPr>
      <w:r>
        <w:rPr>
          <w:rFonts w:ascii="方正小标宋_GBK" w:hAnsi="方正小标宋_GBK" w:eastAsia="方正小标宋_GBK" w:cs="方正小标宋_GBK"/>
          <w:sz w:val="30"/>
        </w:rPr>
        <w:t>第一部分 部门整体绩效目标</w:t>
      </w:r>
    </w:p>
    <w:p>
      <w:pPr>
        <w:pStyle w:val="2"/>
        <w:tabs>
          <w:tab w:val="right" w:leader="dot" w:pos="9282"/>
        </w:tabs>
      </w:pPr>
      <w:r>
        <w:fldChar w:fldCharType="begin"/>
      </w:r>
      <w:r>
        <w:instrText xml:space="preserve">TOC \o "2-2" \h \z \u</w:instrText>
      </w:r>
      <w:r>
        <w:fldChar w:fldCharType="separate"/>
      </w:r>
      <w:r>
        <w:fldChar w:fldCharType="begin"/>
      </w:r>
      <w:r>
        <w:instrText xml:space="preserve"> HYPERLINK \l "_Toc_2_2_0000000001" </w:instrText>
      </w:r>
      <w:r>
        <w:fldChar w:fldCharType="separate"/>
      </w:r>
      <w:r>
        <w:t>一、总体绩效目标</w:t>
      </w:r>
      <w:r>
        <w:tab/>
      </w:r>
      <w:r>
        <w:fldChar w:fldCharType="begin"/>
      </w:r>
      <w:r>
        <w:instrText xml:space="preserve">PAGEREF _Toc_2_2_0000000001 \h</w:instrText>
      </w:r>
      <w:r>
        <w:fldChar w:fldCharType="separate"/>
      </w:r>
      <w:r>
        <w:t>3</w:t>
      </w:r>
      <w:r>
        <w:fldChar w:fldCharType="end"/>
      </w:r>
      <w:r>
        <w:fldChar w:fldCharType="end"/>
      </w:r>
    </w:p>
    <w:p>
      <w:pPr>
        <w:pStyle w:val="2"/>
        <w:tabs>
          <w:tab w:val="right" w:leader="dot" w:pos="9282"/>
        </w:tabs>
      </w:pPr>
      <w:r>
        <w:fldChar w:fldCharType="begin"/>
      </w:r>
      <w:r>
        <w:instrText xml:space="preserve"> HYPERLINK \l "_Toc_2_2_0000000002" </w:instrText>
      </w:r>
      <w:r>
        <w:fldChar w:fldCharType="separate"/>
      </w:r>
      <w:r>
        <w:t>二、分项绩效目标</w:t>
      </w:r>
      <w:r>
        <w:tab/>
      </w:r>
      <w:r>
        <w:fldChar w:fldCharType="begin"/>
      </w:r>
      <w:r>
        <w:instrText xml:space="preserve">PAGEREF _Toc_2_2_0000000002 \h</w:instrText>
      </w:r>
      <w:r>
        <w:fldChar w:fldCharType="separate"/>
      </w:r>
      <w:r>
        <w:t>3</w:t>
      </w:r>
      <w:r>
        <w:fldChar w:fldCharType="end"/>
      </w:r>
      <w:r>
        <w:fldChar w:fldCharType="end"/>
      </w:r>
    </w:p>
    <w:p>
      <w:pPr>
        <w:pStyle w:val="2"/>
        <w:tabs>
          <w:tab w:val="right" w:leader="dot" w:pos="9282"/>
        </w:tabs>
      </w:pPr>
      <w:r>
        <w:fldChar w:fldCharType="begin"/>
      </w:r>
      <w:r>
        <w:instrText xml:space="preserve"> HYPERLINK \l "_Toc_2_2_0000000003" </w:instrText>
      </w:r>
      <w:r>
        <w:fldChar w:fldCharType="separate"/>
      </w:r>
      <w:r>
        <w:t>三、工作保障措施</w:t>
      </w:r>
      <w:r>
        <w:tab/>
      </w:r>
      <w:r>
        <w:fldChar w:fldCharType="begin"/>
      </w:r>
      <w:r>
        <w:instrText xml:space="preserve">PAGEREF _Toc_2_2_0000000003 \h</w:instrText>
      </w:r>
      <w:r>
        <w:fldChar w:fldCharType="separate"/>
      </w:r>
      <w:r>
        <w:t>3</w:t>
      </w:r>
      <w:r>
        <w:fldChar w:fldCharType="end"/>
      </w:r>
      <w:r>
        <w:fldChar w:fldCharType="end"/>
      </w:r>
    </w:p>
    <w:p>
      <w:r>
        <w:fldChar w:fldCharType="end"/>
      </w:r>
    </w:p>
    <w:p>
      <w:pPr>
        <w:spacing w:before="0" w:after="0" w:line="240" w:lineRule="auto"/>
        <w:ind w:firstLine="0"/>
        <w:jc w:val="center"/>
        <w:outlineLvl w:val="9"/>
      </w:pPr>
      <w:r>
        <w:rPr>
          <w:rFonts w:ascii="方正小标宋_GBK" w:hAnsi="方正小标宋_GBK" w:eastAsia="方正小标宋_GBK" w:cs="方正小标宋_GBK"/>
          <w:sz w:val="30"/>
        </w:rPr>
        <w:t>第二部分 预算项目绩效目标</w:t>
      </w:r>
    </w:p>
    <w:p>
      <w:pPr>
        <w:pStyle w:val="2"/>
        <w:tabs>
          <w:tab w:val="right" w:leader="dot" w:pos="9282"/>
        </w:tabs>
      </w:pPr>
      <w:r>
        <w:fldChar w:fldCharType="begin"/>
      </w:r>
      <w:r>
        <w:instrText xml:space="preserve">TOC \o "4-4" \h \z \u</w:instrText>
      </w:r>
      <w:r>
        <w:fldChar w:fldCharType="separate"/>
      </w:r>
      <w:r>
        <w:fldChar w:fldCharType="begin"/>
      </w:r>
      <w:r>
        <w:instrText xml:space="preserve"> HYPERLINK \l "_Toc_4_4_0000000004" </w:instrText>
      </w:r>
      <w:r>
        <w:fldChar w:fldCharType="separate"/>
      </w:r>
      <w:r>
        <w:t>1.2026年安全生产经费绩效目标表</w:t>
      </w:r>
      <w:r>
        <w:tab/>
      </w:r>
      <w:r>
        <w:fldChar w:fldCharType="begin"/>
      </w:r>
      <w:r>
        <w:instrText xml:space="preserve">PAGEREF _Toc_4_4_0000000004 \h</w:instrText>
      </w:r>
      <w:r>
        <w:fldChar w:fldCharType="separate"/>
      </w:r>
      <w:r>
        <w:t>5</w:t>
      </w:r>
      <w:r>
        <w:fldChar w:fldCharType="end"/>
      </w:r>
      <w:r>
        <w:fldChar w:fldCharType="end"/>
      </w:r>
    </w:p>
    <w:p>
      <w:pPr>
        <w:pStyle w:val="2"/>
        <w:tabs>
          <w:tab w:val="right" w:leader="dot" w:pos="9282"/>
        </w:tabs>
      </w:pPr>
      <w:r>
        <w:fldChar w:fldCharType="begin"/>
      </w:r>
      <w:r>
        <w:instrText xml:space="preserve"> HYPERLINK \l "_Toc_4_4_0000000005" </w:instrText>
      </w:r>
      <w:r>
        <w:fldChar w:fldCharType="separate"/>
      </w:r>
      <w:r>
        <w:t>2.2026年城市管理综合执法经费绩效目标表</w:t>
      </w:r>
      <w:r>
        <w:tab/>
      </w:r>
      <w:r>
        <w:fldChar w:fldCharType="begin"/>
      </w:r>
      <w:r>
        <w:instrText xml:space="preserve">PAGEREF _Toc_4_4_0000000005 \h</w:instrText>
      </w:r>
      <w:r>
        <w:fldChar w:fldCharType="separate"/>
      </w:r>
      <w:r>
        <w:t>6</w:t>
      </w:r>
      <w:r>
        <w:fldChar w:fldCharType="end"/>
      </w:r>
      <w:r>
        <w:fldChar w:fldCharType="end"/>
      </w:r>
    </w:p>
    <w:p>
      <w:pPr>
        <w:pStyle w:val="2"/>
        <w:tabs>
          <w:tab w:val="right" w:leader="dot" w:pos="9282"/>
        </w:tabs>
      </w:pPr>
      <w:r>
        <w:fldChar w:fldCharType="begin"/>
      </w:r>
      <w:r>
        <w:instrText xml:space="preserve"> HYPERLINK \l "_Toc_4_4_0000000006" </w:instrText>
      </w:r>
      <w:r>
        <w:fldChar w:fldCharType="separate"/>
      </w:r>
      <w:r>
        <w:t>3.2026年城市运维经费绩效目标表</w:t>
      </w:r>
      <w:r>
        <w:tab/>
      </w:r>
      <w:r>
        <w:fldChar w:fldCharType="begin"/>
      </w:r>
      <w:r>
        <w:instrText xml:space="preserve">PAGEREF _Toc_4_4_0000000006 \h</w:instrText>
      </w:r>
      <w:r>
        <w:fldChar w:fldCharType="separate"/>
      </w:r>
      <w:r>
        <w:t>7</w:t>
      </w:r>
      <w:r>
        <w:fldChar w:fldCharType="end"/>
      </w:r>
      <w:r>
        <w:fldChar w:fldCharType="end"/>
      </w:r>
    </w:p>
    <w:p>
      <w:pPr>
        <w:pStyle w:val="2"/>
        <w:tabs>
          <w:tab w:val="right" w:leader="dot" w:pos="9282"/>
        </w:tabs>
      </w:pPr>
      <w:r>
        <w:fldChar w:fldCharType="begin"/>
      </w:r>
      <w:r>
        <w:instrText xml:space="preserve"> HYPERLINK \l "_Toc_4_4_0000000007" </w:instrText>
      </w:r>
      <w:r>
        <w:fldChar w:fldCharType="separate"/>
      </w:r>
      <w:r>
        <w:t>4.2026年党建、统战工作经费绩效目标表</w:t>
      </w:r>
      <w:r>
        <w:tab/>
      </w:r>
      <w:r>
        <w:fldChar w:fldCharType="begin"/>
      </w:r>
      <w:r>
        <w:instrText xml:space="preserve">PAGEREF _Toc_4_4_0000000007 \h</w:instrText>
      </w:r>
      <w:r>
        <w:fldChar w:fldCharType="separate"/>
      </w:r>
      <w:r>
        <w:t>8</w:t>
      </w:r>
      <w:r>
        <w:fldChar w:fldCharType="end"/>
      </w:r>
      <w:r>
        <w:fldChar w:fldCharType="end"/>
      </w:r>
    </w:p>
    <w:p>
      <w:pPr>
        <w:pStyle w:val="2"/>
        <w:tabs>
          <w:tab w:val="right" w:leader="dot" w:pos="9282"/>
        </w:tabs>
      </w:pPr>
      <w:r>
        <w:fldChar w:fldCharType="begin"/>
      </w:r>
      <w:r>
        <w:instrText xml:space="preserve"> HYPERLINK \l "_Toc_4_4_0000000008" </w:instrText>
      </w:r>
      <w:r>
        <w:fldChar w:fldCharType="separate"/>
      </w:r>
      <w:r>
        <w:t>5.2026年党群服务群众经费绩效目标表</w:t>
      </w:r>
      <w:r>
        <w:tab/>
      </w:r>
      <w:r>
        <w:fldChar w:fldCharType="begin"/>
      </w:r>
      <w:r>
        <w:instrText xml:space="preserve">PAGEREF _Toc_4_4_0000000008 \h</w:instrText>
      </w:r>
      <w:r>
        <w:fldChar w:fldCharType="separate"/>
      </w:r>
      <w:r>
        <w:t>9</w:t>
      </w:r>
      <w:r>
        <w:fldChar w:fldCharType="end"/>
      </w:r>
      <w:r>
        <w:fldChar w:fldCharType="end"/>
      </w:r>
    </w:p>
    <w:p>
      <w:pPr>
        <w:pStyle w:val="2"/>
        <w:tabs>
          <w:tab w:val="right" w:leader="dot" w:pos="9282"/>
        </w:tabs>
      </w:pPr>
      <w:r>
        <w:fldChar w:fldCharType="begin"/>
      </w:r>
      <w:r>
        <w:instrText xml:space="preserve"> HYPERLINK \l "_Toc_4_4_0000000009" </w:instrText>
      </w:r>
      <w:r>
        <w:fldChar w:fldCharType="separate"/>
      </w:r>
      <w:r>
        <w:t>6.2026年妇联工作经费绩效目标表</w:t>
      </w:r>
      <w:r>
        <w:tab/>
      </w:r>
      <w:r>
        <w:fldChar w:fldCharType="begin"/>
      </w:r>
      <w:r>
        <w:instrText xml:space="preserve">PAGEREF _Toc_4_4_0000000009 \h</w:instrText>
      </w:r>
      <w:r>
        <w:fldChar w:fldCharType="separate"/>
      </w:r>
      <w:r>
        <w:t>10</w:t>
      </w:r>
      <w:r>
        <w:fldChar w:fldCharType="end"/>
      </w:r>
      <w:r>
        <w:fldChar w:fldCharType="end"/>
      </w:r>
    </w:p>
    <w:p>
      <w:pPr>
        <w:pStyle w:val="2"/>
        <w:tabs>
          <w:tab w:val="right" w:leader="dot" w:pos="9282"/>
        </w:tabs>
      </w:pPr>
      <w:r>
        <w:fldChar w:fldCharType="begin"/>
      </w:r>
      <w:r>
        <w:instrText xml:space="preserve"> HYPERLINK \l "_Toc_4_4_0000000010" </w:instrText>
      </w:r>
      <w:r>
        <w:fldChar w:fldCharType="separate"/>
      </w:r>
      <w:r>
        <w:t>7.2026年公共服务工作经费绩效目标表</w:t>
      </w:r>
      <w:r>
        <w:tab/>
      </w:r>
      <w:r>
        <w:fldChar w:fldCharType="begin"/>
      </w:r>
      <w:r>
        <w:instrText xml:space="preserve">PAGEREF _Toc_4_4_0000000010 \h</w:instrText>
      </w:r>
      <w:r>
        <w:fldChar w:fldCharType="separate"/>
      </w:r>
      <w:r>
        <w:t>11</w:t>
      </w:r>
      <w:r>
        <w:fldChar w:fldCharType="end"/>
      </w:r>
      <w:r>
        <w:fldChar w:fldCharType="end"/>
      </w:r>
    </w:p>
    <w:p>
      <w:pPr>
        <w:pStyle w:val="2"/>
        <w:tabs>
          <w:tab w:val="right" w:leader="dot" w:pos="9282"/>
        </w:tabs>
      </w:pPr>
      <w:r>
        <w:fldChar w:fldCharType="begin"/>
      </w:r>
      <w:r>
        <w:instrText xml:space="preserve"> HYPERLINK \l "_Toc_4_4_0000000011" </w:instrText>
      </w:r>
      <w:r>
        <w:fldChar w:fldCharType="separate"/>
      </w:r>
      <w:r>
        <w:t>8.2026年公共建设工作经费绩效目标表</w:t>
      </w:r>
      <w:r>
        <w:tab/>
      </w:r>
      <w:r>
        <w:fldChar w:fldCharType="begin"/>
      </w:r>
      <w:r>
        <w:instrText xml:space="preserve">PAGEREF _Toc_4_4_0000000011 \h</w:instrText>
      </w:r>
      <w:r>
        <w:fldChar w:fldCharType="separate"/>
      </w:r>
      <w:r>
        <w:t>12</w:t>
      </w:r>
      <w:r>
        <w:fldChar w:fldCharType="end"/>
      </w:r>
      <w:r>
        <w:fldChar w:fldCharType="end"/>
      </w:r>
    </w:p>
    <w:p>
      <w:pPr>
        <w:pStyle w:val="2"/>
        <w:tabs>
          <w:tab w:val="right" w:leader="dot" w:pos="9282"/>
        </w:tabs>
      </w:pPr>
      <w:r>
        <w:fldChar w:fldCharType="begin"/>
      </w:r>
      <w:r>
        <w:instrText xml:space="preserve"> HYPERLINK \l "_Toc_4_4_0000000012" </w:instrText>
      </w:r>
      <w:r>
        <w:fldChar w:fldCharType="separate"/>
      </w:r>
      <w:r>
        <w:t>9.2026年环境治理经费绩效目标表</w:t>
      </w:r>
      <w:r>
        <w:tab/>
      </w:r>
      <w:r>
        <w:fldChar w:fldCharType="begin"/>
      </w:r>
      <w:r>
        <w:instrText xml:space="preserve">PAGEREF _Toc_4_4_0000000012 \h</w:instrText>
      </w:r>
      <w:r>
        <w:fldChar w:fldCharType="separate"/>
      </w:r>
      <w:r>
        <w:t>13</w:t>
      </w:r>
      <w:r>
        <w:fldChar w:fldCharType="end"/>
      </w:r>
      <w:r>
        <w:fldChar w:fldCharType="end"/>
      </w:r>
    </w:p>
    <w:p>
      <w:pPr>
        <w:pStyle w:val="2"/>
        <w:tabs>
          <w:tab w:val="right" w:leader="dot" w:pos="9282"/>
        </w:tabs>
      </w:pPr>
      <w:r>
        <w:fldChar w:fldCharType="begin"/>
      </w:r>
      <w:r>
        <w:instrText xml:space="preserve"> HYPERLINK \l "_Toc_4_4_0000000013" </w:instrText>
      </w:r>
      <w:r>
        <w:fldChar w:fldCharType="separate"/>
      </w:r>
      <w:r>
        <w:t>10.2026年基层人民武装建设管理经费绩效目标表</w:t>
      </w:r>
      <w:r>
        <w:tab/>
      </w:r>
      <w:r>
        <w:fldChar w:fldCharType="begin"/>
      </w:r>
      <w:r>
        <w:instrText xml:space="preserve">PAGEREF _Toc_4_4_0000000013 \h</w:instrText>
      </w:r>
      <w:r>
        <w:fldChar w:fldCharType="separate"/>
      </w:r>
      <w:r>
        <w:t>14</w:t>
      </w:r>
      <w:r>
        <w:fldChar w:fldCharType="end"/>
      </w:r>
      <w:r>
        <w:fldChar w:fldCharType="end"/>
      </w:r>
    </w:p>
    <w:p>
      <w:pPr>
        <w:pStyle w:val="2"/>
        <w:tabs>
          <w:tab w:val="right" w:leader="dot" w:pos="9282"/>
        </w:tabs>
      </w:pPr>
      <w:r>
        <w:fldChar w:fldCharType="begin"/>
      </w:r>
      <w:r>
        <w:instrText xml:space="preserve"> HYPERLINK \l "_Toc_4_4_0000000014" </w:instrText>
      </w:r>
      <w:r>
        <w:fldChar w:fldCharType="separate"/>
      </w:r>
      <w:r>
        <w:t>11.2026年经济发展经费绩效目标表</w:t>
      </w:r>
      <w:r>
        <w:tab/>
      </w:r>
      <w:r>
        <w:fldChar w:fldCharType="begin"/>
      </w:r>
      <w:r>
        <w:instrText xml:space="preserve">PAGEREF _Toc_4_4_0000000014 \h</w:instrText>
      </w:r>
      <w:r>
        <w:fldChar w:fldCharType="separate"/>
      </w:r>
      <w:r>
        <w:t>15</w:t>
      </w:r>
      <w:r>
        <w:fldChar w:fldCharType="end"/>
      </w:r>
      <w:r>
        <w:fldChar w:fldCharType="end"/>
      </w:r>
    </w:p>
    <w:p>
      <w:pPr>
        <w:pStyle w:val="2"/>
        <w:tabs>
          <w:tab w:val="right" w:leader="dot" w:pos="9282"/>
        </w:tabs>
      </w:pPr>
      <w:r>
        <w:fldChar w:fldCharType="begin"/>
      </w:r>
      <w:r>
        <w:instrText xml:space="preserve"> HYPERLINK \l "_Toc_4_4_0000000015" </w:instrText>
      </w:r>
      <w:r>
        <w:fldChar w:fldCharType="separate"/>
      </w:r>
      <w:r>
        <w:t>12.2026年农村城市化工作经费绩效目标表</w:t>
      </w:r>
      <w:r>
        <w:tab/>
      </w:r>
      <w:r>
        <w:fldChar w:fldCharType="begin"/>
      </w:r>
      <w:r>
        <w:instrText xml:space="preserve">PAGEREF _Toc_4_4_0000000015 \h</w:instrText>
      </w:r>
      <w:r>
        <w:fldChar w:fldCharType="separate"/>
      </w:r>
      <w:r>
        <w:t>16</w:t>
      </w:r>
      <w:r>
        <w:fldChar w:fldCharType="end"/>
      </w:r>
      <w:r>
        <w:fldChar w:fldCharType="end"/>
      </w:r>
    </w:p>
    <w:p>
      <w:pPr>
        <w:pStyle w:val="2"/>
        <w:tabs>
          <w:tab w:val="right" w:leader="dot" w:pos="9282"/>
        </w:tabs>
      </w:pPr>
      <w:r>
        <w:fldChar w:fldCharType="begin"/>
      </w:r>
      <w:r>
        <w:instrText xml:space="preserve"> HYPERLINK \l "_Toc_4_4_0000000016" </w:instrText>
      </w:r>
      <w:r>
        <w:fldChar w:fldCharType="separate"/>
      </w:r>
      <w:r>
        <w:t>13.2026年农业生产发展工作经费绩效目标表</w:t>
      </w:r>
      <w:r>
        <w:tab/>
      </w:r>
      <w:r>
        <w:fldChar w:fldCharType="begin"/>
      </w:r>
      <w:r>
        <w:instrText xml:space="preserve">PAGEREF _Toc_4_4_0000000016 \h</w:instrText>
      </w:r>
      <w:r>
        <w:fldChar w:fldCharType="separate"/>
      </w:r>
      <w:r>
        <w:t>17</w:t>
      </w:r>
      <w:r>
        <w:fldChar w:fldCharType="end"/>
      </w:r>
      <w:r>
        <w:fldChar w:fldCharType="end"/>
      </w:r>
    </w:p>
    <w:p>
      <w:pPr>
        <w:pStyle w:val="2"/>
        <w:tabs>
          <w:tab w:val="right" w:leader="dot" w:pos="9282"/>
        </w:tabs>
      </w:pPr>
      <w:r>
        <w:fldChar w:fldCharType="begin"/>
      </w:r>
      <w:r>
        <w:instrText xml:space="preserve"> HYPERLINK \l "_Toc_4_4_0000000017" </w:instrText>
      </w:r>
      <w:r>
        <w:fldChar w:fldCharType="separate"/>
      </w:r>
      <w:r>
        <w:t>14.2026年人大工作经费绩效目标表</w:t>
      </w:r>
      <w:r>
        <w:tab/>
      </w:r>
      <w:r>
        <w:fldChar w:fldCharType="begin"/>
      </w:r>
      <w:r>
        <w:instrText xml:space="preserve">PAGEREF _Toc_4_4_0000000017 \h</w:instrText>
      </w:r>
      <w:r>
        <w:fldChar w:fldCharType="separate"/>
      </w:r>
      <w:r>
        <w:t>18</w:t>
      </w:r>
      <w:r>
        <w:fldChar w:fldCharType="end"/>
      </w:r>
      <w:r>
        <w:fldChar w:fldCharType="end"/>
      </w:r>
    </w:p>
    <w:p>
      <w:pPr>
        <w:pStyle w:val="2"/>
        <w:tabs>
          <w:tab w:val="right" w:leader="dot" w:pos="9282"/>
        </w:tabs>
      </w:pPr>
      <w:r>
        <w:fldChar w:fldCharType="begin"/>
      </w:r>
      <w:r>
        <w:instrText xml:space="preserve"> HYPERLINK \l "_Toc_4_4_0000000018" </w:instrText>
      </w:r>
      <w:r>
        <w:fldChar w:fldCharType="separate"/>
      </w:r>
      <w:r>
        <w:t>15.2026年社区党组织工作和活动经费绩效目标表</w:t>
      </w:r>
      <w:r>
        <w:tab/>
      </w:r>
      <w:r>
        <w:fldChar w:fldCharType="begin"/>
      </w:r>
      <w:r>
        <w:instrText xml:space="preserve">PAGEREF _Toc_4_4_0000000018 \h</w:instrText>
      </w:r>
      <w:r>
        <w:fldChar w:fldCharType="separate"/>
      </w:r>
      <w:r>
        <w:t>19</w:t>
      </w:r>
      <w:r>
        <w:fldChar w:fldCharType="end"/>
      </w:r>
      <w:r>
        <w:fldChar w:fldCharType="end"/>
      </w:r>
    </w:p>
    <w:p>
      <w:pPr>
        <w:pStyle w:val="2"/>
        <w:tabs>
          <w:tab w:val="right" w:leader="dot" w:pos="9282"/>
        </w:tabs>
      </w:pPr>
      <w:r>
        <w:fldChar w:fldCharType="begin"/>
      </w:r>
      <w:r>
        <w:instrText xml:space="preserve"> HYPERLINK \l "_Toc_4_4_0000000019" </w:instrText>
      </w:r>
      <w:r>
        <w:fldChar w:fldCharType="separate"/>
      </w:r>
      <w:r>
        <w:t>16.2026年退役军人事务保障经费绩效目标表</w:t>
      </w:r>
      <w:r>
        <w:tab/>
      </w:r>
      <w:r>
        <w:fldChar w:fldCharType="begin"/>
      </w:r>
      <w:r>
        <w:instrText xml:space="preserve">PAGEREF _Toc_4_4_0000000019 \h</w:instrText>
      </w:r>
      <w:r>
        <w:fldChar w:fldCharType="separate"/>
      </w:r>
      <w:r>
        <w:t>20</w:t>
      </w:r>
      <w:r>
        <w:fldChar w:fldCharType="end"/>
      </w:r>
      <w:r>
        <w:fldChar w:fldCharType="end"/>
      </w:r>
    </w:p>
    <w:p>
      <w:pPr>
        <w:pStyle w:val="2"/>
        <w:tabs>
          <w:tab w:val="right" w:leader="dot" w:pos="9282"/>
        </w:tabs>
      </w:pPr>
      <w:r>
        <w:fldChar w:fldCharType="begin"/>
      </w:r>
      <w:r>
        <w:instrText xml:space="preserve"> HYPERLINK \l "_Toc_4_4_0000000020" </w:instrText>
      </w:r>
      <w:r>
        <w:fldChar w:fldCharType="separate"/>
      </w:r>
      <w:r>
        <w:t>17.2026年小区提升改造及农村道路土地维护经费绩效目标表</w:t>
      </w:r>
      <w:r>
        <w:tab/>
      </w:r>
      <w:r>
        <w:fldChar w:fldCharType="begin"/>
      </w:r>
      <w:r>
        <w:instrText xml:space="preserve">PAGEREF _Toc_4_4_0000000020 \h</w:instrText>
      </w:r>
      <w:r>
        <w:fldChar w:fldCharType="separate"/>
      </w:r>
      <w:r>
        <w:t>21</w:t>
      </w:r>
      <w:r>
        <w:fldChar w:fldCharType="end"/>
      </w:r>
      <w:r>
        <w:fldChar w:fldCharType="end"/>
      </w:r>
    </w:p>
    <w:p>
      <w:pPr>
        <w:pStyle w:val="2"/>
        <w:tabs>
          <w:tab w:val="right" w:leader="dot" w:pos="9282"/>
        </w:tabs>
      </w:pPr>
      <w:r>
        <w:fldChar w:fldCharType="begin"/>
      </w:r>
      <w:r>
        <w:instrText xml:space="preserve"> HYPERLINK \l "_Toc_4_4_0000000021" </w:instrText>
      </w:r>
      <w:r>
        <w:fldChar w:fldCharType="separate"/>
      </w:r>
      <w:r>
        <w:t>18.2026年宣传文化发展经费绩效目标表</w:t>
      </w:r>
      <w:r>
        <w:tab/>
      </w:r>
      <w:r>
        <w:fldChar w:fldCharType="begin"/>
      </w:r>
      <w:r>
        <w:instrText xml:space="preserve">PAGEREF _Toc_4_4_0000000021 \h</w:instrText>
      </w:r>
      <w:r>
        <w:fldChar w:fldCharType="separate"/>
      </w:r>
      <w:r>
        <w:t>22</w:t>
      </w:r>
      <w:r>
        <w:fldChar w:fldCharType="end"/>
      </w:r>
      <w:r>
        <w:fldChar w:fldCharType="end"/>
      </w:r>
    </w:p>
    <w:p>
      <w:pPr>
        <w:pStyle w:val="2"/>
        <w:tabs>
          <w:tab w:val="right" w:leader="dot" w:pos="9282"/>
        </w:tabs>
      </w:pPr>
      <w:r>
        <w:fldChar w:fldCharType="begin"/>
      </w:r>
      <w:r>
        <w:instrText xml:space="preserve"> HYPERLINK \l "_Toc_4_4_0000000022" </w:instrText>
      </w:r>
      <w:r>
        <w:fldChar w:fldCharType="separate"/>
      </w:r>
      <w:r>
        <w:t>19.2026年征地补偿（自有资金）（其他收入奖金）绩效目标表</w:t>
      </w:r>
      <w:r>
        <w:tab/>
      </w:r>
      <w:r>
        <w:fldChar w:fldCharType="begin"/>
      </w:r>
      <w:r>
        <w:instrText xml:space="preserve">PAGEREF _Toc_4_4_0000000022 \h</w:instrText>
      </w:r>
      <w:r>
        <w:fldChar w:fldCharType="separate"/>
      </w:r>
      <w:r>
        <w:t>23</w:t>
      </w:r>
      <w:r>
        <w:fldChar w:fldCharType="end"/>
      </w:r>
      <w:r>
        <w:fldChar w:fldCharType="end"/>
      </w:r>
    </w:p>
    <w:p>
      <w:pPr>
        <w:pStyle w:val="2"/>
        <w:tabs>
          <w:tab w:val="right" w:leader="dot" w:pos="9282"/>
        </w:tabs>
      </w:pPr>
      <w:r>
        <w:fldChar w:fldCharType="begin"/>
      </w:r>
      <w:r>
        <w:instrText xml:space="preserve"> HYPERLINK \l "_Toc_4_4_0000000023" </w:instrText>
      </w:r>
      <w:r>
        <w:fldChar w:fldCharType="separate"/>
      </w:r>
      <w:r>
        <w:t>20.2026年综合保障工作经费绩效目标表</w:t>
      </w:r>
      <w:r>
        <w:tab/>
      </w:r>
      <w:r>
        <w:fldChar w:fldCharType="begin"/>
      </w:r>
      <w:r>
        <w:instrText xml:space="preserve">PAGEREF _Toc_4_4_0000000023 \h</w:instrText>
      </w:r>
      <w:r>
        <w:fldChar w:fldCharType="separate"/>
      </w:r>
      <w:r>
        <w:t>24</w:t>
      </w:r>
      <w:r>
        <w:fldChar w:fldCharType="end"/>
      </w:r>
      <w:r>
        <w:fldChar w:fldCharType="end"/>
      </w:r>
    </w:p>
    <w:p>
      <w:pPr>
        <w:pStyle w:val="2"/>
        <w:tabs>
          <w:tab w:val="right" w:leader="dot" w:pos="9282"/>
        </w:tabs>
      </w:pPr>
      <w:r>
        <w:fldChar w:fldCharType="begin"/>
      </w:r>
      <w:r>
        <w:instrText xml:space="preserve"> HYPERLINK \l "_Toc_4_4_0000000024" </w:instrText>
      </w:r>
      <w:r>
        <w:fldChar w:fldCharType="separate"/>
      </w:r>
      <w:r>
        <w:t>21.2026年综治信访工作经费绩效目标表</w:t>
      </w:r>
      <w:r>
        <w:tab/>
      </w:r>
      <w:r>
        <w:fldChar w:fldCharType="begin"/>
      </w:r>
      <w:r>
        <w:instrText xml:space="preserve">PAGEREF _Toc_4_4_0000000024 \h</w:instrText>
      </w:r>
      <w:r>
        <w:fldChar w:fldCharType="separate"/>
      </w:r>
      <w:r>
        <w:t>25</w:t>
      </w:r>
      <w:r>
        <w:fldChar w:fldCharType="end"/>
      </w:r>
      <w:r>
        <w:fldChar w:fldCharType="end"/>
      </w:r>
    </w:p>
    <w:p>
      <w:pPr>
        <w:pStyle w:val="2"/>
        <w:tabs>
          <w:tab w:val="right" w:leader="dot" w:pos="9282"/>
        </w:tabs>
      </w:pPr>
      <w:r>
        <w:fldChar w:fldCharType="begin"/>
      </w:r>
      <w:r>
        <w:instrText xml:space="preserve"> HYPERLINK \l "_Toc_4_4_0000000025" </w:instrText>
      </w:r>
      <w:r>
        <w:fldChar w:fldCharType="separate"/>
      </w:r>
      <w:r>
        <w:t>22.2024年超长期特别国债-天津市财政局关于下达2024年超长期特别国债（加快重点地区和城市平战结合建设领域城市地下管网建设改造方向）支出预算的通知（津财农指[2024]43号）绩效目标表</w:t>
      </w:r>
      <w:r>
        <w:tab/>
      </w:r>
      <w:r>
        <w:fldChar w:fldCharType="begin"/>
      </w:r>
      <w:r>
        <w:instrText xml:space="preserve">PAGEREF _Toc_4_4_0000000025 \h</w:instrText>
      </w:r>
      <w:r>
        <w:fldChar w:fldCharType="separate"/>
      </w:r>
      <w:r>
        <w:t>26</w:t>
      </w:r>
      <w:r>
        <w:fldChar w:fldCharType="end"/>
      </w:r>
      <w:r>
        <w:fldChar w:fldCharType="end"/>
      </w:r>
    </w:p>
    <w:p>
      <w:pPr>
        <w:pStyle w:val="2"/>
        <w:tabs>
          <w:tab w:val="right" w:leader="dot" w:pos="9282"/>
        </w:tabs>
      </w:pPr>
      <w:r>
        <w:fldChar w:fldCharType="begin"/>
      </w:r>
      <w:r>
        <w:instrText xml:space="preserve"> HYPERLINK \l "_Toc_4_4_0000000026" </w:instrText>
      </w:r>
      <w:r>
        <w:fldChar w:fldCharType="separate"/>
      </w:r>
      <w:r>
        <w:t>23.2025年基础社区补助-居委会工作经费（津财行政指【2025】2号）绩效目标表</w:t>
      </w:r>
      <w:r>
        <w:tab/>
      </w:r>
      <w:r>
        <w:fldChar w:fldCharType="begin"/>
      </w:r>
      <w:r>
        <w:instrText xml:space="preserve">PAGEREF _Toc_4_4_0000000026 \h</w:instrText>
      </w:r>
      <w:r>
        <w:fldChar w:fldCharType="separate"/>
      </w:r>
      <w:r>
        <w:t>27</w:t>
      </w:r>
      <w:r>
        <w:fldChar w:fldCharType="end"/>
      </w:r>
      <w:r>
        <w:fldChar w:fldCharType="end"/>
      </w:r>
    </w:p>
    <w:p>
      <w:pPr>
        <w:pStyle w:val="2"/>
        <w:tabs>
          <w:tab w:val="right" w:leader="dot" w:pos="9282"/>
        </w:tabs>
      </w:pPr>
      <w:r>
        <w:fldChar w:fldCharType="begin"/>
      </w:r>
      <w:r>
        <w:instrText xml:space="preserve"> HYPERLINK \l "_Toc_4_4_0000000027" </w:instrText>
      </w:r>
      <w:r>
        <w:fldChar w:fldCharType="separate"/>
      </w:r>
      <w:r>
        <w:t>24.2025年基础社区补助-体检经费（津财行政指【2025】2号）绩效目标表</w:t>
      </w:r>
      <w:r>
        <w:tab/>
      </w:r>
      <w:r>
        <w:fldChar w:fldCharType="begin"/>
      </w:r>
      <w:r>
        <w:instrText xml:space="preserve">PAGEREF _Toc_4_4_0000000027 \h</w:instrText>
      </w:r>
      <w:r>
        <w:fldChar w:fldCharType="separate"/>
      </w:r>
      <w:r>
        <w:t>28</w:t>
      </w:r>
      <w:r>
        <w:fldChar w:fldCharType="end"/>
      </w:r>
      <w:r>
        <w:fldChar w:fldCharType="end"/>
      </w:r>
    </w:p>
    <w:p>
      <w:pPr>
        <w:pStyle w:val="2"/>
        <w:tabs>
          <w:tab w:val="right" w:leader="dot" w:pos="9282"/>
        </w:tabs>
      </w:pPr>
      <w:r>
        <w:fldChar w:fldCharType="begin"/>
      </w:r>
      <w:r>
        <w:instrText xml:space="preserve"> HYPERLINK \l "_Toc_4_4_0000000028" </w:instrText>
      </w:r>
      <w:r>
        <w:fldChar w:fldCharType="separate"/>
      </w:r>
      <w:r>
        <w:t>25.2025年新城镇棚改收尾项目第五批新增专项债绩效目标表</w:t>
      </w:r>
      <w:r>
        <w:tab/>
      </w:r>
      <w:r>
        <w:fldChar w:fldCharType="begin"/>
      </w:r>
      <w:r>
        <w:instrText xml:space="preserve">PAGEREF _Toc_4_4_0000000028 \h</w:instrText>
      </w:r>
      <w:r>
        <w:fldChar w:fldCharType="separate"/>
      </w:r>
      <w:r>
        <w:t>29</w:t>
      </w:r>
      <w:r>
        <w:fldChar w:fldCharType="end"/>
      </w:r>
      <w:r>
        <w:fldChar w:fldCharType="end"/>
      </w:r>
    </w:p>
    <w:p>
      <w:pPr>
        <w:pStyle w:val="2"/>
        <w:tabs>
          <w:tab w:val="right" w:leader="dot" w:pos="9282"/>
        </w:tabs>
      </w:pPr>
      <w:r>
        <w:fldChar w:fldCharType="begin"/>
      </w:r>
      <w:r>
        <w:instrText xml:space="preserve"> HYPERLINK \l "_Toc_4_4_0000000029" </w:instrText>
      </w:r>
      <w:r>
        <w:fldChar w:fldCharType="separate"/>
      </w:r>
      <w:r>
        <w:t>26.2026年编制外长聘人员经费项目绩效目标表</w:t>
      </w:r>
      <w:r>
        <w:tab/>
      </w:r>
      <w:r>
        <w:fldChar w:fldCharType="begin"/>
      </w:r>
      <w:r>
        <w:instrText xml:space="preserve">PAGEREF _Toc_4_4_0000000029 \h</w:instrText>
      </w:r>
      <w:r>
        <w:fldChar w:fldCharType="separate"/>
      </w:r>
      <w:r>
        <w:t>30</w:t>
      </w:r>
      <w:r>
        <w:fldChar w:fldCharType="end"/>
      </w:r>
      <w:r>
        <w:fldChar w:fldCharType="end"/>
      </w:r>
    </w:p>
    <w:p>
      <w:pPr>
        <w:pStyle w:val="2"/>
        <w:tabs>
          <w:tab w:val="right" w:leader="dot" w:pos="9282"/>
        </w:tabs>
      </w:pPr>
      <w:r>
        <w:fldChar w:fldCharType="begin"/>
      </w:r>
      <w:r>
        <w:instrText xml:space="preserve"> HYPERLINK \l "_Toc_4_4_0000000030" </w:instrText>
      </w:r>
      <w:r>
        <w:fldChar w:fldCharType="separate"/>
      </w:r>
      <w:r>
        <w:t>27.2026年编制外长聘人员经费项目（残疾人专职委员）绩效目标表</w:t>
      </w:r>
      <w:r>
        <w:tab/>
      </w:r>
      <w:r>
        <w:fldChar w:fldCharType="begin"/>
      </w:r>
      <w:r>
        <w:instrText xml:space="preserve">PAGEREF _Toc_4_4_0000000030 \h</w:instrText>
      </w:r>
      <w:r>
        <w:fldChar w:fldCharType="separate"/>
      </w:r>
      <w:r>
        <w:t>31</w:t>
      </w:r>
      <w:r>
        <w:fldChar w:fldCharType="end"/>
      </w:r>
      <w:r>
        <w:fldChar w:fldCharType="end"/>
      </w:r>
    </w:p>
    <w:p>
      <w:pPr>
        <w:pStyle w:val="2"/>
        <w:tabs>
          <w:tab w:val="right" w:leader="dot" w:pos="9282"/>
        </w:tabs>
      </w:pPr>
      <w:r>
        <w:fldChar w:fldCharType="begin"/>
      </w:r>
      <w:r>
        <w:instrText xml:space="preserve"> HYPERLINK \l "_Toc_4_4_0000000031" </w:instrText>
      </w:r>
      <w:r>
        <w:fldChar w:fldCharType="separate"/>
      </w:r>
      <w:r>
        <w:t>28.2026年编制外长聘人员经费项目（劳动保障协管员）-行政政法室绩效目标表</w:t>
      </w:r>
      <w:r>
        <w:tab/>
      </w:r>
      <w:r>
        <w:fldChar w:fldCharType="begin"/>
      </w:r>
      <w:r>
        <w:instrText xml:space="preserve">PAGEREF _Toc_4_4_0000000031 \h</w:instrText>
      </w:r>
      <w:r>
        <w:fldChar w:fldCharType="separate"/>
      </w:r>
      <w:r>
        <w:t>32</w:t>
      </w:r>
      <w:r>
        <w:fldChar w:fldCharType="end"/>
      </w:r>
      <w:r>
        <w:fldChar w:fldCharType="end"/>
      </w:r>
    </w:p>
    <w:p>
      <w:pPr>
        <w:pStyle w:val="2"/>
        <w:tabs>
          <w:tab w:val="right" w:leader="dot" w:pos="9282"/>
        </w:tabs>
      </w:pPr>
      <w:r>
        <w:fldChar w:fldCharType="begin"/>
      </w:r>
      <w:r>
        <w:instrText xml:space="preserve"> HYPERLINK \l "_Toc_4_4_0000000032" </w:instrText>
      </w:r>
      <w:r>
        <w:fldChar w:fldCharType="separate"/>
      </w:r>
      <w:r>
        <w:t>29.2026年编制外长聘人员经费项目（社区工作者含退养主任）-行政政法室绩效目标表</w:t>
      </w:r>
      <w:r>
        <w:tab/>
      </w:r>
      <w:r>
        <w:fldChar w:fldCharType="begin"/>
      </w:r>
      <w:r>
        <w:instrText xml:space="preserve">PAGEREF _Toc_4_4_0000000032 \h</w:instrText>
      </w:r>
      <w:r>
        <w:fldChar w:fldCharType="separate"/>
      </w:r>
      <w:r>
        <w:t>33</w:t>
      </w:r>
      <w:r>
        <w:fldChar w:fldCharType="end"/>
      </w:r>
      <w:r>
        <w:fldChar w:fldCharType="end"/>
      </w:r>
    </w:p>
    <w:p>
      <w:pPr>
        <w:pStyle w:val="2"/>
        <w:tabs>
          <w:tab w:val="right" w:leader="dot" w:pos="9282"/>
        </w:tabs>
      </w:pPr>
      <w:r>
        <w:fldChar w:fldCharType="begin"/>
      </w:r>
      <w:r>
        <w:instrText xml:space="preserve"> HYPERLINK \l "_Toc_4_4_0000000033" </w:instrText>
      </w:r>
      <w:r>
        <w:fldChar w:fldCharType="separate"/>
      </w:r>
      <w:r>
        <w:t>30.2026年编制外长聘人员经费项目（文化管理员）绩效目标表</w:t>
      </w:r>
      <w:r>
        <w:tab/>
      </w:r>
      <w:r>
        <w:fldChar w:fldCharType="begin"/>
      </w:r>
      <w:r>
        <w:instrText xml:space="preserve">PAGEREF _Toc_4_4_0000000033 \h</w:instrText>
      </w:r>
      <w:r>
        <w:fldChar w:fldCharType="separate"/>
      </w:r>
      <w:r>
        <w:t>34</w:t>
      </w:r>
      <w:r>
        <w:fldChar w:fldCharType="end"/>
      </w:r>
      <w:r>
        <w:fldChar w:fldCharType="end"/>
      </w:r>
    </w:p>
    <w:p>
      <w:pPr>
        <w:pStyle w:val="2"/>
        <w:tabs>
          <w:tab w:val="right" w:leader="dot" w:pos="9282"/>
        </w:tabs>
      </w:pPr>
      <w:r>
        <w:fldChar w:fldCharType="begin"/>
      </w:r>
      <w:r>
        <w:instrText xml:space="preserve"> HYPERLINK \l "_Toc_4_4_0000000034" </w:instrText>
      </w:r>
      <w:r>
        <w:fldChar w:fldCharType="separate"/>
      </w:r>
      <w:r>
        <w:t>31.2026年村级组织运转经费绩效目标表</w:t>
      </w:r>
      <w:r>
        <w:tab/>
      </w:r>
      <w:r>
        <w:fldChar w:fldCharType="begin"/>
      </w:r>
      <w:r>
        <w:instrText xml:space="preserve">PAGEREF _Toc_4_4_0000000034 \h</w:instrText>
      </w:r>
      <w:r>
        <w:fldChar w:fldCharType="separate"/>
      </w:r>
      <w:r>
        <w:t>35</w:t>
      </w:r>
      <w:r>
        <w:fldChar w:fldCharType="end"/>
      </w:r>
      <w:r>
        <w:fldChar w:fldCharType="end"/>
      </w:r>
    </w:p>
    <w:p>
      <w:pPr>
        <w:pStyle w:val="2"/>
        <w:tabs>
          <w:tab w:val="right" w:leader="dot" w:pos="9282"/>
        </w:tabs>
      </w:pPr>
      <w:r>
        <w:fldChar w:fldCharType="begin"/>
      </w:r>
      <w:r>
        <w:instrText xml:space="preserve"> HYPERLINK \l "_Toc_4_4_0000000035" </w:instrText>
      </w:r>
      <w:r>
        <w:fldChar w:fldCharType="separate"/>
      </w:r>
      <w:r>
        <w:t>32.2026年居委会办公经费绩效目标表</w:t>
      </w:r>
      <w:r>
        <w:tab/>
      </w:r>
      <w:r>
        <w:fldChar w:fldCharType="begin"/>
      </w:r>
      <w:r>
        <w:instrText xml:space="preserve">PAGEREF _Toc_4_4_0000000035 \h</w:instrText>
      </w:r>
      <w:r>
        <w:fldChar w:fldCharType="separate"/>
      </w:r>
      <w:r>
        <w:t>36</w:t>
      </w:r>
      <w:r>
        <w:fldChar w:fldCharType="end"/>
      </w:r>
      <w:r>
        <w:fldChar w:fldCharType="end"/>
      </w:r>
    </w:p>
    <w:p>
      <w:pPr>
        <w:pStyle w:val="2"/>
        <w:tabs>
          <w:tab w:val="right" w:leader="dot" w:pos="9282"/>
        </w:tabs>
      </w:pPr>
      <w:r>
        <w:fldChar w:fldCharType="begin"/>
      </w:r>
      <w:r>
        <w:instrText xml:space="preserve"> HYPERLINK \l "_Toc_4_4_0000000036" </w:instrText>
      </w:r>
      <w:r>
        <w:fldChar w:fldCharType="separate"/>
      </w:r>
      <w:r>
        <w:t>33.2026年棚改收尾专项债券付息支出（综合）绩效目标表</w:t>
      </w:r>
      <w:r>
        <w:tab/>
      </w:r>
      <w:r>
        <w:fldChar w:fldCharType="begin"/>
      </w:r>
      <w:r>
        <w:instrText xml:space="preserve">PAGEREF _Toc_4_4_0000000036 \h</w:instrText>
      </w:r>
      <w:r>
        <w:fldChar w:fldCharType="separate"/>
      </w:r>
      <w:r>
        <w:t>37</w:t>
      </w:r>
      <w:r>
        <w:fldChar w:fldCharType="end"/>
      </w:r>
      <w:r>
        <w:fldChar w:fldCharType="end"/>
      </w:r>
    </w:p>
    <w:p>
      <w:pPr>
        <w:pStyle w:val="2"/>
        <w:tabs>
          <w:tab w:val="right" w:leader="dot" w:pos="9282"/>
        </w:tabs>
      </w:pPr>
      <w:r>
        <w:fldChar w:fldCharType="begin"/>
      </w:r>
      <w:r>
        <w:instrText xml:space="preserve"> HYPERLINK \l "_Toc_4_4_0000000037" </w:instrText>
      </w:r>
      <w:r>
        <w:fldChar w:fldCharType="separate"/>
      </w:r>
      <w:r>
        <w:t>34.2026年其他自行试点专项债券付息支出(综合）绩效目标表</w:t>
      </w:r>
      <w:r>
        <w:tab/>
      </w:r>
      <w:r>
        <w:fldChar w:fldCharType="begin"/>
      </w:r>
      <w:r>
        <w:instrText xml:space="preserve">PAGEREF _Toc_4_4_0000000037 \h</w:instrText>
      </w:r>
      <w:r>
        <w:fldChar w:fldCharType="separate"/>
      </w:r>
      <w:r>
        <w:t>38</w:t>
      </w:r>
      <w:r>
        <w:fldChar w:fldCharType="end"/>
      </w:r>
      <w:r>
        <w:fldChar w:fldCharType="end"/>
      </w:r>
    </w:p>
    <w:p>
      <w:pPr>
        <w:pStyle w:val="2"/>
        <w:tabs>
          <w:tab w:val="right" w:leader="dot" w:pos="9282"/>
        </w:tabs>
      </w:pPr>
      <w:r>
        <w:fldChar w:fldCharType="begin"/>
      </w:r>
      <w:r>
        <w:instrText xml:space="preserve"> HYPERLINK \l "_Toc_4_4_0000000038" </w:instrText>
      </w:r>
      <w:r>
        <w:fldChar w:fldCharType="separate"/>
      </w:r>
      <w:r>
        <w:t>35.2026年社区服务群众专项经费绩效目标表</w:t>
      </w:r>
      <w:r>
        <w:tab/>
      </w:r>
      <w:r>
        <w:fldChar w:fldCharType="begin"/>
      </w:r>
      <w:r>
        <w:instrText xml:space="preserve">PAGEREF _Toc_4_4_0000000038 \h</w:instrText>
      </w:r>
      <w:r>
        <w:fldChar w:fldCharType="separate"/>
      </w:r>
      <w:r>
        <w:t>39</w:t>
      </w:r>
      <w:r>
        <w:fldChar w:fldCharType="end"/>
      </w:r>
      <w:r>
        <w:fldChar w:fldCharType="end"/>
      </w:r>
    </w:p>
    <w:p>
      <w:pPr>
        <w:pStyle w:val="2"/>
        <w:tabs>
          <w:tab w:val="right" w:leader="dot" w:pos="9282"/>
        </w:tabs>
      </w:pPr>
      <w:r>
        <w:fldChar w:fldCharType="begin"/>
      </w:r>
      <w:r>
        <w:instrText xml:space="preserve"> HYPERLINK \l "_Toc_4_4_0000000039" </w:instrText>
      </w:r>
      <w:r>
        <w:fldChar w:fldCharType="separate"/>
      </w:r>
      <w:r>
        <w:t>36.2026年西中环其他自行试点专项债券付息支出（预算）绩效目标表</w:t>
      </w:r>
      <w:r>
        <w:tab/>
      </w:r>
      <w:r>
        <w:fldChar w:fldCharType="begin"/>
      </w:r>
      <w:r>
        <w:instrText xml:space="preserve">PAGEREF _Toc_4_4_0000000039 \h</w:instrText>
      </w:r>
      <w:r>
        <w:fldChar w:fldCharType="separate"/>
      </w:r>
      <w:r>
        <w:t>40</w:t>
      </w:r>
      <w:r>
        <w:fldChar w:fldCharType="end"/>
      </w:r>
      <w:r>
        <w:fldChar w:fldCharType="end"/>
      </w:r>
    </w:p>
    <w:p>
      <w:pPr>
        <w:pStyle w:val="2"/>
        <w:tabs>
          <w:tab w:val="right" w:leader="dot" w:pos="9282"/>
        </w:tabs>
      </w:pPr>
      <w:r>
        <w:fldChar w:fldCharType="begin"/>
      </w:r>
      <w:r>
        <w:instrText xml:space="preserve"> HYPERLINK \l "_Toc_4_4_0000000040" </w:instrText>
      </w:r>
      <w:r>
        <w:fldChar w:fldCharType="separate"/>
      </w:r>
      <w:r>
        <w:t>37.2026年新城镇清理拖欠专项债券项目其他政府性基金债券付息支出（预算）绩效目标表</w:t>
      </w:r>
      <w:r>
        <w:tab/>
      </w:r>
      <w:r>
        <w:fldChar w:fldCharType="begin"/>
      </w:r>
      <w:r>
        <w:instrText xml:space="preserve">PAGEREF _Toc_4_4_0000000040 \h</w:instrText>
      </w:r>
      <w:r>
        <w:fldChar w:fldCharType="separate"/>
      </w:r>
      <w:r>
        <w:t>41</w:t>
      </w:r>
      <w:r>
        <w:fldChar w:fldCharType="end"/>
      </w:r>
      <w:r>
        <w:fldChar w:fldCharType="end"/>
      </w:r>
    </w:p>
    <w:p>
      <w:pPr>
        <w:pStyle w:val="2"/>
        <w:tabs>
          <w:tab w:val="right" w:leader="dot" w:pos="9282"/>
        </w:tabs>
      </w:pPr>
      <w:r>
        <w:fldChar w:fldCharType="begin"/>
      </w:r>
      <w:r>
        <w:instrText xml:space="preserve"> HYPERLINK \l "_Toc_4_4_0000000041" </w:instrText>
      </w:r>
      <w:r>
        <w:fldChar w:fldCharType="separate"/>
      </w:r>
      <w:r>
        <w:t>38.2026年新城镇提前下达中央公共文化服务及免费开放补助资金（津财教指[2025]95号）绩效目标表</w:t>
      </w:r>
      <w:r>
        <w:tab/>
      </w:r>
      <w:r>
        <w:fldChar w:fldCharType="begin"/>
      </w:r>
      <w:r>
        <w:instrText xml:space="preserve">PAGEREF _Toc_4_4_0000000041 \h</w:instrText>
      </w:r>
      <w:r>
        <w:fldChar w:fldCharType="separate"/>
      </w:r>
      <w:r>
        <w:t>42</w:t>
      </w:r>
      <w:r>
        <w:fldChar w:fldCharType="end"/>
      </w:r>
      <w:r>
        <w:fldChar w:fldCharType="end"/>
      </w:r>
    </w:p>
    <w:p>
      <w:pPr>
        <w:pStyle w:val="2"/>
        <w:tabs>
          <w:tab w:val="right" w:leader="dot" w:pos="9282"/>
        </w:tabs>
      </w:pPr>
      <w:r>
        <w:fldChar w:fldCharType="begin"/>
      </w:r>
      <w:r>
        <w:instrText xml:space="preserve"> HYPERLINK \l "_Toc_4_4_0000000042" </w:instrText>
      </w:r>
      <w:r>
        <w:fldChar w:fldCharType="separate"/>
      </w:r>
      <w:r>
        <w:t>39.2026年新城镇文化站区级免费开放补助资金绩效目标表</w:t>
      </w:r>
      <w:r>
        <w:tab/>
      </w:r>
      <w:r>
        <w:fldChar w:fldCharType="begin"/>
      </w:r>
      <w:r>
        <w:instrText xml:space="preserve">PAGEREF _Toc_4_4_0000000042 \h</w:instrText>
      </w:r>
      <w:r>
        <w:fldChar w:fldCharType="separate"/>
      </w:r>
      <w:r>
        <w:t>43</w:t>
      </w:r>
      <w:r>
        <w:fldChar w:fldCharType="end"/>
      </w:r>
      <w:r>
        <w:fldChar w:fldCharType="end"/>
      </w:r>
    </w:p>
    <w:p>
      <w:pPr>
        <w:pStyle w:val="2"/>
        <w:tabs>
          <w:tab w:val="right" w:leader="dot" w:pos="9282"/>
        </w:tabs>
      </w:pPr>
      <w:r>
        <w:fldChar w:fldCharType="begin"/>
      </w:r>
      <w:r>
        <w:instrText xml:space="preserve"> HYPERLINK \l "_Toc_4_4_0000000043" </w:instrText>
      </w:r>
      <w:r>
        <w:fldChar w:fldCharType="separate"/>
      </w:r>
      <w:r>
        <w:t>40.2026年选调生到村任职工作补助区配套资金绩效目标表</w:t>
      </w:r>
      <w:r>
        <w:tab/>
      </w:r>
      <w:r>
        <w:fldChar w:fldCharType="begin"/>
      </w:r>
      <w:r>
        <w:instrText xml:space="preserve">PAGEREF _Toc_4_4_0000000043 \h</w:instrText>
      </w:r>
      <w:r>
        <w:fldChar w:fldCharType="separate"/>
      </w:r>
      <w:r>
        <w:t>44</w:t>
      </w:r>
      <w:r>
        <w:fldChar w:fldCharType="end"/>
      </w:r>
      <w:r>
        <w:fldChar w:fldCharType="end"/>
      </w:r>
    </w:p>
    <w:p>
      <w:pPr>
        <w:pStyle w:val="2"/>
        <w:tabs>
          <w:tab w:val="right" w:leader="dot" w:pos="9282"/>
        </w:tabs>
      </w:pPr>
      <w:r>
        <w:fldChar w:fldCharType="begin"/>
      </w:r>
      <w:r>
        <w:instrText xml:space="preserve"> HYPERLINK \l "_Toc_4_4_0000000044" </w:instrText>
      </w:r>
      <w:r>
        <w:fldChar w:fldCharType="separate"/>
      </w:r>
      <w:r>
        <w:t>41.天津市财政局关于提前下达2025年度选调生到村工作转移支付资金的通知（津财行政指〔2024〕94号）绩效目标表</w:t>
      </w:r>
      <w:r>
        <w:tab/>
      </w:r>
      <w:r>
        <w:fldChar w:fldCharType="begin"/>
      </w:r>
      <w:r>
        <w:instrText xml:space="preserve">PAGEREF _Toc_4_4_0000000044 \h</w:instrText>
      </w:r>
      <w:r>
        <w:fldChar w:fldCharType="separate"/>
      </w:r>
      <w:r>
        <w:t>45</w:t>
      </w:r>
      <w:r>
        <w:fldChar w:fldCharType="end"/>
      </w:r>
      <w:r>
        <w:fldChar w:fldCharType="end"/>
      </w:r>
    </w:p>
    <w:p>
      <w:pPr>
        <w:pStyle w:val="2"/>
        <w:tabs>
          <w:tab w:val="right" w:leader="dot" w:pos="9282"/>
        </w:tabs>
      </w:pPr>
      <w:r>
        <w:fldChar w:fldCharType="begin"/>
      </w:r>
      <w:r>
        <w:instrText xml:space="preserve"> HYPERLINK \l "_Toc_4_4_0000000045" </w:instrText>
      </w:r>
      <w:r>
        <w:fldChar w:fldCharType="separate"/>
      </w:r>
      <w:r>
        <w:t>42.西中环海河南端基础设施项目（2022年第5期发行）绩效目标表</w:t>
      </w:r>
      <w:r>
        <w:tab/>
      </w:r>
      <w:r>
        <w:fldChar w:fldCharType="begin"/>
      </w:r>
      <w:r>
        <w:instrText xml:space="preserve">PAGEREF _Toc_4_4_0000000045 \h</w:instrText>
      </w:r>
      <w:r>
        <w:fldChar w:fldCharType="separate"/>
      </w:r>
      <w:r>
        <w:t>46</w:t>
      </w:r>
      <w:r>
        <w:fldChar w:fldCharType="end"/>
      </w:r>
      <w:r>
        <w:fldChar w:fldCharType="end"/>
      </w:r>
    </w:p>
    <w:p>
      <w:pPr>
        <w:pStyle w:val="2"/>
        <w:tabs>
          <w:tab w:val="right" w:leader="dot" w:pos="9282"/>
        </w:tabs>
      </w:pPr>
      <w:r>
        <w:fldChar w:fldCharType="begin"/>
      </w:r>
      <w:r>
        <w:instrText xml:space="preserve"> HYPERLINK \l "_Toc_4_4_0000000046" </w:instrText>
      </w:r>
      <w:r>
        <w:fldChar w:fldCharType="separate"/>
      </w:r>
      <w:r>
        <w:t>43.新城镇-天津市财政局关于下达2025年中央支持地方公共文化服务体系建设补助资金预算的通知（津财教指[2025]21号）绩效目标表</w:t>
      </w:r>
      <w:r>
        <w:tab/>
      </w:r>
      <w:r>
        <w:fldChar w:fldCharType="begin"/>
      </w:r>
      <w:r>
        <w:instrText xml:space="preserve">PAGEREF _Toc_4_4_0000000046 \h</w:instrText>
      </w:r>
      <w:r>
        <w:fldChar w:fldCharType="separate"/>
      </w:r>
      <w:r>
        <w:t>47</w:t>
      </w:r>
      <w:r>
        <w:fldChar w:fldCharType="end"/>
      </w:r>
      <w:r>
        <w:fldChar w:fldCharType="end"/>
      </w:r>
    </w:p>
    <w:p>
      <w:pPr>
        <w:pStyle w:val="2"/>
        <w:tabs>
          <w:tab w:val="right" w:leader="dot" w:pos="9282"/>
        </w:tabs>
      </w:pPr>
      <w:r>
        <w:fldChar w:fldCharType="begin"/>
      </w:r>
      <w:r>
        <w:instrText xml:space="preserve"> HYPERLINK \l "_Toc_4_4_0000000047" </w:instrText>
      </w:r>
      <w:r>
        <w:fldChar w:fldCharType="separate"/>
      </w:r>
      <w:r>
        <w:t>44.新城镇2025年残疾人专职委员管理经费（市级残保金）（第三批）（津财社指[2025]1号）绩效目标表</w:t>
      </w:r>
      <w:r>
        <w:tab/>
      </w:r>
      <w:r>
        <w:fldChar w:fldCharType="begin"/>
      </w:r>
      <w:r>
        <w:instrText xml:space="preserve">PAGEREF _Toc_4_4_0000000047 \h</w:instrText>
      </w:r>
      <w:r>
        <w:fldChar w:fldCharType="separate"/>
      </w:r>
      <w:r>
        <w:t>48</w:t>
      </w:r>
      <w:r>
        <w:fldChar w:fldCharType="end"/>
      </w:r>
      <w:r>
        <w:fldChar w:fldCharType="end"/>
      </w:r>
    </w:p>
    <w:p>
      <w:pPr>
        <w:pStyle w:val="2"/>
        <w:tabs>
          <w:tab w:val="right" w:leader="dot" w:pos="9282"/>
        </w:tabs>
      </w:pPr>
      <w:r>
        <w:fldChar w:fldCharType="begin"/>
      </w:r>
      <w:r>
        <w:instrText xml:space="preserve"> HYPERLINK \l "_Toc_4_4_0000000048" </w:instrText>
      </w:r>
      <w:r>
        <w:fldChar w:fldCharType="separate"/>
      </w:r>
      <w:r>
        <w:t>45.新城镇2025年国有企业退休人员社会化资金（津财社指[2024]109号）绩效目标表</w:t>
      </w:r>
      <w:r>
        <w:tab/>
      </w:r>
      <w:r>
        <w:fldChar w:fldCharType="begin"/>
      </w:r>
      <w:r>
        <w:instrText xml:space="preserve">PAGEREF _Toc_4_4_0000000048 \h</w:instrText>
      </w:r>
      <w:r>
        <w:fldChar w:fldCharType="separate"/>
      </w:r>
      <w:r>
        <w:t>49</w:t>
      </w:r>
      <w:r>
        <w:fldChar w:fldCharType="end"/>
      </w:r>
      <w:r>
        <w:fldChar w:fldCharType="end"/>
      </w:r>
    </w:p>
    <w:p>
      <w:pPr>
        <w:pStyle w:val="2"/>
        <w:tabs>
          <w:tab w:val="right" w:leader="dot" w:pos="9282"/>
        </w:tabs>
      </w:pPr>
      <w:r>
        <w:fldChar w:fldCharType="begin"/>
      </w:r>
      <w:r>
        <w:instrText xml:space="preserve"> HYPERLINK \l "_Toc_4_4_0000000049" </w:instrText>
      </w:r>
      <w:r>
        <w:fldChar w:fldCharType="separate"/>
      </w:r>
      <w:r>
        <w:t>46.新城镇天津市财政局关于提前下达2025年中央支持地方公共文化服务体系建设补助资金预算的通知（津财教指【2024】125号）绩效目标表</w:t>
      </w:r>
      <w:r>
        <w:tab/>
      </w:r>
      <w:r>
        <w:fldChar w:fldCharType="begin"/>
      </w:r>
      <w:r>
        <w:instrText xml:space="preserve">PAGEREF _Toc_4_4_0000000049 \h</w:instrText>
      </w:r>
      <w:r>
        <w:fldChar w:fldCharType="separate"/>
      </w:r>
      <w:r>
        <w:t>50</w:t>
      </w:r>
      <w:r>
        <w:fldChar w:fldCharType="end"/>
      </w:r>
      <w:r>
        <w:fldChar w:fldCharType="end"/>
      </w:r>
    </w:p>
    <w:p>
      <w:pPr>
        <w:pStyle w:val="2"/>
        <w:tabs>
          <w:tab w:val="right" w:leader="dot" w:pos="9282"/>
        </w:tabs>
      </w:pPr>
      <w:r>
        <w:fldChar w:fldCharType="begin"/>
      </w:r>
      <w:r>
        <w:instrText xml:space="preserve"> HYPERLINK \l "_Toc_4_4_0000000050" </w:instrText>
      </w:r>
      <w:r>
        <w:fldChar w:fldCharType="separate"/>
      </w:r>
      <w:r>
        <w:t>47.新时代文明实践中心建设项目经费（津财教指【2025】21号）（津财教指【2024】125号）绩效目标表</w:t>
      </w:r>
      <w:r>
        <w:tab/>
      </w:r>
      <w:r>
        <w:fldChar w:fldCharType="begin"/>
      </w:r>
      <w:r>
        <w:instrText xml:space="preserve">PAGEREF _Toc_4_4_0000000050 \h</w:instrText>
      </w:r>
      <w:r>
        <w:fldChar w:fldCharType="separate"/>
      </w:r>
      <w:r>
        <w:t>51</w:t>
      </w:r>
      <w:r>
        <w:fldChar w:fldCharType="end"/>
      </w:r>
      <w:r>
        <w:fldChar w:fldCharType="end"/>
      </w:r>
    </w:p>
    <w:p>
      <w:pPr>
        <w:sectPr>
          <w:footerReference r:id="rId3" w:type="default"/>
          <w:footerReference r:id="rId4" w:type="even"/>
          <w:pgSz w:w="11900" w:h="16840"/>
          <w:pgMar w:top="1984" w:right="1304" w:bottom="1134" w:left="1304" w:header="720" w:footer="720" w:gutter="0"/>
          <w:pgNumType w:start="1"/>
          <w:cols w:space="720" w:num="1"/>
        </w:sectPr>
      </w:pPr>
      <w:r>
        <w:fldChar w:fldCharType="end"/>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第一部分</w:t>
      </w:r>
    </w:p>
    <w:p>
      <w:pPr>
        <w:spacing w:before="0" w:after="0" w:line="240" w:lineRule="auto"/>
        <w:ind w:firstLine="0"/>
        <w:jc w:val="center"/>
        <w:outlineLvl w:val="0"/>
      </w:pPr>
      <w:r>
        <w:rPr>
          <w:rFonts w:ascii="方正小标宋_GBK" w:hAnsi="方正小标宋_GBK" w:eastAsia="方正小标宋_GBK" w:cs="方正小标宋_GBK"/>
          <w:sz w:val="44"/>
        </w:rPr>
        <w:t>部门整体绩效目标</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10" w:after="10"/>
        <w:ind w:firstLine="560"/>
        <w:jc w:val="left"/>
        <w:outlineLvl w:val="1"/>
      </w:pPr>
      <w:bookmarkStart w:id="0" w:name="_Toc_2_2_0000000001"/>
      <w:r>
        <w:rPr>
          <w:rFonts w:ascii="方正黑体_GBK" w:hAnsi="方正黑体_GBK" w:eastAsia="方正黑体_GBK" w:cs="方正黑体_GBK"/>
          <w:sz w:val="28"/>
        </w:rPr>
        <w:t>一、总体绩效目标</w:t>
      </w:r>
      <w:bookmarkEnd w:id="0"/>
    </w:p>
    <w:p>
      <w:pPr>
        <w:pStyle w:val="8"/>
      </w:pPr>
    </w:p>
    <w:p>
      <w:pPr>
        <w:spacing w:before="10" w:after="10"/>
        <w:ind w:firstLine="560"/>
        <w:jc w:val="left"/>
        <w:outlineLvl w:val="1"/>
      </w:pPr>
      <w:bookmarkStart w:id="1" w:name="_Toc_2_2_0000000002"/>
      <w:r>
        <w:rPr>
          <w:rFonts w:ascii="方正黑体_GBK" w:hAnsi="方正黑体_GBK" w:eastAsia="方正黑体_GBK" w:cs="方正黑体_GBK"/>
          <w:sz w:val="28"/>
        </w:rPr>
        <w:t>二、分项绩效目标</w:t>
      </w:r>
      <w:bookmarkEnd w:id="1"/>
    </w:p>
    <w:p>
      <w:pPr>
        <w:pStyle w:val="9"/>
      </w:pPr>
    </w:p>
    <w:p>
      <w:pPr>
        <w:spacing w:before="10" w:after="10"/>
        <w:ind w:firstLine="560"/>
        <w:jc w:val="left"/>
        <w:outlineLvl w:val="1"/>
      </w:pPr>
      <w:bookmarkStart w:id="2" w:name="_Toc_2_2_0000000003"/>
      <w:r>
        <w:rPr>
          <w:rFonts w:ascii="方正黑体_GBK" w:hAnsi="方正黑体_GBK" w:eastAsia="方正黑体_GBK" w:cs="方正黑体_GBK"/>
          <w:sz w:val="28"/>
        </w:rPr>
        <w:t>三、工作保障措施</w:t>
      </w:r>
      <w:bookmarkEnd w:id="2"/>
    </w:p>
    <w:p>
      <w:pPr>
        <w:pStyle w:val="10"/>
      </w:pPr>
    </w:p>
    <w:p>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52"/>
        </w:rPr>
        <w:t xml:space="preserve"> </w:t>
      </w:r>
    </w:p>
    <w:p>
      <w:pPr>
        <w:spacing w:before="0" w:after="0" w:line="240" w:lineRule="auto"/>
        <w:ind w:firstLine="0"/>
        <w:jc w:val="center"/>
        <w:outlineLvl w:val="9"/>
      </w:pPr>
      <w:r>
        <w:rPr>
          <w:rFonts w:ascii="方正小标宋_GBK" w:hAnsi="方正小标宋_GBK" w:eastAsia="方正小标宋_GBK" w:cs="方正小标宋_GBK"/>
          <w:sz w:val="44"/>
        </w:rPr>
        <w:t>第二部分</w:t>
      </w:r>
    </w:p>
    <w:p>
      <w:pPr>
        <w:spacing w:before="0" w:after="0" w:line="240" w:lineRule="auto"/>
        <w:ind w:firstLine="0"/>
        <w:jc w:val="center"/>
        <w:outlineLvl w:val="9"/>
      </w:pPr>
      <w:r>
        <w:rPr>
          <w:rFonts w:ascii="方正小标宋_GBK" w:hAnsi="方正小标宋_GBK" w:eastAsia="方正小标宋_GBK" w:cs="方正小标宋_GBK"/>
          <w:sz w:val="44"/>
        </w:rPr>
        <w:t xml:space="preserve"> </w:t>
      </w:r>
    </w:p>
    <w:p>
      <w:pPr>
        <w:spacing w:before="0" w:after="0" w:line="240" w:lineRule="auto"/>
        <w:ind w:firstLine="0"/>
        <w:jc w:val="center"/>
        <w:outlineLvl w:val="0"/>
      </w:pPr>
      <w:r>
        <w:rPr>
          <w:rFonts w:ascii="方正小标宋_GBK" w:hAnsi="方正小标宋_GBK" w:eastAsia="方正小标宋_GBK" w:cs="方正小标宋_GBK"/>
          <w:sz w:val="44"/>
        </w:rPr>
        <w:t>预算项目绩效目标</w:t>
      </w:r>
    </w:p>
    <w:p>
      <w:pPr>
        <w:spacing w:before="0" w:after="0" w:line="240" w:lineRule="auto"/>
        <w:ind w:firstLine="0"/>
        <w:jc w:val="center"/>
        <w:outlineLvl w:val="9"/>
        <w:sectPr>
          <w:pgSz w:w="11900" w:h="16840"/>
          <w:pgMar w:top="1984" w:right="1304" w:bottom="1134" w:left="1304" w:header="720" w:footer="720" w:gutter="0"/>
          <w:cols w:space="720" w:num="1"/>
        </w:sectPr>
      </w:pPr>
      <w:r>
        <w:rPr>
          <w:rFonts w:ascii="方正书宋_GBK" w:hAnsi="方正书宋_GBK" w:eastAsia="方正书宋_GBK" w:cs="方正书宋_GBK"/>
          <w:sz w:val="21"/>
        </w:rPr>
        <w:t xml:space="preserve"> </w:t>
      </w: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 w:name="_Toc_4_4_0000000004"/>
      <w:r>
        <w:rPr>
          <w:rFonts w:ascii="方正仿宋_GBK" w:hAnsi="方正仿宋_GBK" w:eastAsia="方正仿宋_GBK" w:cs="方正仿宋_GBK"/>
          <w:sz w:val="28"/>
        </w:rPr>
        <w:t>1.2026年安全生产经费绩效目标表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2026年安全生产经费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953400.00</w:t>
            </w:r>
          </w:p>
        </w:tc>
        <w:tc>
          <w:tcPr>
            <w:tcW w:w="1587" w:type="dxa"/>
            <w:vAlign w:val="center"/>
          </w:tcPr>
          <w:p>
            <w:pPr>
              <w:pStyle w:val="14"/>
            </w:pPr>
            <w:r>
              <w:t>其中：财政    资金</w:t>
            </w:r>
          </w:p>
        </w:tc>
        <w:tc>
          <w:tcPr>
            <w:tcW w:w="1843" w:type="dxa"/>
            <w:vAlign w:val="center"/>
          </w:tcPr>
          <w:p>
            <w:pPr>
              <w:pStyle w:val="13"/>
            </w:pPr>
            <w:r>
              <w:t>953400.00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开展公共安全监管工作，维护监管秩序安全稳定。</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1.开展公共安全监管工作，维护监管秩序安全稳定。</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组织活动次数</w:t>
            </w:r>
          </w:p>
        </w:tc>
        <w:tc>
          <w:tcPr>
            <w:tcW w:w="3430" w:type="dxa"/>
            <w:vAlign w:val="center"/>
          </w:tcPr>
          <w:p>
            <w:pPr>
              <w:pStyle w:val="13"/>
            </w:pPr>
            <w:r>
              <w:t>组织活动次数</w:t>
            </w:r>
          </w:p>
        </w:tc>
        <w:tc>
          <w:tcPr>
            <w:tcW w:w="2551" w:type="dxa"/>
            <w:vAlign w:val="center"/>
          </w:tcPr>
          <w:p>
            <w:pPr>
              <w:pStyle w:val="13"/>
            </w:pPr>
            <w:r>
              <w:t>≥2次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活动保障到位率</w:t>
            </w:r>
          </w:p>
        </w:tc>
        <w:tc>
          <w:tcPr>
            <w:tcW w:w="3430" w:type="dxa"/>
            <w:vAlign w:val="center"/>
          </w:tcPr>
          <w:p>
            <w:pPr>
              <w:pStyle w:val="13"/>
            </w:pPr>
            <w:r>
              <w:t>活动保障到位率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安全保障时效</w:t>
            </w:r>
          </w:p>
        </w:tc>
        <w:tc>
          <w:tcPr>
            <w:tcW w:w="3430" w:type="dxa"/>
            <w:vAlign w:val="center"/>
          </w:tcPr>
          <w:p>
            <w:pPr>
              <w:pStyle w:val="13"/>
            </w:pPr>
            <w:r>
              <w:t>安全保障时效</w:t>
            </w:r>
          </w:p>
        </w:tc>
        <w:tc>
          <w:tcPr>
            <w:tcW w:w="2551" w:type="dxa"/>
            <w:vAlign w:val="center"/>
          </w:tcPr>
          <w:p>
            <w:pPr>
              <w:pStyle w:val="13"/>
            </w:pPr>
            <w:r>
              <w:t>2026年底前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服务费用</w:t>
            </w:r>
          </w:p>
        </w:tc>
        <w:tc>
          <w:tcPr>
            <w:tcW w:w="3430" w:type="dxa"/>
            <w:vAlign w:val="center"/>
          </w:tcPr>
          <w:p>
            <w:pPr>
              <w:pStyle w:val="13"/>
            </w:pPr>
            <w:r>
              <w:t>服务费用</w:t>
            </w:r>
          </w:p>
        </w:tc>
        <w:tc>
          <w:tcPr>
            <w:tcW w:w="2551" w:type="dxa"/>
            <w:vAlign w:val="center"/>
          </w:tcPr>
          <w:p>
            <w:pPr>
              <w:pStyle w:val="13"/>
            </w:pPr>
            <w:r>
              <w:t>≤953400元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促进监管秩序安全维稳</w:t>
            </w:r>
          </w:p>
        </w:tc>
        <w:tc>
          <w:tcPr>
            <w:tcW w:w="3430" w:type="dxa"/>
            <w:vAlign w:val="center"/>
          </w:tcPr>
          <w:p>
            <w:pPr>
              <w:pStyle w:val="13"/>
            </w:pPr>
            <w:r>
              <w:t>促进监管安全稳定</w:t>
            </w:r>
          </w:p>
        </w:tc>
        <w:tc>
          <w:tcPr>
            <w:tcW w:w="2551" w:type="dxa"/>
            <w:vAlign w:val="center"/>
          </w:tcPr>
          <w:p>
            <w:pPr>
              <w:pStyle w:val="13"/>
            </w:pPr>
            <w:r>
              <w:t>有效促进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提升公共安全水平</w:t>
            </w:r>
          </w:p>
        </w:tc>
        <w:tc>
          <w:tcPr>
            <w:tcW w:w="3430" w:type="dxa"/>
            <w:vAlign w:val="center"/>
          </w:tcPr>
          <w:p>
            <w:pPr>
              <w:pStyle w:val="13"/>
            </w:pPr>
            <w:r>
              <w:t>提升公共安全水平</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社会公共投诉率</w:t>
            </w:r>
          </w:p>
        </w:tc>
        <w:tc>
          <w:tcPr>
            <w:tcW w:w="3430" w:type="dxa"/>
            <w:vAlign w:val="center"/>
          </w:tcPr>
          <w:p>
            <w:pPr>
              <w:pStyle w:val="13"/>
            </w:pPr>
            <w:r>
              <w:t>社会公共投诉率</w:t>
            </w:r>
          </w:p>
        </w:tc>
        <w:tc>
          <w:tcPr>
            <w:tcW w:w="2551" w:type="dxa"/>
            <w:vAlign w:val="center"/>
          </w:tcPr>
          <w:p>
            <w:pPr>
              <w:pStyle w:val="13"/>
            </w:pPr>
            <w:r>
              <w:t>≤5%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 w:name="_Toc_4_4_0000000005"/>
      <w:r>
        <w:rPr>
          <w:rFonts w:ascii="方正仿宋_GBK" w:hAnsi="方正仿宋_GBK" w:eastAsia="方正仿宋_GBK" w:cs="方正仿宋_GBK"/>
          <w:sz w:val="28"/>
        </w:rPr>
        <w:t>2.2026年城市管理综合执法经费绩效目标表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2026年城市管理综合执法经费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4780000.00</w:t>
            </w:r>
          </w:p>
        </w:tc>
        <w:tc>
          <w:tcPr>
            <w:tcW w:w="1587" w:type="dxa"/>
            <w:vAlign w:val="center"/>
          </w:tcPr>
          <w:p>
            <w:pPr>
              <w:pStyle w:val="14"/>
            </w:pPr>
            <w:r>
              <w:t>其中：财政    资金</w:t>
            </w:r>
          </w:p>
        </w:tc>
        <w:tc>
          <w:tcPr>
            <w:tcW w:w="1843" w:type="dxa"/>
            <w:vAlign w:val="center"/>
          </w:tcPr>
          <w:p>
            <w:pPr>
              <w:pStyle w:val="13"/>
            </w:pPr>
            <w:r>
              <w:t>4780000.00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提升新城镇整体市容环境，保证城市管理工作的常态化、精细化与高效化。</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1.通过完成新城镇村居市容环境秩序辅助管理工作，提升新城镇整体市容环境，保证城市管理工作的常态化、精细化与高效化。</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秩序维护辅助人员数量</w:t>
            </w:r>
          </w:p>
        </w:tc>
        <w:tc>
          <w:tcPr>
            <w:tcW w:w="3430" w:type="dxa"/>
            <w:vAlign w:val="center"/>
          </w:tcPr>
          <w:p>
            <w:pPr>
              <w:pStyle w:val="13"/>
            </w:pPr>
            <w:r>
              <w:t>秩序维护辅助人员数量</w:t>
            </w:r>
          </w:p>
        </w:tc>
        <w:tc>
          <w:tcPr>
            <w:tcW w:w="2551" w:type="dxa"/>
            <w:vAlign w:val="center"/>
          </w:tcPr>
          <w:p>
            <w:pPr>
              <w:pStyle w:val="13"/>
            </w:pPr>
            <w:r>
              <w:t>≥55人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秩序辅助管理服务验收合格率</w:t>
            </w:r>
          </w:p>
        </w:tc>
        <w:tc>
          <w:tcPr>
            <w:tcW w:w="3430" w:type="dxa"/>
            <w:vAlign w:val="center"/>
          </w:tcPr>
          <w:p>
            <w:pPr>
              <w:pStyle w:val="13"/>
            </w:pPr>
            <w:r>
              <w:t>秩序辅助管理服务验收合格率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秩序辅助管理服务项目完成时间</w:t>
            </w:r>
          </w:p>
        </w:tc>
        <w:tc>
          <w:tcPr>
            <w:tcW w:w="3430" w:type="dxa"/>
            <w:vAlign w:val="center"/>
          </w:tcPr>
          <w:p>
            <w:pPr>
              <w:pStyle w:val="13"/>
            </w:pPr>
            <w:r>
              <w:t>秩序辅助管理服务项目完成时间</w:t>
            </w:r>
          </w:p>
        </w:tc>
        <w:tc>
          <w:tcPr>
            <w:tcW w:w="2551" w:type="dxa"/>
            <w:vAlign w:val="center"/>
          </w:tcPr>
          <w:p>
            <w:pPr>
              <w:pStyle w:val="13"/>
            </w:pPr>
            <w:r>
              <w:t>2026年12月31日</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城市管理综合执法工作支出</w:t>
            </w:r>
          </w:p>
        </w:tc>
        <w:tc>
          <w:tcPr>
            <w:tcW w:w="3430" w:type="dxa"/>
            <w:vAlign w:val="center"/>
          </w:tcPr>
          <w:p>
            <w:pPr>
              <w:pStyle w:val="13"/>
            </w:pPr>
            <w:r>
              <w:t>城市管理综合执法工作支出</w:t>
            </w:r>
          </w:p>
        </w:tc>
        <w:tc>
          <w:tcPr>
            <w:tcW w:w="2551" w:type="dxa"/>
            <w:vAlign w:val="center"/>
          </w:tcPr>
          <w:p>
            <w:pPr>
              <w:pStyle w:val="13"/>
            </w:pPr>
            <w:r>
              <w:t>≤478万元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人民群众幸福感、满意度显著提升</w:t>
            </w:r>
          </w:p>
        </w:tc>
        <w:tc>
          <w:tcPr>
            <w:tcW w:w="3430" w:type="dxa"/>
            <w:vAlign w:val="center"/>
          </w:tcPr>
          <w:p>
            <w:pPr>
              <w:pStyle w:val="13"/>
            </w:pPr>
            <w:r>
              <w:t>人民群众幸福感、满意度显著提升</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辖区群众满意度</w:t>
            </w:r>
          </w:p>
        </w:tc>
        <w:tc>
          <w:tcPr>
            <w:tcW w:w="3430" w:type="dxa"/>
            <w:vAlign w:val="center"/>
          </w:tcPr>
          <w:p>
            <w:pPr>
              <w:pStyle w:val="13"/>
            </w:pPr>
            <w:r>
              <w:t>辖区群众满意度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5" w:name="_Toc_4_4_0000000006"/>
      <w:r>
        <w:rPr>
          <w:rFonts w:ascii="方正仿宋_GBK" w:hAnsi="方正仿宋_GBK" w:eastAsia="方正仿宋_GBK" w:cs="方正仿宋_GBK"/>
          <w:sz w:val="28"/>
        </w:rPr>
        <w:t>3.2026年城市运维经费绩效目标表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2026年城市运维经费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7900344.00</w:t>
            </w:r>
          </w:p>
        </w:tc>
        <w:tc>
          <w:tcPr>
            <w:tcW w:w="1587" w:type="dxa"/>
            <w:vAlign w:val="center"/>
          </w:tcPr>
          <w:p>
            <w:pPr>
              <w:pStyle w:val="14"/>
            </w:pPr>
            <w:r>
              <w:t>其中：财政    资金</w:t>
            </w:r>
          </w:p>
        </w:tc>
        <w:tc>
          <w:tcPr>
            <w:tcW w:w="1843" w:type="dxa"/>
            <w:vAlign w:val="center"/>
          </w:tcPr>
          <w:p>
            <w:pPr>
              <w:pStyle w:val="13"/>
            </w:pPr>
            <w:r>
              <w:t>7900344.00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通过城市运维，使得城市各基础设施运行正常</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1.通过城市运维，使得城市各基础设施运行正常</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养护公厕个数</w:t>
            </w:r>
          </w:p>
        </w:tc>
        <w:tc>
          <w:tcPr>
            <w:tcW w:w="3430" w:type="dxa"/>
            <w:vAlign w:val="center"/>
          </w:tcPr>
          <w:p>
            <w:pPr>
              <w:pStyle w:val="13"/>
            </w:pPr>
            <w:r>
              <w:t>养护公厕个数</w:t>
            </w:r>
          </w:p>
        </w:tc>
        <w:tc>
          <w:tcPr>
            <w:tcW w:w="2551" w:type="dxa"/>
            <w:vAlign w:val="center"/>
          </w:tcPr>
          <w:p>
            <w:pPr>
              <w:pStyle w:val="13"/>
            </w:pPr>
            <w:r>
              <w:t>≥22座</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公厕养护达标率</w:t>
            </w:r>
          </w:p>
        </w:tc>
        <w:tc>
          <w:tcPr>
            <w:tcW w:w="3430" w:type="dxa"/>
            <w:vAlign w:val="center"/>
          </w:tcPr>
          <w:p>
            <w:pPr>
              <w:pStyle w:val="13"/>
            </w:pPr>
            <w:r>
              <w:t>公厕养护达标率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配套设施问题点数整改完成时间</w:t>
            </w:r>
          </w:p>
        </w:tc>
        <w:tc>
          <w:tcPr>
            <w:tcW w:w="3430" w:type="dxa"/>
            <w:vAlign w:val="center"/>
          </w:tcPr>
          <w:p>
            <w:pPr>
              <w:pStyle w:val="13"/>
            </w:pPr>
            <w:r>
              <w:t>配套设施问题点数整改完成时间</w:t>
            </w:r>
          </w:p>
        </w:tc>
        <w:tc>
          <w:tcPr>
            <w:tcW w:w="2551" w:type="dxa"/>
            <w:vAlign w:val="center"/>
          </w:tcPr>
          <w:p>
            <w:pPr>
              <w:pStyle w:val="13"/>
            </w:pPr>
            <w:r>
              <w:t>≤3月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实际使用费用</w:t>
            </w:r>
          </w:p>
        </w:tc>
        <w:tc>
          <w:tcPr>
            <w:tcW w:w="3430" w:type="dxa"/>
            <w:vAlign w:val="center"/>
          </w:tcPr>
          <w:p>
            <w:pPr>
              <w:pStyle w:val="13"/>
            </w:pPr>
            <w:r>
              <w:t>实际使用费用</w:t>
            </w:r>
          </w:p>
        </w:tc>
        <w:tc>
          <w:tcPr>
            <w:tcW w:w="2551" w:type="dxa"/>
            <w:vAlign w:val="center"/>
          </w:tcPr>
          <w:p>
            <w:pPr>
              <w:pStyle w:val="13"/>
            </w:pPr>
            <w:r>
              <w:t>≥770万元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公厕正常使用率</w:t>
            </w:r>
          </w:p>
        </w:tc>
        <w:tc>
          <w:tcPr>
            <w:tcW w:w="3430" w:type="dxa"/>
            <w:vAlign w:val="center"/>
          </w:tcPr>
          <w:p>
            <w:pPr>
              <w:pStyle w:val="13"/>
            </w:pPr>
            <w:r>
              <w:t>公厕正常使用率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社会公众投诉率</w:t>
            </w:r>
          </w:p>
        </w:tc>
        <w:tc>
          <w:tcPr>
            <w:tcW w:w="3430" w:type="dxa"/>
            <w:vAlign w:val="center"/>
          </w:tcPr>
          <w:p>
            <w:pPr>
              <w:pStyle w:val="13"/>
            </w:pPr>
            <w:r>
              <w:t>社会公众投诉率</w:t>
            </w:r>
          </w:p>
        </w:tc>
        <w:tc>
          <w:tcPr>
            <w:tcW w:w="2551" w:type="dxa"/>
            <w:vAlign w:val="center"/>
          </w:tcPr>
          <w:p>
            <w:pPr>
              <w:pStyle w:val="13"/>
            </w:pPr>
            <w:r>
              <w:t>≤5%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6" w:name="_Toc_4_4_0000000007"/>
      <w:r>
        <w:rPr>
          <w:rFonts w:ascii="方正仿宋_GBK" w:hAnsi="方正仿宋_GBK" w:eastAsia="方正仿宋_GBK" w:cs="方正仿宋_GBK"/>
          <w:sz w:val="28"/>
        </w:rPr>
        <w:t>4.2026年党建、统战工作经费绩效目标表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2026年党建、统战工作经费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1963600.00</w:t>
            </w:r>
          </w:p>
        </w:tc>
        <w:tc>
          <w:tcPr>
            <w:tcW w:w="1587" w:type="dxa"/>
            <w:vAlign w:val="center"/>
          </w:tcPr>
          <w:p>
            <w:pPr>
              <w:pStyle w:val="14"/>
            </w:pPr>
            <w:r>
              <w:t>其中：财政    资金</w:t>
            </w:r>
          </w:p>
        </w:tc>
        <w:tc>
          <w:tcPr>
            <w:tcW w:w="1843" w:type="dxa"/>
            <w:vAlign w:val="center"/>
          </w:tcPr>
          <w:p>
            <w:pPr>
              <w:pStyle w:val="13"/>
            </w:pPr>
            <w:r>
              <w:t>1963600.00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通过达成各项目标，完成年度党建重点工作。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1.通过达成各项目标，完成年度党建重点工作。</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房屋修缮、提升改造面积</w:t>
            </w:r>
          </w:p>
        </w:tc>
        <w:tc>
          <w:tcPr>
            <w:tcW w:w="3430" w:type="dxa"/>
            <w:vAlign w:val="center"/>
          </w:tcPr>
          <w:p>
            <w:pPr>
              <w:pStyle w:val="13"/>
            </w:pPr>
            <w:r>
              <w:t>房屋修缮、提升改造验面积</w:t>
            </w:r>
          </w:p>
        </w:tc>
        <w:tc>
          <w:tcPr>
            <w:tcW w:w="2551" w:type="dxa"/>
            <w:vAlign w:val="center"/>
          </w:tcPr>
          <w:p>
            <w:pPr>
              <w:pStyle w:val="13"/>
            </w:pPr>
            <w:r>
              <w:t>≥300平方米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房屋修缮提升改造验收合格率</w:t>
            </w:r>
          </w:p>
        </w:tc>
        <w:tc>
          <w:tcPr>
            <w:tcW w:w="3430" w:type="dxa"/>
            <w:vAlign w:val="center"/>
          </w:tcPr>
          <w:p>
            <w:pPr>
              <w:pStyle w:val="13"/>
            </w:pPr>
            <w:r>
              <w:t>房屋修缮提升改造验收合格率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房屋修缮提升改造完成时间</w:t>
            </w:r>
          </w:p>
        </w:tc>
        <w:tc>
          <w:tcPr>
            <w:tcW w:w="3430" w:type="dxa"/>
            <w:vAlign w:val="center"/>
          </w:tcPr>
          <w:p>
            <w:pPr>
              <w:pStyle w:val="13"/>
            </w:pPr>
            <w:r>
              <w:t>房屋修缮提升改造完成时间</w:t>
            </w:r>
          </w:p>
        </w:tc>
        <w:tc>
          <w:tcPr>
            <w:tcW w:w="2551" w:type="dxa"/>
            <w:vAlign w:val="center"/>
          </w:tcPr>
          <w:p>
            <w:pPr>
              <w:pStyle w:val="13"/>
            </w:pPr>
            <w:r>
              <w:t>2026年12月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房屋修缮、提升改造经费</w:t>
            </w:r>
          </w:p>
        </w:tc>
        <w:tc>
          <w:tcPr>
            <w:tcW w:w="3430" w:type="dxa"/>
            <w:vAlign w:val="center"/>
          </w:tcPr>
          <w:p>
            <w:pPr>
              <w:pStyle w:val="13"/>
            </w:pPr>
            <w:r>
              <w:t>房屋修缮、提升改造经费</w:t>
            </w:r>
          </w:p>
        </w:tc>
        <w:tc>
          <w:tcPr>
            <w:tcW w:w="2551" w:type="dxa"/>
            <w:vAlign w:val="center"/>
          </w:tcPr>
          <w:p>
            <w:pPr>
              <w:pStyle w:val="13"/>
            </w:pPr>
            <w:r>
              <w:t>≤1963600元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提升党建工作质量</w:t>
            </w:r>
          </w:p>
        </w:tc>
        <w:tc>
          <w:tcPr>
            <w:tcW w:w="3430" w:type="dxa"/>
            <w:vAlign w:val="center"/>
          </w:tcPr>
          <w:p>
            <w:pPr>
              <w:pStyle w:val="13"/>
            </w:pPr>
            <w:r>
              <w:t>提升党建工作质量</w:t>
            </w:r>
          </w:p>
        </w:tc>
        <w:tc>
          <w:tcPr>
            <w:tcW w:w="2551" w:type="dxa"/>
            <w:vAlign w:val="center"/>
          </w:tcPr>
          <w:p>
            <w:pPr>
              <w:pStyle w:val="13"/>
            </w:pPr>
            <w:r>
              <w:t>党建质量有效提升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辖区群众满意度</w:t>
            </w:r>
          </w:p>
        </w:tc>
        <w:tc>
          <w:tcPr>
            <w:tcW w:w="3430" w:type="dxa"/>
            <w:vAlign w:val="center"/>
          </w:tcPr>
          <w:p>
            <w:pPr>
              <w:pStyle w:val="13"/>
            </w:pPr>
            <w:r>
              <w:t>辖区群众满意度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7" w:name="_Toc_4_4_0000000008"/>
      <w:r>
        <w:rPr>
          <w:rFonts w:ascii="方正仿宋_GBK" w:hAnsi="方正仿宋_GBK" w:eastAsia="方正仿宋_GBK" w:cs="方正仿宋_GBK"/>
          <w:sz w:val="28"/>
        </w:rPr>
        <w:t>5.2026年党群服务群众经费绩效目标表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2026年党群服务群众经费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265807.53</w:t>
            </w:r>
          </w:p>
        </w:tc>
        <w:tc>
          <w:tcPr>
            <w:tcW w:w="1587" w:type="dxa"/>
            <w:vAlign w:val="center"/>
          </w:tcPr>
          <w:p>
            <w:pPr>
              <w:pStyle w:val="14"/>
            </w:pPr>
            <w:r>
              <w:t>其中：财政    资金</w:t>
            </w:r>
          </w:p>
        </w:tc>
        <w:tc>
          <w:tcPr>
            <w:tcW w:w="1843" w:type="dxa"/>
            <w:vAlign w:val="center"/>
          </w:tcPr>
          <w:p>
            <w:pPr>
              <w:pStyle w:val="13"/>
            </w:pPr>
            <w:r>
              <w:t>265807.53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通过提供公共服务，提高居民生活质量。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1.通过提供公共服务，提高居民生活质量。</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服务次数</w:t>
            </w:r>
          </w:p>
        </w:tc>
        <w:tc>
          <w:tcPr>
            <w:tcW w:w="3430" w:type="dxa"/>
            <w:vAlign w:val="center"/>
          </w:tcPr>
          <w:p>
            <w:pPr>
              <w:pStyle w:val="13"/>
            </w:pPr>
            <w:r>
              <w:t>不少于10次</w:t>
            </w:r>
          </w:p>
        </w:tc>
        <w:tc>
          <w:tcPr>
            <w:tcW w:w="2551" w:type="dxa"/>
            <w:vAlign w:val="center"/>
          </w:tcPr>
          <w:p>
            <w:pPr>
              <w:pStyle w:val="13"/>
            </w:pPr>
            <w:r>
              <w:t>≥10次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验收合格率</w:t>
            </w:r>
          </w:p>
        </w:tc>
        <w:tc>
          <w:tcPr>
            <w:tcW w:w="3430" w:type="dxa"/>
            <w:vAlign w:val="center"/>
          </w:tcPr>
          <w:p>
            <w:pPr>
              <w:pStyle w:val="13"/>
            </w:pPr>
            <w:r>
              <w:t>合格率100%</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完成时限</w:t>
            </w:r>
          </w:p>
        </w:tc>
        <w:tc>
          <w:tcPr>
            <w:tcW w:w="3430" w:type="dxa"/>
            <w:vAlign w:val="center"/>
          </w:tcPr>
          <w:p>
            <w:pPr>
              <w:pStyle w:val="13"/>
            </w:pPr>
            <w:r>
              <w:t>2026年12月31日之前按时完成</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单次成本</w:t>
            </w:r>
          </w:p>
        </w:tc>
        <w:tc>
          <w:tcPr>
            <w:tcW w:w="3430" w:type="dxa"/>
            <w:vAlign w:val="center"/>
          </w:tcPr>
          <w:p>
            <w:pPr>
              <w:pStyle w:val="13"/>
            </w:pPr>
            <w:r>
              <w:t>小于等于2.6万元</w:t>
            </w:r>
          </w:p>
        </w:tc>
        <w:tc>
          <w:tcPr>
            <w:tcW w:w="2551" w:type="dxa"/>
            <w:vAlign w:val="center"/>
          </w:tcPr>
          <w:p>
            <w:pPr>
              <w:pStyle w:val="13"/>
            </w:pPr>
            <w:r>
              <w:t>≤2.6万元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服务对象覆盖率</w:t>
            </w:r>
          </w:p>
        </w:tc>
        <w:tc>
          <w:tcPr>
            <w:tcW w:w="3430" w:type="dxa"/>
            <w:vAlign w:val="center"/>
          </w:tcPr>
          <w:p>
            <w:pPr>
              <w:pStyle w:val="13"/>
            </w:pPr>
            <w:r>
              <w:t>覆盖率大于等于90%</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群众满意率</w:t>
            </w:r>
          </w:p>
        </w:tc>
        <w:tc>
          <w:tcPr>
            <w:tcW w:w="3430" w:type="dxa"/>
            <w:vAlign w:val="center"/>
          </w:tcPr>
          <w:p>
            <w:pPr>
              <w:pStyle w:val="13"/>
            </w:pPr>
            <w:r>
              <w:t>满意率大于等于90%</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8" w:name="_Toc_4_4_0000000009"/>
      <w:r>
        <w:rPr>
          <w:rFonts w:ascii="方正仿宋_GBK" w:hAnsi="方正仿宋_GBK" w:eastAsia="方正仿宋_GBK" w:cs="方正仿宋_GBK"/>
          <w:sz w:val="28"/>
        </w:rPr>
        <w:t>6.2026年妇联工作经费绩效目标表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2026年妇联工作经费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210000.00</w:t>
            </w:r>
          </w:p>
        </w:tc>
        <w:tc>
          <w:tcPr>
            <w:tcW w:w="1587" w:type="dxa"/>
            <w:vAlign w:val="center"/>
          </w:tcPr>
          <w:p>
            <w:pPr>
              <w:pStyle w:val="14"/>
            </w:pPr>
            <w:r>
              <w:t>其中：财政    资金</w:t>
            </w:r>
          </w:p>
        </w:tc>
        <w:tc>
          <w:tcPr>
            <w:tcW w:w="1843" w:type="dxa"/>
            <w:vAlign w:val="center"/>
          </w:tcPr>
          <w:p>
            <w:pPr>
              <w:pStyle w:val="13"/>
            </w:pPr>
            <w:r>
              <w:t>210000.00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通过举办妇联活动，提升妇女幸福感。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1.目标内容1通过举办妇联活动，提升妇女幸福感。</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活动场次</w:t>
            </w:r>
          </w:p>
        </w:tc>
        <w:tc>
          <w:tcPr>
            <w:tcW w:w="3430" w:type="dxa"/>
            <w:vAlign w:val="center"/>
          </w:tcPr>
          <w:p>
            <w:pPr>
              <w:pStyle w:val="13"/>
            </w:pPr>
            <w:r>
              <w:t>举办宣传活动场次</w:t>
            </w:r>
          </w:p>
        </w:tc>
        <w:tc>
          <w:tcPr>
            <w:tcW w:w="2551" w:type="dxa"/>
            <w:vAlign w:val="center"/>
          </w:tcPr>
          <w:p>
            <w:pPr>
              <w:pStyle w:val="13"/>
            </w:pPr>
            <w:r>
              <w:t>≥2次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参与活动覆盖率</w:t>
            </w:r>
          </w:p>
        </w:tc>
        <w:tc>
          <w:tcPr>
            <w:tcW w:w="3430" w:type="dxa"/>
            <w:vAlign w:val="center"/>
          </w:tcPr>
          <w:p>
            <w:pPr>
              <w:pStyle w:val="13"/>
            </w:pPr>
            <w:r>
              <w:t>参与活动覆盖率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活动举办时间</w:t>
            </w:r>
          </w:p>
        </w:tc>
        <w:tc>
          <w:tcPr>
            <w:tcW w:w="3430" w:type="dxa"/>
            <w:vAlign w:val="center"/>
          </w:tcPr>
          <w:p>
            <w:pPr>
              <w:pStyle w:val="13"/>
            </w:pPr>
            <w:r>
              <w:t>活动举办时间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平均每场活动支出</w:t>
            </w:r>
          </w:p>
        </w:tc>
        <w:tc>
          <w:tcPr>
            <w:tcW w:w="3430" w:type="dxa"/>
            <w:vAlign w:val="center"/>
          </w:tcPr>
          <w:p>
            <w:pPr>
              <w:pStyle w:val="13"/>
            </w:pPr>
            <w:r>
              <w:t>平均每场活动支出</w:t>
            </w:r>
          </w:p>
        </w:tc>
        <w:tc>
          <w:tcPr>
            <w:tcW w:w="2551" w:type="dxa"/>
            <w:vAlign w:val="center"/>
          </w:tcPr>
          <w:p>
            <w:pPr>
              <w:pStyle w:val="13"/>
            </w:pPr>
            <w:r>
              <w:t>≤105000元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提高妇女职工幸福感</w:t>
            </w:r>
          </w:p>
        </w:tc>
        <w:tc>
          <w:tcPr>
            <w:tcW w:w="3430" w:type="dxa"/>
            <w:vAlign w:val="center"/>
          </w:tcPr>
          <w:p>
            <w:pPr>
              <w:pStyle w:val="13"/>
            </w:pPr>
            <w:r>
              <w:t>提高妇女职工幸福感</w:t>
            </w:r>
          </w:p>
        </w:tc>
        <w:tc>
          <w:tcPr>
            <w:tcW w:w="2551" w:type="dxa"/>
            <w:vAlign w:val="center"/>
          </w:tcPr>
          <w:p>
            <w:pPr>
              <w:pStyle w:val="13"/>
            </w:pPr>
            <w:r>
              <w:t>提高妇女职工幸福感</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妇女职工满意情况</w:t>
            </w:r>
          </w:p>
        </w:tc>
        <w:tc>
          <w:tcPr>
            <w:tcW w:w="3430" w:type="dxa"/>
            <w:vAlign w:val="center"/>
          </w:tcPr>
          <w:p>
            <w:pPr>
              <w:pStyle w:val="13"/>
            </w:pPr>
            <w:r>
              <w:t>妇女职工满意度</w:t>
            </w:r>
          </w:p>
        </w:tc>
        <w:tc>
          <w:tcPr>
            <w:tcW w:w="2551" w:type="dxa"/>
            <w:vAlign w:val="center"/>
          </w:tcPr>
          <w:p>
            <w:pPr>
              <w:pStyle w:val="13"/>
            </w:pPr>
            <w:r>
              <w:t>≥99%</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9" w:name="_Toc_4_4_0000000010"/>
      <w:r>
        <w:rPr>
          <w:rFonts w:ascii="方正仿宋_GBK" w:hAnsi="方正仿宋_GBK" w:eastAsia="方正仿宋_GBK" w:cs="方正仿宋_GBK"/>
          <w:sz w:val="28"/>
        </w:rPr>
        <w:t>7.2026年公共服务工作经费绩效目标表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2026年公共服务工作经费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2797520.00</w:t>
            </w:r>
          </w:p>
        </w:tc>
        <w:tc>
          <w:tcPr>
            <w:tcW w:w="1587" w:type="dxa"/>
            <w:vAlign w:val="center"/>
          </w:tcPr>
          <w:p>
            <w:pPr>
              <w:pStyle w:val="14"/>
            </w:pPr>
            <w:r>
              <w:t>其中：财政    资金</w:t>
            </w:r>
          </w:p>
        </w:tc>
        <w:tc>
          <w:tcPr>
            <w:tcW w:w="1843" w:type="dxa"/>
            <w:vAlign w:val="center"/>
          </w:tcPr>
          <w:p>
            <w:pPr>
              <w:pStyle w:val="13"/>
            </w:pPr>
            <w:r>
              <w:t>2797520.00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通过发放各类民生保障资金，保障各类困难群体基本生活。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1.通过发放各类民生保障资金，保障各类困难群体基本生活。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发放补贴数量</w:t>
            </w:r>
          </w:p>
        </w:tc>
        <w:tc>
          <w:tcPr>
            <w:tcW w:w="3430" w:type="dxa"/>
            <w:vAlign w:val="center"/>
          </w:tcPr>
          <w:p>
            <w:pPr>
              <w:pStyle w:val="13"/>
            </w:pPr>
            <w:r>
              <w:t>发放补贴数量</w:t>
            </w:r>
          </w:p>
        </w:tc>
        <w:tc>
          <w:tcPr>
            <w:tcW w:w="2551" w:type="dxa"/>
            <w:vAlign w:val="center"/>
          </w:tcPr>
          <w:p>
            <w:pPr>
              <w:pStyle w:val="13"/>
            </w:pPr>
            <w:r>
              <w:t>≥10人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补贴发放合规率</w:t>
            </w:r>
          </w:p>
        </w:tc>
        <w:tc>
          <w:tcPr>
            <w:tcW w:w="3430" w:type="dxa"/>
            <w:vAlign w:val="center"/>
          </w:tcPr>
          <w:p>
            <w:pPr>
              <w:pStyle w:val="13"/>
            </w:pPr>
            <w:r>
              <w:t>补贴发放合规率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发放补贴完成时间</w:t>
            </w:r>
          </w:p>
        </w:tc>
        <w:tc>
          <w:tcPr>
            <w:tcW w:w="3430" w:type="dxa"/>
            <w:vAlign w:val="center"/>
          </w:tcPr>
          <w:p>
            <w:pPr>
              <w:pStyle w:val="13"/>
            </w:pPr>
            <w:r>
              <w:t>发放补贴完成时间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民生保障费用</w:t>
            </w:r>
          </w:p>
        </w:tc>
        <w:tc>
          <w:tcPr>
            <w:tcW w:w="3430" w:type="dxa"/>
            <w:vAlign w:val="center"/>
          </w:tcPr>
          <w:p>
            <w:pPr>
              <w:pStyle w:val="13"/>
            </w:pPr>
            <w:r>
              <w:t>民生保障费用</w:t>
            </w:r>
          </w:p>
        </w:tc>
        <w:tc>
          <w:tcPr>
            <w:tcW w:w="2551" w:type="dxa"/>
            <w:vAlign w:val="center"/>
          </w:tcPr>
          <w:p>
            <w:pPr>
              <w:pStyle w:val="13"/>
            </w:pPr>
            <w:r>
              <w:t>≤279.75万元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提升基本公共服务水平</w:t>
            </w:r>
          </w:p>
        </w:tc>
        <w:tc>
          <w:tcPr>
            <w:tcW w:w="3430" w:type="dxa"/>
            <w:vAlign w:val="center"/>
          </w:tcPr>
          <w:p>
            <w:pPr>
              <w:pStyle w:val="13"/>
            </w:pPr>
            <w:r>
              <w:t>提升基本公共服务水平</w:t>
            </w:r>
          </w:p>
        </w:tc>
        <w:tc>
          <w:tcPr>
            <w:tcW w:w="2551" w:type="dxa"/>
            <w:vAlign w:val="center"/>
          </w:tcPr>
          <w:p>
            <w:pPr>
              <w:pStyle w:val="13"/>
            </w:pPr>
            <w:r>
              <w:t>持续提升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群众满意率</w:t>
            </w:r>
          </w:p>
        </w:tc>
        <w:tc>
          <w:tcPr>
            <w:tcW w:w="3430" w:type="dxa"/>
            <w:vAlign w:val="center"/>
          </w:tcPr>
          <w:p>
            <w:pPr>
              <w:pStyle w:val="13"/>
            </w:pPr>
            <w:r>
              <w:t>群众满意率</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0" w:name="_Toc_4_4_0000000011"/>
      <w:r>
        <w:rPr>
          <w:rFonts w:ascii="方正仿宋_GBK" w:hAnsi="方正仿宋_GBK" w:eastAsia="方正仿宋_GBK" w:cs="方正仿宋_GBK"/>
          <w:sz w:val="28"/>
        </w:rPr>
        <w:t>8.2026年公共建设工作经费绩效目标表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2026年公共建设工作经费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1238000.00</w:t>
            </w:r>
          </w:p>
        </w:tc>
        <w:tc>
          <w:tcPr>
            <w:tcW w:w="1587" w:type="dxa"/>
            <w:vAlign w:val="center"/>
          </w:tcPr>
          <w:p>
            <w:pPr>
              <w:pStyle w:val="14"/>
            </w:pPr>
            <w:r>
              <w:t>其中：财政    资金</w:t>
            </w:r>
          </w:p>
        </w:tc>
        <w:tc>
          <w:tcPr>
            <w:tcW w:w="1843" w:type="dxa"/>
            <w:vAlign w:val="center"/>
          </w:tcPr>
          <w:p>
            <w:pPr>
              <w:pStyle w:val="13"/>
            </w:pPr>
            <w:r>
              <w:t>1238000.00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通过公共建设办项目，改善居民需求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1.通过公共建设办项目，改善居民需求</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公共建设办项目产品数量</w:t>
            </w:r>
          </w:p>
        </w:tc>
        <w:tc>
          <w:tcPr>
            <w:tcW w:w="3430" w:type="dxa"/>
            <w:vAlign w:val="center"/>
          </w:tcPr>
          <w:p>
            <w:pPr>
              <w:pStyle w:val="13"/>
            </w:pPr>
            <w:r>
              <w:t>公共建设办项目产品数量</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设计功能实现率</w:t>
            </w:r>
          </w:p>
        </w:tc>
        <w:tc>
          <w:tcPr>
            <w:tcW w:w="3430" w:type="dxa"/>
            <w:vAlign w:val="center"/>
          </w:tcPr>
          <w:p>
            <w:pPr>
              <w:pStyle w:val="13"/>
            </w:pPr>
            <w:r>
              <w:t>设计功能实现率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公共建设办项目完工时效</w:t>
            </w:r>
          </w:p>
        </w:tc>
        <w:tc>
          <w:tcPr>
            <w:tcW w:w="3430" w:type="dxa"/>
            <w:vAlign w:val="center"/>
          </w:tcPr>
          <w:p>
            <w:pPr>
              <w:pStyle w:val="13"/>
            </w:pPr>
            <w:r>
              <w:t>公共建设办项目完工时效</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公共建设办项目金额</w:t>
            </w:r>
          </w:p>
        </w:tc>
        <w:tc>
          <w:tcPr>
            <w:tcW w:w="3430" w:type="dxa"/>
            <w:vAlign w:val="center"/>
          </w:tcPr>
          <w:p>
            <w:pPr>
              <w:pStyle w:val="13"/>
            </w:pPr>
            <w:r>
              <w:t>公共建设办项目金额</w:t>
            </w:r>
          </w:p>
        </w:tc>
        <w:tc>
          <w:tcPr>
            <w:tcW w:w="2551" w:type="dxa"/>
            <w:vAlign w:val="center"/>
          </w:tcPr>
          <w:p>
            <w:pPr>
              <w:pStyle w:val="13"/>
            </w:pPr>
            <w:r>
              <w:t>≤1238000元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人民群众幸福感、满意度显著提升</w:t>
            </w:r>
          </w:p>
        </w:tc>
        <w:tc>
          <w:tcPr>
            <w:tcW w:w="3430" w:type="dxa"/>
            <w:vAlign w:val="center"/>
          </w:tcPr>
          <w:p>
            <w:pPr>
              <w:pStyle w:val="13"/>
            </w:pPr>
            <w:r>
              <w:t>人民群众幸福感、满意度显著提升</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1" w:name="_Toc_4_4_0000000012"/>
      <w:r>
        <w:rPr>
          <w:rFonts w:ascii="方正仿宋_GBK" w:hAnsi="方正仿宋_GBK" w:eastAsia="方正仿宋_GBK" w:cs="方正仿宋_GBK"/>
          <w:sz w:val="28"/>
        </w:rPr>
        <w:t>9.2026年环境治理经费绩效目标表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2026年环境治理经费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3870000.00</w:t>
            </w:r>
          </w:p>
        </w:tc>
        <w:tc>
          <w:tcPr>
            <w:tcW w:w="1587" w:type="dxa"/>
            <w:vAlign w:val="center"/>
          </w:tcPr>
          <w:p>
            <w:pPr>
              <w:pStyle w:val="14"/>
            </w:pPr>
            <w:r>
              <w:t>其中：财政    资金</w:t>
            </w:r>
          </w:p>
        </w:tc>
        <w:tc>
          <w:tcPr>
            <w:tcW w:w="1843" w:type="dxa"/>
            <w:vAlign w:val="center"/>
          </w:tcPr>
          <w:p>
            <w:pPr>
              <w:pStyle w:val="13"/>
            </w:pPr>
            <w:r>
              <w:t>3870000.00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通过环境治理工作，使得镇域环境越来越好</w:t>
            </w:r>
            <w:r>
              <w:tab/>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1.通过开展环境治理工作，维护村域垃圾桶，对村域道路进行清扫保洁，使提高环境卫生水平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村域垃圾桶设置数量</w:t>
            </w:r>
          </w:p>
        </w:tc>
        <w:tc>
          <w:tcPr>
            <w:tcW w:w="3430" w:type="dxa"/>
            <w:vAlign w:val="center"/>
          </w:tcPr>
          <w:p>
            <w:pPr>
              <w:pStyle w:val="13"/>
            </w:pPr>
            <w:r>
              <w:t>村域垃圾桶设置数量</w:t>
            </w:r>
          </w:p>
        </w:tc>
        <w:tc>
          <w:tcPr>
            <w:tcW w:w="2551" w:type="dxa"/>
            <w:vAlign w:val="center"/>
          </w:tcPr>
          <w:p>
            <w:pPr>
              <w:pStyle w:val="13"/>
            </w:pPr>
            <w:r>
              <w:t>≥400个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村域环境整洁率</w:t>
            </w:r>
          </w:p>
        </w:tc>
        <w:tc>
          <w:tcPr>
            <w:tcW w:w="3430" w:type="dxa"/>
            <w:vAlign w:val="center"/>
          </w:tcPr>
          <w:p>
            <w:pPr>
              <w:pStyle w:val="13"/>
            </w:pPr>
            <w:r>
              <w:t>村域环境整洁率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村域道路清扫保洁频次</w:t>
            </w:r>
          </w:p>
        </w:tc>
        <w:tc>
          <w:tcPr>
            <w:tcW w:w="3430" w:type="dxa"/>
            <w:vAlign w:val="center"/>
          </w:tcPr>
          <w:p>
            <w:pPr>
              <w:pStyle w:val="13"/>
            </w:pPr>
            <w:r>
              <w:t>村域道路清扫保洁频次</w:t>
            </w:r>
          </w:p>
        </w:tc>
        <w:tc>
          <w:tcPr>
            <w:tcW w:w="2551" w:type="dxa"/>
            <w:vAlign w:val="center"/>
          </w:tcPr>
          <w:p>
            <w:pPr>
              <w:pStyle w:val="13"/>
            </w:pPr>
            <w:r>
              <w:t>≥3次/周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环境治理实际使用经费</w:t>
            </w:r>
          </w:p>
        </w:tc>
        <w:tc>
          <w:tcPr>
            <w:tcW w:w="3430" w:type="dxa"/>
            <w:vAlign w:val="center"/>
          </w:tcPr>
          <w:p>
            <w:pPr>
              <w:pStyle w:val="13"/>
            </w:pPr>
            <w:r>
              <w:t>环境治理实际使用经费</w:t>
            </w:r>
          </w:p>
        </w:tc>
        <w:tc>
          <w:tcPr>
            <w:tcW w:w="2551" w:type="dxa"/>
            <w:vAlign w:val="center"/>
          </w:tcPr>
          <w:p>
            <w:pPr>
              <w:pStyle w:val="13"/>
            </w:pPr>
            <w:r>
              <w:t>≤387万元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保障镇域环境卫生水平</w:t>
            </w:r>
          </w:p>
        </w:tc>
        <w:tc>
          <w:tcPr>
            <w:tcW w:w="3430" w:type="dxa"/>
            <w:vAlign w:val="center"/>
          </w:tcPr>
          <w:p>
            <w:pPr>
              <w:pStyle w:val="13"/>
            </w:pPr>
            <w:r>
              <w:t>保障镇域环境卫生水平</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社会公众投诉率</w:t>
            </w:r>
          </w:p>
        </w:tc>
        <w:tc>
          <w:tcPr>
            <w:tcW w:w="3430" w:type="dxa"/>
            <w:vAlign w:val="center"/>
          </w:tcPr>
          <w:p>
            <w:pPr>
              <w:pStyle w:val="13"/>
            </w:pPr>
            <w:r>
              <w:t>社会公众投诉率</w:t>
            </w:r>
          </w:p>
        </w:tc>
        <w:tc>
          <w:tcPr>
            <w:tcW w:w="2551" w:type="dxa"/>
            <w:vAlign w:val="center"/>
          </w:tcPr>
          <w:p>
            <w:pPr>
              <w:pStyle w:val="13"/>
            </w:pPr>
            <w:r>
              <w:t>≤5%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2" w:name="_Toc_4_4_0000000013"/>
      <w:r>
        <w:rPr>
          <w:rFonts w:ascii="方正仿宋_GBK" w:hAnsi="方正仿宋_GBK" w:eastAsia="方正仿宋_GBK" w:cs="方正仿宋_GBK"/>
          <w:sz w:val="28"/>
        </w:rPr>
        <w:t>10.2026年基层人民武装建设管理经费绩效目标表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2026年基层人民武装建设管理经费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230000.00</w:t>
            </w:r>
          </w:p>
        </w:tc>
        <w:tc>
          <w:tcPr>
            <w:tcW w:w="1587" w:type="dxa"/>
            <w:vAlign w:val="center"/>
          </w:tcPr>
          <w:p>
            <w:pPr>
              <w:pStyle w:val="14"/>
            </w:pPr>
            <w:r>
              <w:t>其中：财政    资金</w:t>
            </w:r>
          </w:p>
        </w:tc>
        <w:tc>
          <w:tcPr>
            <w:tcW w:w="1843" w:type="dxa"/>
            <w:vAlign w:val="center"/>
          </w:tcPr>
          <w:p>
            <w:pPr>
              <w:pStyle w:val="13"/>
            </w:pPr>
            <w:r>
              <w:t>230000.00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通过开展武装部宣传慰问、训练、提升改造等工作提高武装部建设水平。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1.通过开展武装部宣传慰问、训练、提升改造等工作提高武装部建设水平。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武装部改造面积</w:t>
            </w:r>
          </w:p>
        </w:tc>
        <w:tc>
          <w:tcPr>
            <w:tcW w:w="3430" w:type="dxa"/>
            <w:vAlign w:val="center"/>
          </w:tcPr>
          <w:p>
            <w:pPr>
              <w:pStyle w:val="13"/>
            </w:pPr>
            <w:r>
              <w:t>武装部改造面积</w:t>
            </w:r>
          </w:p>
        </w:tc>
        <w:tc>
          <w:tcPr>
            <w:tcW w:w="2551" w:type="dxa"/>
            <w:vAlign w:val="center"/>
          </w:tcPr>
          <w:p>
            <w:pPr>
              <w:pStyle w:val="13"/>
            </w:pPr>
            <w:r>
              <w:t>&gt;300平米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改造工程验收合格率</w:t>
            </w:r>
          </w:p>
        </w:tc>
        <w:tc>
          <w:tcPr>
            <w:tcW w:w="3430" w:type="dxa"/>
            <w:vAlign w:val="center"/>
          </w:tcPr>
          <w:p>
            <w:pPr>
              <w:pStyle w:val="13"/>
            </w:pPr>
            <w:r>
              <w:t>改造工程验收合格率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三室一库建设完成时间</w:t>
            </w:r>
          </w:p>
        </w:tc>
        <w:tc>
          <w:tcPr>
            <w:tcW w:w="3430" w:type="dxa"/>
            <w:vAlign w:val="center"/>
          </w:tcPr>
          <w:p>
            <w:pPr>
              <w:pStyle w:val="13"/>
            </w:pPr>
            <w:r>
              <w:t>三室一库建设完成时间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维修单位成本</w:t>
            </w:r>
          </w:p>
        </w:tc>
        <w:tc>
          <w:tcPr>
            <w:tcW w:w="3430" w:type="dxa"/>
            <w:vAlign w:val="center"/>
          </w:tcPr>
          <w:p>
            <w:pPr>
              <w:pStyle w:val="13"/>
            </w:pPr>
            <w:r>
              <w:t>维修单位成本</w:t>
            </w:r>
          </w:p>
        </w:tc>
        <w:tc>
          <w:tcPr>
            <w:tcW w:w="2551" w:type="dxa"/>
            <w:vAlign w:val="center"/>
          </w:tcPr>
          <w:p>
            <w:pPr>
              <w:pStyle w:val="13"/>
            </w:pPr>
            <w:r>
              <w:t>≤230000元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有效提升武装部建设水平</w:t>
            </w:r>
          </w:p>
        </w:tc>
        <w:tc>
          <w:tcPr>
            <w:tcW w:w="3430" w:type="dxa"/>
            <w:vAlign w:val="center"/>
          </w:tcPr>
          <w:p>
            <w:pPr>
              <w:pStyle w:val="13"/>
            </w:pPr>
            <w:r>
              <w:t>有效提升武装部建设水平</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3" w:name="_Toc_4_4_0000000014"/>
      <w:r>
        <w:rPr>
          <w:rFonts w:ascii="方正仿宋_GBK" w:hAnsi="方正仿宋_GBK" w:eastAsia="方正仿宋_GBK" w:cs="方正仿宋_GBK"/>
          <w:sz w:val="28"/>
        </w:rPr>
        <w:t>11.2026年经济发展经费绩效目标表</w:t>
      </w:r>
      <w:bookmarkEnd w:id="1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2026年经济发展经费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700000.00</w:t>
            </w:r>
          </w:p>
        </w:tc>
        <w:tc>
          <w:tcPr>
            <w:tcW w:w="1587" w:type="dxa"/>
            <w:vAlign w:val="center"/>
          </w:tcPr>
          <w:p>
            <w:pPr>
              <w:pStyle w:val="14"/>
            </w:pPr>
            <w:r>
              <w:t>其中：财政    资金</w:t>
            </w:r>
          </w:p>
        </w:tc>
        <w:tc>
          <w:tcPr>
            <w:tcW w:w="1843" w:type="dxa"/>
            <w:vAlign w:val="center"/>
          </w:tcPr>
          <w:p>
            <w:pPr>
              <w:pStyle w:val="13"/>
            </w:pPr>
            <w:r>
              <w:t>700000.00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通过实施经济发展项目，促进经济指标持续增长。</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1.通过实施经济发展项目，促进经济指标持续增长。</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第四次农普经济普查项目</w:t>
            </w:r>
          </w:p>
        </w:tc>
        <w:tc>
          <w:tcPr>
            <w:tcW w:w="3430" w:type="dxa"/>
            <w:vAlign w:val="center"/>
          </w:tcPr>
          <w:p>
            <w:pPr>
              <w:pStyle w:val="13"/>
            </w:pPr>
            <w:r>
              <w:t>第四次农普经济普查项目</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第四次农普入户调查完成数量</w:t>
            </w:r>
          </w:p>
        </w:tc>
        <w:tc>
          <w:tcPr>
            <w:tcW w:w="3430" w:type="dxa"/>
            <w:vAlign w:val="center"/>
          </w:tcPr>
          <w:p>
            <w:pPr>
              <w:pStyle w:val="13"/>
            </w:pPr>
            <w:r>
              <w:t>第四次农普入户调查完成数量</w:t>
            </w:r>
          </w:p>
        </w:tc>
        <w:tc>
          <w:tcPr>
            <w:tcW w:w="2551" w:type="dxa"/>
            <w:vAlign w:val="center"/>
          </w:tcPr>
          <w:p>
            <w:pPr>
              <w:pStyle w:val="13"/>
            </w:pPr>
            <w:r>
              <w:t>≥3000户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第四次农普入户调查数据准确率</w:t>
            </w:r>
          </w:p>
        </w:tc>
        <w:tc>
          <w:tcPr>
            <w:tcW w:w="3430" w:type="dxa"/>
            <w:vAlign w:val="center"/>
          </w:tcPr>
          <w:p>
            <w:pPr>
              <w:pStyle w:val="13"/>
            </w:pPr>
            <w:r>
              <w:t>第四次农普入户调查数据准确率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经济发展项目完成时间</w:t>
            </w:r>
          </w:p>
        </w:tc>
        <w:tc>
          <w:tcPr>
            <w:tcW w:w="3430" w:type="dxa"/>
            <w:vAlign w:val="center"/>
          </w:tcPr>
          <w:p>
            <w:pPr>
              <w:pStyle w:val="13"/>
            </w:pPr>
            <w:r>
              <w:t>经济发展项目完成时间</w:t>
            </w:r>
          </w:p>
        </w:tc>
        <w:tc>
          <w:tcPr>
            <w:tcW w:w="2551" w:type="dxa"/>
            <w:vAlign w:val="center"/>
          </w:tcPr>
          <w:p>
            <w:pPr>
              <w:pStyle w:val="13"/>
            </w:pPr>
            <w:r>
              <w:t>2026年底前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经济发展项目金经费</w:t>
            </w:r>
          </w:p>
        </w:tc>
        <w:tc>
          <w:tcPr>
            <w:tcW w:w="3430" w:type="dxa"/>
            <w:vAlign w:val="center"/>
          </w:tcPr>
          <w:p>
            <w:pPr>
              <w:pStyle w:val="13"/>
            </w:pPr>
            <w:r>
              <w:t>经济发展项目经费</w:t>
            </w:r>
          </w:p>
        </w:tc>
        <w:tc>
          <w:tcPr>
            <w:tcW w:w="2551" w:type="dxa"/>
            <w:vAlign w:val="center"/>
          </w:tcPr>
          <w:p>
            <w:pPr>
              <w:pStyle w:val="13"/>
            </w:pPr>
            <w:r>
              <w:t>≤70万元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提升经济发展工作质量</w:t>
            </w:r>
          </w:p>
        </w:tc>
        <w:tc>
          <w:tcPr>
            <w:tcW w:w="3430" w:type="dxa"/>
            <w:vAlign w:val="center"/>
          </w:tcPr>
          <w:p>
            <w:pPr>
              <w:pStyle w:val="13"/>
            </w:pPr>
            <w:r>
              <w:t>提升经济发展工作质量</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企业满意度</w:t>
            </w:r>
          </w:p>
        </w:tc>
        <w:tc>
          <w:tcPr>
            <w:tcW w:w="3430" w:type="dxa"/>
            <w:vAlign w:val="center"/>
          </w:tcPr>
          <w:p>
            <w:pPr>
              <w:pStyle w:val="13"/>
            </w:pPr>
            <w:r>
              <w:t>企业满意度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4" w:name="_Toc_4_4_0000000015"/>
      <w:r>
        <w:rPr>
          <w:rFonts w:ascii="方正仿宋_GBK" w:hAnsi="方正仿宋_GBK" w:eastAsia="方正仿宋_GBK" w:cs="方正仿宋_GBK"/>
          <w:sz w:val="28"/>
        </w:rPr>
        <w:t>12.2026年农村城市化工作经费绩效目标表</w:t>
      </w:r>
      <w:bookmarkEnd w:id="1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2026年农村城市化工作经费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35838.57</w:t>
            </w:r>
          </w:p>
        </w:tc>
        <w:tc>
          <w:tcPr>
            <w:tcW w:w="1587" w:type="dxa"/>
            <w:vAlign w:val="center"/>
          </w:tcPr>
          <w:p>
            <w:pPr>
              <w:pStyle w:val="14"/>
            </w:pPr>
            <w:r>
              <w:t>其中：财政    资金</w:t>
            </w:r>
          </w:p>
        </w:tc>
        <w:tc>
          <w:tcPr>
            <w:tcW w:w="1843" w:type="dxa"/>
            <w:vAlign w:val="center"/>
          </w:tcPr>
          <w:p>
            <w:pPr>
              <w:pStyle w:val="13"/>
            </w:pPr>
            <w:r>
              <w:t>35838.57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通过公共建设办项目，改善居民环境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1.开展房屋修缮工作，达到改善居民生活环境的效益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拆迁户数及修缮房屋户数</w:t>
            </w:r>
          </w:p>
        </w:tc>
        <w:tc>
          <w:tcPr>
            <w:tcW w:w="3430" w:type="dxa"/>
            <w:vAlign w:val="center"/>
          </w:tcPr>
          <w:p>
            <w:pPr>
              <w:pStyle w:val="13"/>
            </w:pPr>
            <w:r>
              <w:t>拆迁户数及修缮房屋户数</w:t>
            </w:r>
          </w:p>
        </w:tc>
        <w:tc>
          <w:tcPr>
            <w:tcW w:w="2551" w:type="dxa"/>
            <w:vAlign w:val="center"/>
          </w:tcPr>
          <w:p>
            <w:pPr>
              <w:pStyle w:val="13"/>
            </w:pPr>
            <w:r>
              <w:t>≥50户</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房屋修缮合格率</w:t>
            </w:r>
          </w:p>
        </w:tc>
        <w:tc>
          <w:tcPr>
            <w:tcW w:w="3430" w:type="dxa"/>
            <w:vAlign w:val="center"/>
          </w:tcPr>
          <w:p>
            <w:pPr>
              <w:pStyle w:val="13"/>
            </w:pPr>
            <w:r>
              <w:t>房屋修缮合格率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修缮完工时间</w:t>
            </w:r>
          </w:p>
        </w:tc>
        <w:tc>
          <w:tcPr>
            <w:tcW w:w="3430" w:type="dxa"/>
            <w:vAlign w:val="center"/>
          </w:tcPr>
          <w:p>
            <w:pPr>
              <w:pStyle w:val="13"/>
            </w:pPr>
            <w:r>
              <w:t>修缮完工时间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房屋修缮项目工作资金</w:t>
            </w:r>
          </w:p>
        </w:tc>
        <w:tc>
          <w:tcPr>
            <w:tcW w:w="3430" w:type="dxa"/>
            <w:vAlign w:val="center"/>
          </w:tcPr>
          <w:p>
            <w:pPr>
              <w:pStyle w:val="13"/>
            </w:pPr>
            <w:r>
              <w:t>房屋修缮项目工作指标</w:t>
            </w:r>
          </w:p>
        </w:tc>
        <w:tc>
          <w:tcPr>
            <w:tcW w:w="2551" w:type="dxa"/>
            <w:vAlign w:val="center"/>
          </w:tcPr>
          <w:p>
            <w:pPr>
              <w:pStyle w:val="13"/>
            </w:pPr>
            <w:r>
              <w:t>≤35838.57元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房屋安全率</w:t>
            </w:r>
          </w:p>
        </w:tc>
        <w:tc>
          <w:tcPr>
            <w:tcW w:w="3430" w:type="dxa"/>
            <w:vAlign w:val="center"/>
          </w:tcPr>
          <w:p>
            <w:pPr>
              <w:pStyle w:val="13"/>
            </w:pPr>
            <w:r>
              <w:t>房屋安全率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房屋修缮家庭满意度</w:t>
            </w:r>
          </w:p>
        </w:tc>
        <w:tc>
          <w:tcPr>
            <w:tcW w:w="3430" w:type="dxa"/>
            <w:vAlign w:val="center"/>
          </w:tcPr>
          <w:p>
            <w:pPr>
              <w:pStyle w:val="13"/>
            </w:pPr>
            <w:r>
              <w:t>房屋修缮家庭满意度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5" w:name="_Toc_4_4_0000000016"/>
      <w:r>
        <w:rPr>
          <w:rFonts w:ascii="方正仿宋_GBK" w:hAnsi="方正仿宋_GBK" w:eastAsia="方正仿宋_GBK" w:cs="方正仿宋_GBK"/>
          <w:sz w:val="28"/>
        </w:rPr>
        <w:t>13.2026年农业生产发展工作经费绩效目标表</w:t>
      </w:r>
      <w:bookmarkEnd w:id="1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2026年农业生产发展工作经费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710000.00</w:t>
            </w:r>
          </w:p>
        </w:tc>
        <w:tc>
          <w:tcPr>
            <w:tcW w:w="1587" w:type="dxa"/>
            <w:vAlign w:val="center"/>
          </w:tcPr>
          <w:p>
            <w:pPr>
              <w:pStyle w:val="14"/>
            </w:pPr>
            <w:r>
              <w:t>其中：财政    资金</w:t>
            </w:r>
          </w:p>
        </w:tc>
        <w:tc>
          <w:tcPr>
            <w:tcW w:w="1843" w:type="dxa"/>
            <w:vAlign w:val="center"/>
          </w:tcPr>
          <w:p>
            <w:pPr>
              <w:pStyle w:val="13"/>
            </w:pPr>
            <w:r>
              <w:t>710000.00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通过开展农业宣传推介、农业生产条件提升工作，有效提升农业生产能力，推进农业发展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1.通过开展农业宣传推介、农业生产条件提升工作，有效提升农业生产能力，推进农业发展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政策宣讲次数</w:t>
            </w:r>
          </w:p>
        </w:tc>
        <w:tc>
          <w:tcPr>
            <w:tcW w:w="3430" w:type="dxa"/>
            <w:vAlign w:val="center"/>
          </w:tcPr>
          <w:p>
            <w:pPr>
              <w:pStyle w:val="13"/>
            </w:pPr>
            <w:r>
              <w:t>政策宣讲次数</w:t>
            </w:r>
          </w:p>
        </w:tc>
        <w:tc>
          <w:tcPr>
            <w:tcW w:w="2551" w:type="dxa"/>
            <w:vAlign w:val="center"/>
          </w:tcPr>
          <w:p>
            <w:pPr>
              <w:pStyle w:val="13"/>
            </w:pPr>
            <w:r>
              <w:t>≥3次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政策宣讲覆盖率</w:t>
            </w:r>
          </w:p>
        </w:tc>
        <w:tc>
          <w:tcPr>
            <w:tcW w:w="3430" w:type="dxa"/>
            <w:vAlign w:val="center"/>
          </w:tcPr>
          <w:p>
            <w:pPr>
              <w:pStyle w:val="13"/>
            </w:pPr>
            <w:r>
              <w:t>政策宣讲覆盖率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政策宣讲完成时间</w:t>
            </w:r>
          </w:p>
        </w:tc>
        <w:tc>
          <w:tcPr>
            <w:tcW w:w="3430" w:type="dxa"/>
            <w:vAlign w:val="center"/>
          </w:tcPr>
          <w:p>
            <w:pPr>
              <w:pStyle w:val="13"/>
            </w:pPr>
            <w:r>
              <w:t>政策宣讲完成时间</w:t>
            </w:r>
          </w:p>
        </w:tc>
        <w:tc>
          <w:tcPr>
            <w:tcW w:w="2551" w:type="dxa"/>
            <w:vAlign w:val="center"/>
          </w:tcPr>
          <w:p>
            <w:pPr>
              <w:pStyle w:val="13"/>
            </w:pPr>
            <w:r>
              <w:t>2026年11月30日前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农业生产发展经费</w:t>
            </w:r>
          </w:p>
        </w:tc>
        <w:tc>
          <w:tcPr>
            <w:tcW w:w="3430" w:type="dxa"/>
            <w:vAlign w:val="center"/>
          </w:tcPr>
          <w:p>
            <w:pPr>
              <w:pStyle w:val="13"/>
            </w:pPr>
            <w:r>
              <w:t>农业生产发展经费</w:t>
            </w:r>
          </w:p>
        </w:tc>
        <w:tc>
          <w:tcPr>
            <w:tcW w:w="2551" w:type="dxa"/>
            <w:vAlign w:val="center"/>
          </w:tcPr>
          <w:p>
            <w:pPr>
              <w:pStyle w:val="13"/>
            </w:pPr>
            <w:r>
              <w:t>≤71万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提升农业生产能力，推进农业发展</w:t>
            </w:r>
          </w:p>
        </w:tc>
        <w:tc>
          <w:tcPr>
            <w:tcW w:w="3430" w:type="dxa"/>
            <w:vAlign w:val="center"/>
          </w:tcPr>
          <w:p>
            <w:pPr>
              <w:pStyle w:val="13"/>
            </w:pPr>
            <w:r>
              <w:t>提升农业生产能力，推进农业发展</w:t>
            </w:r>
          </w:p>
        </w:tc>
        <w:tc>
          <w:tcPr>
            <w:tcW w:w="2551" w:type="dxa"/>
            <w:vAlign w:val="center"/>
          </w:tcPr>
          <w:p>
            <w:pPr>
              <w:pStyle w:val="13"/>
            </w:pPr>
            <w:r>
              <w:t>有效促进</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参与活动的农民满意度</w:t>
            </w:r>
          </w:p>
        </w:tc>
        <w:tc>
          <w:tcPr>
            <w:tcW w:w="3430" w:type="dxa"/>
            <w:vAlign w:val="center"/>
          </w:tcPr>
          <w:p>
            <w:pPr>
              <w:pStyle w:val="13"/>
            </w:pPr>
            <w:r>
              <w:t>参与活动的农民满意度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6" w:name="_Toc_4_4_0000000017"/>
      <w:r>
        <w:rPr>
          <w:rFonts w:ascii="方正仿宋_GBK" w:hAnsi="方正仿宋_GBK" w:eastAsia="方正仿宋_GBK" w:cs="方正仿宋_GBK"/>
          <w:sz w:val="28"/>
        </w:rPr>
        <w:t>14.2026年人大工作经费绩效目标表</w:t>
      </w:r>
      <w:bookmarkEnd w:id="1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2026年人大工作经费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230000.00</w:t>
            </w:r>
          </w:p>
        </w:tc>
        <w:tc>
          <w:tcPr>
            <w:tcW w:w="1587" w:type="dxa"/>
            <w:vAlign w:val="center"/>
          </w:tcPr>
          <w:p>
            <w:pPr>
              <w:pStyle w:val="14"/>
            </w:pPr>
            <w:r>
              <w:t>其中：财政    资金</w:t>
            </w:r>
          </w:p>
        </w:tc>
        <w:tc>
          <w:tcPr>
            <w:tcW w:w="1843" w:type="dxa"/>
            <w:vAlign w:val="center"/>
          </w:tcPr>
          <w:p>
            <w:pPr>
              <w:pStyle w:val="13"/>
            </w:pPr>
            <w:r>
              <w:t>230000.00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2026年通过换届选举代表培训和召开人代会，保证代表正常履职。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1.2026年通过换届选举代表培训和召开人代会，保证代表正常履职。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换届选举工作，代表培训和召开人代会</w:t>
            </w:r>
          </w:p>
        </w:tc>
        <w:tc>
          <w:tcPr>
            <w:tcW w:w="3430" w:type="dxa"/>
            <w:vAlign w:val="center"/>
          </w:tcPr>
          <w:p>
            <w:pPr>
              <w:pStyle w:val="13"/>
            </w:pPr>
            <w:r>
              <w:t>开展培训工作、召开会议次数</w:t>
            </w:r>
          </w:p>
        </w:tc>
        <w:tc>
          <w:tcPr>
            <w:tcW w:w="2551" w:type="dxa"/>
            <w:vAlign w:val="center"/>
          </w:tcPr>
          <w:p>
            <w:pPr>
              <w:pStyle w:val="13"/>
            </w:pPr>
            <w:r>
              <w:t>≥2次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培训、会议差错率</w:t>
            </w:r>
          </w:p>
        </w:tc>
        <w:tc>
          <w:tcPr>
            <w:tcW w:w="3430" w:type="dxa"/>
            <w:vAlign w:val="center"/>
          </w:tcPr>
          <w:p>
            <w:pPr>
              <w:pStyle w:val="13"/>
            </w:pPr>
            <w:r>
              <w:t>培训、会议差错率</w:t>
            </w:r>
          </w:p>
        </w:tc>
        <w:tc>
          <w:tcPr>
            <w:tcW w:w="2551" w:type="dxa"/>
            <w:vAlign w:val="center"/>
          </w:tcPr>
          <w:p>
            <w:pPr>
              <w:pStyle w:val="13"/>
            </w:pPr>
            <w:r>
              <w:t>≤3%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培训、会议开展完成时间</w:t>
            </w:r>
          </w:p>
        </w:tc>
        <w:tc>
          <w:tcPr>
            <w:tcW w:w="3430" w:type="dxa"/>
            <w:vAlign w:val="center"/>
          </w:tcPr>
          <w:p>
            <w:pPr>
              <w:pStyle w:val="13"/>
            </w:pPr>
            <w:r>
              <w:t>培训、会议开展完成时间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培训、会议平均成本</w:t>
            </w:r>
          </w:p>
        </w:tc>
        <w:tc>
          <w:tcPr>
            <w:tcW w:w="3430" w:type="dxa"/>
            <w:vAlign w:val="center"/>
          </w:tcPr>
          <w:p>
            <w:pPr>
              <w:pStyle w:val="13"/>
            </w:pPr>
            <w:r>
              <w:t>培训、会议平均成本</w:t>
            </w:r>
          </w:p>
        </w:tc>
        <w:tc>
          <w:tcPr>
            <w:tcW w:w="2551" w:type="dxa"/>
            <w:vAlign w:val="center"/>
          </w:tcPr>
          <w:p>
            <w:pPr>
              <w:pStyle w:val="13"/>
            </w:pPr>
            <w:r>
              <w:t>≤115000元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保障了人大代表正常履职</w:t>
            </w:r>
          </w:p>
        </w:tc>
        <w:tc>
          <w:tcPr>
            <w:tcW w:w="3430" w:type="dxa"/>
            <w:vAlign w:val="center"/>
          </w:tcPr>
          <w:p>
            <w:pPr>
              <w:pStyle w:val="13"/>
            </w:pPr>
            <w:r>
              <w:t>保障了人大代表正常履职率</w:t>
            </w:r>
          </w:p>
        </w:tc>
        <w:tc>
          <w:tcPr>
            <w:tcW w:w="2551" w:type="dxa"/>
            <w:vAlign w:val="center"/>
          </w:tcPr>
          <w:p>
            <w:pPr>
              <w:pStyle w:val="13"/>
            </w:pPr>
            <w:r>
              <w:t>≥98%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群众满意率</w:t>
            </w:r>
          </w:p>
        </w:tc>
        <w:tc>
          <w:tcPr>
            <w:tcW w:w="3430" w:type="dxa"/>
            <w:vAlign w:val="center"/>
          </w:tcPr>
          <w:p>
            <w:pPr>
              <w:pStyle w:val="13"/>
            </w:pPr>
            <w:r>
              <w:t>群众满意率</w:t>
            </w:r>
          </w:p>
        </w:tc>
        <w:tc>
          <w:tcPr>
            <w:tcW w:w="2551" w:type="dxa"/>
            <w:vAlign w:val="center"/>
          </w:tcPr>
          <w:p>
            <w:pPr>
              <w:pStyle w:val="13"/>
            </w:pPr>
            <w:r>
              <w:t>≥96%</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7" w:name="_Toc_4_4_0000000018"/>
      <w:r>
        <w:rPr>
          <w:rFonts w:ascii="方正仿宋_GBK" w:hAnsi="方正仿宋_GBK" w:eastAsia="方正仿宋_GBK" w:cs="方正仿宋_GBK"/>
          <w:sz w:val="28"/>
        </w:rPr>
        <w:t>15.2026年社区党组织工作和活动经费绩效目标表</w:t>
      </w:r>
      <w:bookmarkEnd w:id="1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2026年社区党组织工作和活动经费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9393.00</w:t>
            </w:r>
          </w:p>
        </w:tc>
        <w:tc>
          <w:tcPr>
            <w:tcW w:w="1587" w:type="dxa"/>
            <w:vAlign w:val="center"/>
          </w:tcPr>
          <w:p>
            <w:pPr>
              <w:pStyle w:val="14"/>
            </w:pPr>
            <w:r>
              <w:t>其中：财政    资金</w:t>
            </w:r>
          </w:p>
        </w:tc>
        <w:tc>
          <w:tcPr>
            <w:tcW w:w="1843" w:type="dxa"/>
            <w:vAlign w:val="center"/>
          </w:tcPr>
          <w:p>
            <w:pPr>
              <w:pStyle w:val="13"/>
            </w:pPr>
            <w:r>
              <w:t>9393.00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为社区党组织工作和服务提供资金保障。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1.为社区党组织工作和服务提供资金保障。</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发放次数</w:t>
            </w:r>
          </w:p>
        </w:tc>
        <w:tc>
          <w:tcPr>
            <w:tcW w:w="3430" w:type="dxa"/>
            <w:vAlign w:val="center"/>
          </w:tcPr>
          <w:p>
            <w:pPr>
              <w:pStyle w:val="13"/>
            </w:pPr>
            <w:r>
              <w:t>发放次数</w:t>
            </w:r>
          </w:p>
        </w:tc>
        <w:tc>
          <w:tcPr>
            <w:tcW w:w="2551" w:type="dxa"/>
            <w:vAlign w:val="center"/>
          </w:tcPr>
          <w:p>
            <w:pPr>
              <w:pStyle w:val="13"/>
            </w:pPr>
            <w:r>
              <w:t>≥1次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资金发放合规率</w:t>
            </w:r>
          </w:p>
        </w:tc>
        <w:tc>
          <w:tcPr>
            <w:tcW w:w="3430" w:type="dxa"/>
            <w:vAlign w:val="center"/>
          </w:tcPr>
          <w:p>
            <w:pPr>
              <w:pStyle w:val="13"/>
            </w:pPr>
            <w:r>
              <w:t>资金发放合规率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资金发放完成时间</w:t>
            </w:r>
          </w:p>
        </w:tc>
        <w:tc>
          <w:tcPr>
            <w:tcW w:w="3430" w:type="dxa"/>
            <w:vAlign w:val="center"/>
          </w:tcPr>
          <w:p>
            <w:pPr>
              <w:pStyle w:val="13"/>
            </w:pPr>
            <w:r>
              <w:t>资金发放完成时间</w:t>
            </w:r>
          </w:p>
        </w:tc>
        <w:tc>
          <w:tcPr>
            <w:tcW w:w="2551" w:type="dxa"/>
            <w:vAlign w:val="center"/>
          </w:tcPr>
          <w:p>
            <w:pPr>
              <w:pStyle w:val="13"/>
            </w:pPr>
            <w:r>
              <w:t>≤1年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资金发放标准</w:t>
            </w:r>
          </w:p>
        </w:tc>
        <w:tc>
          <w:tcPr>
            <w:tcW w:w="3430" w:type="dxa"/>
            <w:vAlign w:val="center"/>
          </w:tcPr>
          <w:p>
            <w:pPr>
              <w:pStyle w:val="13"/>
            </w:pPr>
            <w:r>
              <w:t>资金发放标准</w:t>
            </w:r>
          </w:p>
        </w:tc>
        <w:tc>
          <w:tcPr>
            <w:tcW w:w="2551" w:type="dxa"/>
            <w:vAlign w:val="center"/>
          </w:tcPr>
          <w:p>
            <w:pPr>
              <w:pStyle w:val="13"/>
            </w:pPr>
            <w:r>
              <w:t>≤9393元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保障社区党组织活动开展</w:t>
            </w:r>
          </w:p>
        </w:tc>
        <w:tc>
          <w:tcPr>
            <w:tcW w:w="3430" w:type="dxa"/>
            <w:vAlign w:val="center"/>
          </w:tcPr>
          <w:p>
            <w:pPr>
              <w:pStyle w:val="13"/>
            </w:pPr>
            <w:r>
              <w:t>保障社区党组织活动开展</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党员满意度</w:t>
            </w:r>
          </w:p>
        </w:tc>
        <w:tc>
          <w:tcPr>
            <w:tcW w:w="3430" w:type="dxa"/>
            <w:vAlign w:val="center"/>
          </w:tcPr>
          <w:p>
            <w:pPr>
              <w:pStyle w:val="13"/>
            </w:pPr>
            <w:r>
              <w:t>党员满意度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8" w:name="_Toc_4_4_0000000019"/>
      <w:r>
        <w:rPr>
          <w:rFonts w:ascii="方正仿宋_GBK" w:hAnsi="方正仿宋_GBK" w:eastAsia="方正仿宋_GBK" w:cs="方正仿宋_GBK"/>
          <w:sz w:val="28"/>
        </w:rPr>
        <w:t>16.2026年退役军人事务保障经费绩效目标表</w:t>
      </w:r>
      <w:bookmarkEnd w:id="1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2026年退役军人事务保障经费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121000.00</w:t>
            </w:r>
          </w:p>
        </w:tc>
        <w:tc>
          <w:tcPr>
            <w:tcW w:w="1587" w:type="dxa"/>
            <w:vAlign w:val="center"/>
          </w:tcPr>
          <w:p>
            <w:pPr>
              <w:pStyle w:val="14"/>
            </w:pPr>
            <w:r>
              <w:t>其中：财政    资金</w:t>
            </w:r>
          </w:p>
        </w:tc>
        <w:tc>
          <w:tcPr>
            <w:tcW w:w="1843" w:type="dxa"/>
            <w:vAlign w:val="center"/>
          </w:tcPr>
          <w:p>
            <w:pPr>
              <w:pStyle w:val="13"/>
            </w:pPr>
            <w:r>
              <w:t>121000.00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通过提供退役服务，保障退役军人权益。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1.通过提供退役服务，保障退役军人权益。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慰问人数</w:t>
            </w:r>
          </w:p>
        </w:tc>
        <w:tc>
          <w:tcPr>
            <w:tcW w:w="3430" w:type="dxa"/>
            <w:vAlign w:val="center"/>
          </w:tcPr>
          <w:p>
            <w:pPr>
              <w:pStyle w:val="13"/>
            </w:pPr>
            <w:r>
              <w:t>慰问人数</w:t>
            </w:r>
          </w:p>
        </w:tc>
        <w:tc>
          <w:tcPr>
            <w:tcW w:w="2551" w:type="dxa"/>
            <w:vAlign w:val="center"/>
          </w:tcPr>
          <w:p>
            <w:pPr>
              <w:pStyle w:val="13"/>
            </w:pPr>
            <w:r>
              <w:t>≥550人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慰问服务工作覆盖率</w:t>
            </w:r>
          </w:p>
        </w:tc>
        <w:tc>
          <w:tcPr>
            <w:tcW w:w="3430" w:type="dxa"/>
            <w:vAlign w:val="center"/>
          </w:tcPr>
          <w:p>
            <w:pPr>
              <w:pStyle w:val="13"/>
            </w:pPr>
            <w:r>
              <w:t>慰问服务工作覆盖率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慰问完成时间</w:t>
            </w:r>
          </w:p>
        </w:tc>
        <w:tc>
          <w:tcPr>
            <w:tcW w:w="3430" w:type="dxa"/>
            <w:vAlign w:val="center"/>
          </w:tcPr>
          <w:p>
            <w:pPr>
              <w:pStyle w:val="13"/>
            </w:pPr>
            <w:r>
              <w:t>慰问完成时间</w:t>
            </w:r>
          </w:p>
        </w:tc>
        <w:tc>
          <w:tcPr>
            <w:tcW w:w="2551" w:type="dxa"/>
            <w:vAlign w:val="center"/>
          </w:tcPr>
          <w:p>
            <w:pPr>
              <w:pStyle w:val="13"/>
            </w:pPr>
            <w:r>
              <w:t>2026年底前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慰问金额</w:t>
            </w:r>
          </w:p>
        </w:tc>
        <w:tc>
          <w:tcPr>
            <w:tcW w:w="3430" w:type="dxa"/>
            <w:vAlign w:val="center"/>
          </w:tcPr>
          <w:p>
            <w:pPr>
              <w:pStyle w:val="13"/>
            </w:pPr>
            <w:r>
              <w:t>慰问金额</w:t>
            </w:r>
          </w:p>
        </w:tc>
        <w:tc>
          <w:tcPr>
            <w:tcW w:w="2551" w:type="dxa"/>
            <w:vAlign w:val="center"/>
          </w:tcPr>
          <w:p>
            <w:pPr>
              <w:pStyle w:val="13"/>
            </w:pPr>
            <w:r>
              <w:t>≤220元/人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保障退役军人权益</w:t>
            </w:r>
          </w:p>
        </w:tc>
        <w:tc>
          <w:tcPr>
            <w:tcW w:w="3430" w:type="dxa"/>
            <w:vAlign w:val="center"/>
          </w:tcPr>
          <w:p>
            <w:pPr>
              <w:pStyle w:val="13"/>
            </w:pPr>
            <w:r>
              <w:t>保障退役军人权益</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退役军人满意度</w:t>
            </w:r>
          </w:p>
        </w:tc>
        <w:tc>
          <w:tcPr>
            <w:tcW w:w="3430" w:type="dxa"/>
            <w:vAlign w:val="center"/>
          </w:tcPr>
          <w:p>
            <w:pPr>
              <w:pStyle w:val="13"/>
            </w:pPr>
            <w:r>
              <w:t>退役军人满意度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19" w:name="_Toc_4_4_0000000020"/>
      <w:r>
        <w:rPr>
          <w:rFonts w:ascii="方正仿宋_GBK" w:hAnsi="方正仿宋_GBK" w:eastAsia="方正仿宋_GBK" w:cs="方正仿宋_GBK"/>
          <w:sz w:val="28"/>
        </w:rPr>
        <w:t>17.2026年小区提升改造及农村道路土地维护经费绩效目标表</w:t>
      </w:r>
      <w:bookmarkEnd w:id="1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2026年小区提升改造及农村道路土地维护经费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600000.00</w:t>
            </w:r>
          </w:p>
        </w:tc>
        <w:tc>
          <w:tcPr>
            <w:tcW w:w="1587" w:type="dxa"/>
            <w:vAlign w:val="center"/>
          </w:tcPr>
          <w:p>
            <w:pPr>
              <w:pStyle w:val="14"/>
            </w:pPr>
            <w:r>
              <w:t>其中：财政    资金</w:t>
            </w:r>
          </w:p>
        </w:tc>
        <w:tc>
          <w:tcPr>
            <w:tcW w:w="1843" w:type="dxa"/>
            <w:vAlign w:val="center"/>
          </w:tcPr>
          <w:p>
            <w:pPr>
              <w:pStyle w:val="13"/>
            </w:pPr>
            <w:r>
              <w:t>600000.00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老旧小区有序提升改造，违法用地有序整改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1.通过完成老旧小区有序提升改造工作，整改违法用地，提高居民幸福指数</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维修改造面积</w:t>
            </w:r>
          </w:p>
        </w:tc>
        <w:tc>
          <w:tcPr>
            <w:tcW w:w="3430" w:type="dxa"/>
            <w:vAlign w:val="center"/>
          </w:tcPr>
          <w:p>
            <w:pPr>
              <w:pStyle w:val="13"/>
            </w:pPr>
            <w:r>
              <w:t>维修改造面积</w:t>
            </w:r>
          </w:p>
        </w:tc>
        <w:tc>
          <w:tcPr>
            <w:tcW w:w="2551" w:type="dxa"/>
            <w:vAlign w:val="center"/>
          </w:tcPr>
          <w:p>
            <w:pPr>
              <w:pStyle w:val="13"/>
            </w:pPr>
            <w:r>
              <w:t>≥2100平方米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维护乡村道路数量</w:t>
            </w:r>
          </w:p>
        </w:tc>
        <w:tc>
          <w:tcPr>
            <w:tcW w:w="3430" w:type="dxa"/>
            <w:vAlign w:val="center"/>
          </w:tcPr>
          <w:p>
            <w:pPr>
              <w:pStyle w:val="13"/>
            </w:pPr>
            <w:r>
              <w:t>维护乡村道路数量</w:t>
            </w:r>
          </w:p>
        </w:tc>
        <w:tc>
          <w:tcPr>
            <w:tcW w:w="2551" w:type="dxa"/>
            <w:vAlign w:val="center"/>
          </w:tcPr>
          <w:p>
            <w:pPr>
              <w:pStyle w:val="13"/>
            </w:pPr>
            <w:r>
              <w:t>≥17条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维修改造工作验收合规率</w:t>
            </w:r>
          </w:p>
        </w:tc>
        <w:tc>
          <w:tcPr>
            <w:tcW w:w="3430" w:type="dxa"/>
            <w:vAlign w:val="center"/>
          </w:tcPr>
          <w:p>
            <w:pPr>
              <w:pStyle w:val="13"/>
            </w:pPr>
            <w:r>
              <w:t>维修改造工作验收合规率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非拆迁区域乡村道路正常使用率</w:t>
            </w:r>
          </w:p>
        </w:tc>
        <w:tc>
          <w:tcPr>
            <w:tcW w:w="3430" w:type="dxa"/>
            <w:vAlign w:val="center"/>
          </w:tcPr>
          <w:p>
            <w:pPr>
              <w:pStyle w:val="13"/>
            </w:pPr>
            <w:r>
              <w:t>非拆迁区域乡村道路正常使用率</w:t>
            </w:r>
          </w:p>
        </w:tc>
        <w:tc>
          <w:tcPr>
            <w:tcW w:w="2551" w:type="dxa"/>
            <w:vAlign w:val="center"/>
          </w:tcPr>
          <w:p>
            <w:pPr>
              <w:pStyle w:val="13"/>
            </w:pPr>
            <w:r>
              <w:t>≥85%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农村道路土地维护完成时间</w:t>
            </w:r>
          </w:p>
        </w:tc>
        <w:tc>
          <w:tcPr>
            <w:tcW w:w="3430" w:type="dxa"/>
            <w:vAlign w:val="center"/>
          </w:tcPr>
          <w:p>
            <w:pPr>
              <w:pStyle w:val="13"/>
            </w:pPr>
            <w:r>
              <w:t>农村道路土地维护完成时间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小区提升改造完成时间</w:t>
            </w:r>
          </w:p>
        </w:tc>
        <w:tc>
          <w:tcPr>
            <w:tcW w:w="3430" w:type="dxa"/>
            <w:vAlign w:val="center"/>
          </w:tcPr>
          <w:p>
            <w:pPr>
              <w:pStyle w:val="13"/>
            </w:pPr>
            <w:r>
              <w:t>小区提升改造完成时间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小区提升改造及农村道路土地维护费用</w:t>
            </w:r>
          </w:p>
        </w:tc>
        <w:tc>
          <w:tcPr>
            <w:tcW w:w="3430" w:type="dxa"/>
            <w:vAlign w:val="center"/>
          </w:tcPr>
          <w:p>
            <w:pPr>
              <w:pStyle w:val="13"/>
            </w:pPr>
            <w:r>
              <w:t>小区提升改造及农村道路土地维护费用</w:t>
            </w:r>
          </w:p>
        </w:tc>
        <w:tc>
          <w:tcPr>
            <w:tcW w:w="2551" w:type="dxa"/>
            <w:vAlign w:val="center"/>
          </w:tcPr>
          <w:p>
            <w:pPr>
              <w:pStyle w:val="13"/>
            </w:pPr>
            <w:r>
              <w:t>≤600000元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提高居民幸福指数</w:t>
            </w:r>
          </w:p>
        </w:tc>
        <w:tc>
          <w:tcPr>
            <w:tcW w:w="3430" w:type="dxa"/>
            <w:vAlign w:val="center"/>
          </w:tcPr>
          <w:p>
            <w:pPr>
              <w:pStyle w:val="13"/>
            </w:pPr>
            <w:r>
              <w:t>提高居民幸福指数</w:t>
            </w:r>
          </w:p>
        </w:tc>
        <w:tc>
          <w:tcPr>
            <w:tcW w:w="2551" w:type="dxa"/>
            <w:vAlign w:val="center"/>
          </w:tcPr>
          <w:p>
            <w:pPr>
              <w:pStyle w:val="13"/>
            </w:pPr>
            <w:r>
              <w:t>有效提高</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居民满意率</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0" w:name="_Toc_4_4_0000000021"/>
      <w:r>
        <w:rPr>
          <w:rFonts w:ascii="方正仿宋_GBK" w:hAnsi="方正仿宋_GBK" w:eastAsia="方正仿宋_GBK" w:cs="方正仿宋_GBK"/>
          <w:sz w:val="28"/>
        </w:rPr>
        <w:t>18.2026年宣传文化发展经费绩效目标表</w:t>
      </w:r>
      <w:bookmarkEnd w:id="2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2026年宣传文化发展经费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492500.00</w:t>
            </w:r>
          </w:p>
        </w:tc>
        <w:tc>
          <w:tcPr>
            <w:tcW w:w="1587" w:type="dxa"/>
            <w:vAlign w:val="center"/>
          </w:tcPr>
          <w:p>
            <w:pPr>
              <w:pStyle w:val="14"/>
            </w:pPr>
            <w:r>
              <w:t>其中：财政    资金</w:t>
            </w:r>
          </w:p>
        </w:tc>
        <w:tc>
          <w:tcPr>
            <w:tcW w:w="1843" w:type="dxa"/>
            <w:vAlign w:val="center"/>
          </w:tcPr>
          <w:p>
            <w:pPr>
              <w:pStyle w:val="13"/>
            </w:pPr>
            <w:r>
              <w:t>492500.00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通过开展新城镇特色品牌宣传，扩大新城镇影响力。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1.通过开展新城镇特色品牌宣传，扩大新城镇影响力。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宣传文化产品数量</w:t>
            </w:r>
          </w:p>
        </w:tc>
        <w:tc>
          <w:tcPr>
            <w:tcW w:w="3430" w:type="dxa"/>
            <w:vAlign w:val="center"/>
          </w:tcPr>
          <w:p>
            <w:pPr>
              <w:pStyle w:val="13"/>
            </w:pPr>
            <w:r>
              <w:t>宣传文化产品数量</w:t>
            </w:r>
          </w:p>
        </w:tc>
        <w:tc>
          <w:tcPr>
            <w:tcW w:w="2551" w:type="dxa"/>
            <w:vAlign w:val="center"/>
          </w:tcPr>
          <w:p>
            <w:pPr>
              <w:pStyle w:val="13"/>
            </w:pPr>
            <w:r>
              <w:t>≥10个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宣传文化产品合格率</w:t>
            </w:r>
          </w:p>
        </w:tc>
        <w:tc>
          <w:tcPr>
            <w:tcW w:w="3430" w:type="dxa"/>
            <w:vAlign w:val="center"/>
          </w:tcPr>
          <w:p>
            <w:pPr>
              <w:pStyle w:val="13"/>
            </w:pPr>
            <w:r>
              <w:t>宣传文化产品合格率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产品制作完成时间</w:t>
            </w:r>
          </w:p>
        </w:tc>
        <w:tc>
          <w:tcPr>
            <w:tcW w:w="3430" w:type="dxa"/>
            <w:vAlign w:val="center"/>
          </w:tcPr>
          <w:p>
            <w:pPr>
              <w:pStyle w:val="13"/>
            </w:pPr>
            <w:r>
              <w:t>产品制作完成时间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宣传文化发展经费</w:t>
            </w:r>
          </w:p>
        </w:tc>
        <w:tc>
          <w:tcPr>
            <w:tcW w:w="3430" w:type="dxa"/>
            <w:vAlign w:val="center"/>
          </w:tcPr>
          <w:p>
            <w:pPr>
              <w:pStyle w:val="13"/>
            </w:pPr>
            <w:r>
              <w:t>宣传文化发展经费</w:t>
            </w:r>
          </w:p>
        </w:tc>
        <w:tc>
          <w:tcPr>
            <w:tcW w:w="2551" w:type="dxa"/>
            <w:vAlign w:val="center"/>
          </w:tcPr>
          <w:p>
            <w:pPr>
              <w:pStyle w:val="13"/>
            </w:pPr>
            <w:r>
              <w:t>≤49.25万元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宣传文化覆盖率</w:t>
            </w:r>
          </w:p>
        </w:tc>
        <w:tc>
          <w:tcPr>
            <w:tcW w:w="3430" w:type="dxa"/>
            <w:vAlign w:val="center"/>
          </w:tcPr>
          <w:p>
            <w:pPr>
              <w:pStyle w:val="13"/>
            </w:pPr>
            <w:r>
              <w:t>宣传文化覆盖率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w:t>
            </w:r>
          </w:p>
        </w:tc>
        <w:tc>
          <w:tcPr>
            <w:tcW w:w="3430" w:type="dxa"/>
            <w:vAlign w:val="center"/>
          </w:tcPr>
          <w:p>
            <w:pPr>
              <w:pStyle w:val="13"/>
            </w:pPr>
            <w:r>
              <w:t>群众满意度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1" w:name="_Toc_4_4_0000000022"/>
      <w:r>
        <w:rPr>
          <w:rFonts w:ascii="方正仿宋_GBK" w:hAnsi="方正仿宋_GBK" w:eastAsia="方正仿宋_GBK" w:cs="方正仿宋_GBK"/>
          <w:sz w:val="28"/>
        </w:rPr>
        <w:t>19.2026年征地补偿（自有资金）（其他收入奖金）绩效目标表</w:t>
      </w:r>
      <w:bookmarkEnd w:id="2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2026年征地补偿（自有资金）（其他收入奖金）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4986143.25</w:t>
            </w:r>
          </w:p>
        </w:tc>
        <w:tc>
          <w:tcPr>
            <w:tcW w:w="1587" w:type="dxa"/>
            <w:vAlign w:val="center"/>
          </w:tcPr>
          <w:p>
            <w:pPr>
              <w:pStyle w:val="14"/>
            </w:pPr>
            <w:r>
              <w:t>其中：财政    资金</w:t>
            </w:r>
          </w:p>
        </w:tc>
        <w:tc>
          <w:tcPr>
            <w:tcW w:w="1843" w:type="dxa"/>
            <w:vAlign w:val="center"/>
          </w:tcPr>
          <w:p>
            <w:pPr>
              <w:pStyle w:val="13"/>
            </w:pPr>
            <w:r>
              <w:t xml:space="preserve"> </w:t>
            </w:r>
          </w:p>
        </w:tc>
        <w:tc>
          <w:tcPr>
            <w:tcW w:w="1276" w:type="dxa"/>
            <w:vAlign w:val="center"/>
          </w:tcPr>
          <w:p>
            <w:pPr>
              <w:pStyle w:val="14"/>
            </w:pPr>
            <w:r>
              <w:t>其他资金</w:t>
            </w:r>
          </w:p>
        </w:tc>
        <w:tc>
          <w:tcPr>
            <w:tcW w:w="1276" w:type="dxa"/>
            <w:vAlign w:val="center"/>
          </w:tcPr>
          <w:p>
            <w:pPr>
              <w:pStyle w:val="13"/>
            </w:pPr>
            <w:r>
              <w:t>4986143.25</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通过进行土地整理及后续相关建设完善，以推动城市建设，提升群众生活质量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1.通过进行土地整理及后续相关建设完善，以推动城市建设，提升群众生活质量。</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土地涉及面积</w:t>
            </w:r>
          </w:p>
        </w:tc>
        <w:tc>
          <w:tcPr>
            <w:tcW w:w="3430" w:type="dxa"/>
            <w:vAlign w:val="center"/>
          </w:tcPr>
          <w:p>
            <w:pPr>
              <w:pStyle w:val="13"/>
            </w:pPr>
            <w:r>
              <w:t>土地整理规模</w:t>
            </w:r>
          </w:p>
        </w:tc>
        <w:tc>
          <w:tcPr>
            <w:tcW w:w="2551" w:type="dxa"/>
            <w:vAlign w:val="center"/>
          </w:tcPr>
          <w:p>
            <w:pPr>
              <w:pStyle w:val="13"/>
            </w:pPr>
            <w:r>
              <w:t>≥10000平方米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补偿资金发放合规率</w:t>
            </w:r>
          </w:p>
        </w:tc>
        <w:tc>
          <w:tcPr>
            <w:tcW w:w="3430" w:type="dxa"/>
            <w:vAlign w:val="center"/>
          </w:tcPr>
          <w:p>
            <w:pPr>
              <w:pStyle w:val="13"/>
            </w:pPr>
            <w:r>
              <w:t>补偿资金发放合规率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完成时限</w:t>
            </w:r>
          </w:p>
        </w:tc>
        <w:tc>
          <w:tcPr>
            <w:tcW w:w="3430" w:type="dxa"/>
            <w:vAlign w:val="center"/>
          </w:tcPr>
          <w:p>
            <w:pPr>
              <w:pStyle w:val="13"/>
            </w:pPr>
            <w:r>
              <w:t>完成时限</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征地补偿工作支出</w:t>
            </w:r>
          </w:p>
        </w:tc>
        <w:tc>
          <w:tcPr>
            <w:tcW w:w="3430" w:type="dxa"/>
            <w:vAlign w:val="center"/>
          </w:tcPr>
          <w:p>
            <w:pPr>
              <w:pStyle w:val="13"/>
            </w:pPr>
            <w:r>
              <w:t>征地补偿工作支出</w:t>
            </w:r>
          </w:p>
        </w:tc>
        <w:tc>
          <w:tcPr>
            <w:tcW w:w="2551" w:type="dxa"/>
            <w:vAlign w:val="center"/>
          </w:tcPr>
          <w:p>
            <w:pPr>
              <w:pStyle w:val="13"/>
            </w:pPr>
            <w:r>
              <w:t>≤4986143.25元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提高土地利用效率</w:t>
            </w:r>
          </w:p>
        </w:tc>
        <w:tc>
          <w:tcPr>
            <w:tcW w:w="3430" w:type="dxa"/>
            <w:vAlign w:val="center"/>
          </w:tcPr>
          <w:p>
            <w:pPr>
              <w:pStyle w:val="13"/>
            </w:pPr>
            <w:r>
              <w:t>提高土地利用效率</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≥92%</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2" w:name="_Toc_4_4_0000000023"/>
      <w:r>
        <w:rPr>
          <w:rFonts w:ascii="方正仿宋_GBK" w:hAnsi="方正仿宋_GBK" w:eastAsia="方正仿宋_GBK" w:cs="方正仿宋_GBK"/>
          <w:sz w:val="28"/>
        </w:rPr>
        <w:t>20.2026年综合保障工作经费绩效目标表</w:t>
      </w:r>
      <w:bookmarkEnd w:id="2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2026年综合保障工作经费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6059397.00</w:t>
            </w:r>
          </w:p>
        </w:tc>
        <w:tc>
          <w:tcPr>
            <w:tcW w:w="1587" w:type="dxa"/>
            <w:vAlign w:val="center"/>
          </w:tcPr>
          <w:p>
            <w:pPr>
              <w:pStyle w:val="14"/>
            </w:pPr>
            <w:r>
              <w:t>其中：财政    资金</w:t>
            </w:r>
          </w:p>
        </w:tc>
        <w:tc>
          <w:tcPr>
            <w:tcW w:w="1843" w:type="dxa"/>
            <w:vAlign w:val="center"/>
          </w:tcPr>
          <w:p>
            <w:pPr>
              <w:pStyle w:val="13"/>
            </w:pPr>
            <w:r>
              <w:t>6059397.00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通过完成综合保障各项工作，保障工作正常开展</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1.通过完成综合保障各项工作，保障工作正常开展</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稿件审核数量</w:t>
            </w:r>
          </w:p>
        </w:tc>
        <w:tc>
          <w:tcPr>
            <w:tcW w:w="3430" w:type="dxa"/>
            <w:vAlign w:val="center"/>
          </w:tcPr>
          <w:p>
            <w:pPr>
              <w:pStyle w:val="13"/>
            </w:pPr>
            <w:r>
              <w:t>合同及法律文件审核</w:t>
            </w:r>
          </w:p>
        </w:tc>
        <w:tc>
          <w:tcPr>
            <w:tcW w:w="2551" w:type="dxa"/>
            <w:vAlign w:val="center"/>
          </w:tcPr>
          <w:p>
            <w:pPr>
              <w:pStyle w:val="13"/>
            </w:pPr>
            <w:r>
              <w:t>≥50件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稿件通过质量</w:t>
            </w:r>
          </w:p>
        </w:tc>
        <w:tc>
          <w:tcPr>
            <w:tcW w:w="3430" w:type="dxa"/>
            <w:vAlign w:val="center"/>
          </w:tcPr>
          <w:p>
            <w:pPr>
              <w:pStyle w:val="13"/>
            </w:pPr>
            <w:r>
              <w:t>稿件通过率</w:t>
            </w:r>
          </w:p>
        </w:tc>
        <w:tc>
          <w:tcPr>
            <w:tcW w:w="2551" w:type="dxa"/>
            <w:vAlign w:val="center"/>
          </w:tcPr>
          <w:p>
            <w:pPr>
              <w:pStyle w:val="13"/>
            </w:pPr>
            <w:r>
              <w:t>≥96%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稿件审核完成时间</w:t>
            </w:r>
          </w:p>
        </w:tc>
        <w:tc>
          <w:tcPr>
            <w:tcW w:w="3430" w:type="dxa"/>
            <w:vAlign w:val="center"/>
          </w:tcPr>
          <w:p>
            <w:pPr>
              <w:pStyle w:val="13"/>
            </w:pPr>
            <w:r>
              <w:t>稿件审核完成时间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提供综合服务成本</w:t>
            </w:r>
          </w:p>
        </w:tc>
        <w:tc>
          <w:tcPr>
            <w:tcW w:w="3430" w:type="dxa"/>
            <w:vAlign w:val="center"/>
          </w:tcPr>
          <w:p>
            <w:pPr>
              <w:pStyle w:val="13"/>
            </w:pPr>
            <w:r>
              <w:t>提供综合服务成本</w:t>
            </w:r>
          </w:p>
        </w:tc>
        <w:tc>
          <w:tcPr>
            <w:tcW w:w="2551" w:type="dxa"/>
            <w:vAlign w:val="center"/>
          </w:tcPr>
          <w:p>
            <w:pPr>
              <w:pStyle w:val="13"/>
            </w:pPr>
            <w:r>
              <w:t>&lt;605.93万元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持续保障工作正常开展</w:t>
            </w:r>
          </w:p>
        </w:tc>
        <w:tc>
          <w:tcPr>
            <w:tcW w:w="3430" w:type="dxa"/>
            <w:vAlign w:val="center"/>
          </w:tcPr>
          <w:p>
            <w:pPr>
              <w:pStyle w:val="13"/>
            </w:pPr>
            <w:r>
              <w:t>持续保障工作正常开展</w:t>
            </w:r>
          </w:p>
        </w:tc>
        <w:tc>
          <w:tcPr>
            <w:tcW w:w="2551" w:type="dxa"/>
            <w:vAlign w:val="center"/>
          </w:tcPr>
          <w:p>
            <w:pPr>
              <w:pStyle w:val="13"/>
            </w:pPr>
            <w:r>
              <w:t>持续保障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使用人员满意度</w:t>
            </w:r>
          </w:p>
        </w:tc>
        <w:tc>
          <w:tcPr>
            <w:tcW w:w="3430" w:type="dxa"/>
            <w:vAlign w:val="center"/>
          </w:tcPr>
          <w:p>
            <w:pPr>
              <w:pStyle w:val="13"/>
            </w:pPr>
            <w:r>
              <w:t>货物/服务/工程使用人员满意度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3" w:name="_Toc_4_4_0000000024"/>
      <w:r>
        <w:rPr>
          <w:rFonts w:ascii="方正仿宋_GBK" w:hAnsi="方正仿宋_GBK" w:eastAsia="方正仿宋_GBK" w:cs="方正仿宋_GBK"/>
          <w:sz w:val="28"/>
        </w:rPr>
        <w:t>21.2026年综治信访工作经费绩效目标表</w:t>
      </w:r>
      <w:bookmarkEnd w:id="2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2026年综治信访工作经费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736000.00</w:t>
            </w:r>
          </w:p>
        </w:tc>
        <w:tc>
          <w:tcPr>
            <w:tcW w:w="1587" w:type="dxa"/>
            <w:vAlign w:val="center"/>
          </w:tcPr>
          <w:p>
            <w:pPr>
              <w:pStyle w:val="14"/>
            </w:pPr>
            <w:r>
              <w:t>其中：财政    资金</w:t>
            </w:r>
          </w:p>
        </w:tc>
        <w:tc>
          <w:tcPr>
            <w:tcW w:w="1843" w:type="dxa"/>
            <w:vAlign w:val="center"/>
          </w:tcPr>
          <w:p>
            <w:pPr>
              <w:pStyle w:val="13"/>
            </w:pPr>
            <w:r>
              <w:t>736000.00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通过开展信访维稳、反恐 、平安法治建设，提高居民安全感。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1.通过开展信访维稳、反恐 、平安法治建设，提高居民安全感。</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成本指标</w:t>
            </w:r>
          </w:p>
        </w:tc>
        <w:tc>
          <w:tcPr>
            <w:tcW w:w="1332" w:type="dxa"/>
            <w:vAlign w:val="center"/>
          </w:tcPr>
          <w:p>
            <w:pPr>
              <w:pStyle w:val="13"/>
            </w:pPr>
            <w:r>
              <w:t>保障费用</w:t>
            </w:r>
          </w:p>
        </w:tc>
        <w:tc>
          <w:tcPr>
            <w:tcW w:w="3430" w:type="dxa"/>
            <w:vAlign w:val="center"/>
          </w:tcPr>
          <w:p>
            <w:pPr>
              <w:pStyle w:val="13"/>
            </w:pPr>
            <w:r>
              <w:t>保障费用</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重大维稳任务无出错率</w:t>
            </w:r>
          </w:p>
        </w:tc>
        <w:tc>
          <w:tcPr>
            <w:tcW w:w="3430" w:type="dxa"/>
            <w:vAlign w:val="center"/>
          </w:tcPr>
          <w:p>
            <w:pPr>
              <w:pStyle w:val="13"/>
            </w:pPr>
            <w:r>
              <w:t>重大维稳任务无出错率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社区治安综合治理完成时间</w:t>
            </w:r>
          </w:p>
        </w:tc>
        <w:tc>
          <w:tcPr>
            <w:tcW w:w="3430" w:type="dxa"/>
            <w:vAlign w:val="center"/>
          </w:tcPr>
          <w:p>
            <w:pPr>
              <w:pStyle w:val="13"/>
            </w:pPr>
            <w:r>
              <w:t>社区治安综合治理完成时间</w:t>
            </w:r>
          </w:p>
        </w:tc>
        <w:tc>
          <w:tcPr>
            <w:tcW w:w="2551" w:type="dxa"/>
            <w:vAlign w:val="center"/>
          </w:tcPr>
          <w:p>
            <w:pPr>
              <w:pStyle w:val="13"/>
            </w:pPr>
            <w:r>
              <w:t>2025年12月底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雇佣值守保安人数</w:t>
            </w:r>
          </w:p>
        </w:tc>
        <w:tc>
          <w:tcPr>
            <w:tcW w:w="3430" w:type="dxa"/>
            <w:vAlign w:val="center"/>
          </w:tcPr>
          <w:p>
            <w:pPr>
              <w:pStyle w:val="13"/>
            </w:pPr>
            <w:r>
              <w:t>雇佣值守保安人数</w:t>
            </w:r>
          </w:p>
        </w:tc>
        <w:tc>
          <w:tcPr>
            <w:tcW w:w="2551" w:type="dxa"/>
            <w:vAlign w:val="center"/>
          </w:tcPr>
          <w:p>
            <w:pPr>
              <w:pStyle w:val="13"/>
            </w:pPr>
            <w:r>
              <w:t>≥20人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有效提升辖区安全水平</w:t>
            </w:r>
          </w:p>
        </w:tc>
        <w:tc>
          <w:tcPr>
            <w:tcW w:w="3430" w:type="dxa"/>
            <w:vAlign w:val="center"/>
          </w:tcPr>
          <w:p>
            <w:pPr>
              <w:pStyle w:val="13"/>
            </w:pPr>
            <w:r>
              <w:t>辖区安全稳定情况</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辖区居民满意度</w:t>
            </w:r>
          </w:p>
        </w:tc>
        <w:tc>
          <w:tcPr>
            <w:tcW w:w="3430" w:type="dxa"/>
            <w:vAlign w:val="center"/>
          </w:tcPr>
          <w:p>
            <w:pPr>
              <w:pStyle w:val="13"/>
            </w:pPr>
            <w:r>
              <w:t>辖区居民满意率</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4" w:name="_Toc_4_4_0000000025"/>
      <w:r>
        <w:rPr>
          <w:rFonts w:ascii="方正仿宋_GBK" w:hAnsi="方正仿宋_GBK" w:eastAsia="方正仿宋_GBK" w:cs="方正仿宋_GBK"/>
          <w:sz w:val="28"/>
        </w:rPr>
        <w:t>22.2024年超长期特别国债-天津市财政局关于下达2024年超长期特别国债（加快重点地区和城市平战结合建设领域城市地下管网建设改造方向）支出预算的通知（津财农指[2024]43号）绩效目标表</w:t>
      </w:r>
      <w:bookmarkEnd w:id="2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2024年超长期特别国债-天津市财政局关于下达2024年超长期特别国债（加快重点地区和城市平战结合建设领域城市地下管网建设改造方向）支出预算的通知（津财农指[2024]43号）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67844538.96</w:t>
            </w:r>
          </w:p>
        </w:tc>
        <w:tc>
          <w:tcPr>
            <w:tcW w:w="1587" w:type="dxa"/>
            <w:vAlign w:val="center"/>
          </w:tcPr>
          <w:p>
            <w:pPr>
              <w:pStyle w:val="14"/>
            </w:pPr>
            <w:r>
              <w:t>其中：财政    资金</w:t>
            </w:r>
          </w:p>
        </w:tc>
        <w:tc>
          <w:tcPr>
            <w:tcW w:w="1843" w:type="dxa"/>
            <w:vAlign w:val="center"/>
          </w:tcPr>
          <w:p>
            <w:pPr>
              <w:pStyle w:val="13"/>
            </w:pPr>
            <w:r>
              <w:t>67844538.96</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通过超长期特别国债项目，改善居民生活环境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1.通过新建供水管道，改善居民生活环境，保障区域居民用水需求</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新建供水管道</w:t>
            </w:r>
          </w:p>
        </w:tc>
        <w:tc>
          <w:tcPr>
            <w:tcW w:w="3430" w:type="dxa"/>
            <w:vAlign w:val="center"/>
          </w:tcPr>
          <w:p>
            <w:pPr>
              <w:pStyle w:val="13"/>
            </w:pPr>
            <w:r>
              <w:t>新建供水管道</w:t>
            </w:r>
          </w:p>
        </w:tc>
        <w:tc>
          <w:tcPr>
            <w:tcW w:w="2551" w:type="dxa"/>
            <w:vAlign w:val="center"/>
          </w:tcPr>
          <w:p>
            <w:pPr>
              <w:pStyle w:val="13"/>
            </w:pPr>
            <w:r>
              <w:t>≥15公里</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工程质量验收合格率</w:t>
            </w:r>
          </w:p>
        </w:tc>
        <w:tc>
          <w:tcPr>
            <w:tcW w:w="3430" w:type="dxa"/>
            <w:vAlign w:val="center"/>
          </w:tcPr>
          <w:p>
            <w:pPr>
              <w:pStyle w:val="13"/>
            </w:pPr>
            <w:r>
              <w:t>工程质量验收合格率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工程完成时间</w:t>
            </w:r>
          </w:p>
        </w:tc>
        <w:tc>
          <w:tcPr>
            <w:tcW w:w="3430" w:type="dxa"/>
            <w:vAlign w:val="center"/>
          </w:tcPr>
          <w:p>
            <w:pPr>
              <w:pStyle w:val="13"/>
            </w:pPr>
            <w:r>
              <w:t>工程完成时间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工程费用</w:t>
            </w:r>
          </w:p>
        </w:tc>
        <w:tc>
          <w:tcPr>
            <w:tcW w:w="3430" w:type="dxa"/>
            <w:vAlign w:val="center"/>
          </w:tcPr>
          <w:p>
            <w:pPr>
              <w:pStyle w:val="13"/>
            </w:pPr>
            <w:r>
              <w:t>工程费用</w:t>
            </w:r>
          </w:p>
        </w:tc>
        <w:tc>
          <w:tcPr>
            <w:tcW w:w="2551" w:type="dxa"/>
            <w:vAlign w:val="center"/>
          </w:tcPr>
          <w:p>
            <w:pPr>
              <w:pStyle w:val="13"/>
            </w:pPr>
            <w:r>
              <w:t>≤67844538.96元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保障区域居民用水需求</w:t>
            </w:r>
          </w:p>
        </w:tc>
        <w:tc>
          <w:tcPr>
            <w:tcW w:w="3430" w:type="dxa"/>
            <w:vAlign w:val="center"/>
          </w:tcPr>
          <w:p>
            <w:pPr>
              <w:pStyle w:val="13"/>
            </w:pPr>
            <w:r>
              <w:t>保障区域居民用水需求</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居民满意度</w:t>
            </w:r>
          </w:p>
        </w:tc>
        <w:tc>
          <w:tcPr>
            <w:tcW w:w="3430" w:type="dxa"/>
            <w:vAlign w:val="center"/>
          </w:tcPr>
          <w:p>
            <w:pPr>
              <w:pStyle w:val="13"/>
            </w:pPr>
            <w:r>
              <w:t>居民满意度</w:t>
            </w:r>
          </w:p>
        </w:tc>
        <w:tc>
          <w:tcPr>
            <w:tcW w:w="2551" w:type="dxa"/>
            <w:vAlign w:val="center"/>
          </w:tcPr>
          <w:p>
            <w:pPr>
              <w:pStyle w:val="13"/>
            </w:pPr>
            <w:r>
              <w:t>≥80%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5" w:name="_Toc_4_4_0000000026"/>
      <w:r>
        <w:rPr>
          <w:rFonts w:ascii="方正仿宋_GBK" w:hAnsi="方正仿宋_GBK" w:eastAsia="方正仿宋_GBK" w:cs="方正仿宋_GBK"/>
          <w:sz w:val="28"/>
        </w:rPr>
        <w:t>23.2025年基础社区补助-居委会工作经费（津财行政指【2025】2号）绩效目标表</w:t>
      </w:r>
      <w:bookmarkEnd w:id="2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2025年基础社区补助-居委会工作经费（津财行政指【2025】2号）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137899.80</w:t>
            </w:r>
          </w:p>
        </w:tc>
        <w:tc>
          <w:tcPr>
            <w:tcW w:w="1587" w:type="dxa"/>
            <w:vAlign w:val="center"/>
          </w:tcPr>
          <w:p>
            <w:pPr>
              <w:pStyle w:val="14"/>
            </w:pPr>
            <w:r>
              <w:t>其中：财政    资金</w:t>
            </w:r>
          </w:p>
        </w:tc>
        <w:tc>
          <w:tcPr>
            <w:tcW w:w="1843" w:type="dxa"/>
            <w:vAlign w:val="center"/>
          </w:tcPr>
          <w:p>
            <w:pPr>
              <w:pStyle w:val="13"/>
            </w:pPr>
            <w:r>
              <w:t>137899.80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通过发放城市社区居委会办公经费，保障社区服务管理工作正常开展，</w:t>
            </w:r>
            <w:bookmarkStart w:id="50" w:name="_GoBack"/>
            <w:bookmarkEnd w:id="50"/>
            <w:r>
              <w:rPr>
                <w:rFonts w:hint="eastAsia"/>
                <w:lang w:eastAsia="zh-CN"/>
              </w:rPr>
              <w:t>更好地为</w:t>
            </w:r>
            <w:r>
              <w:t>社区居民服务。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1.通过发放城市社区居委会办公经费，保障社区服务管理工作正常开展，</w:t>
            </w:r>
            <w:r>
              <w:rPr>
                <w:rFonts w:hint="eastAsia"/>
                <w:lang w:eastAsia="zh-CN"/>
              </w:rPr>
              <w:t>更好地为</w:t>
            </w:r>
            <w:r>
              <w:t>社区居民服务。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发放社区数量</w:t>
            </w:r>
          </w:p>
        </w:tc>
        <w:tc>
          <w:tcPr>
            <w:tcW w:w="3430" w:type="dxa"/>
            <w:vAlign w:val="center"/>
          </w:tcPr>
          <w:p>
            <w:pPr>
              <w:pStyle w:val="13"/>
            </w:pPr>
            <w:r>
              <w:t>发放社区数量</w:t>
            </w:r>
          </w:p>
        </w:tc>
        <w:tc>
          <w:tcPr>
            <w:tcW w:w="2551" w:type="dxa"/>
            <w:vAlign w:val="center"/>
          </w:tcPr>
          <w:p>
            <w:pPr>
              <w:pStyle w:val="13"/>
            </w:pPr>
            <w:r>
              <w:t>≥55个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经费发放覆盖率</w:t>
            </w:r>
          </w:p>
        </w:tc>
        <w:tc>
          <w:tcPr>
            <w:tcW w:w="3430" w:type="dxa"/>
            <w:vAlign w:val="center"/>
          </w:tcPr>
          <w:p>
            <w:pPr>
              <w:pStyle w:val="13"/>
            </w:pPr>
            <w:r>
              <w:t>经费发放覆盖率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社区补贴标准</w:t>
            </w:r>
          </w:p>
        </w:tc>
        <w:tc>
          <w:tcPr>
            <w:tcW w:w="3430" w:type="dxa"/>
            <w:vAlign w:val="center"/>
          </w:tcPr>
          <w:p>
            <w:pPr>
              <w:pStyle w:val="13"/>
            </w:pPr>
            <w:r>
              <w:t>社区补贴标准</w:t>
            </w:r>
          </w:p>
        </w:tc>
        <w:tc>
          <w:tcPr>
            <w:tcW w:w="2551" w:type="dxa"/>
            <w:vAlign w:val="center"/>
          </w:tcPr>
          <w:p>
            <w:pPr>
              <w:pStyle w:val="13"/>
            </w:pPr>
            <w:r>
              <w:t>≤137899.8元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经费发放完成时间</w:t>
            </w:r>
          </w:p>
        </w:tc>
        <w:tc>
          <w:tcPr>
            <w:tcW w:w="3430" w:type="dxa"/>
            <w:vAlign w:val="center"/>
          </w:tcPr>
          <w:p>
            <w:pPr>
              <w:pStyle w:val="13"/>
            </w:pPr>
            <w:r>
              <w:t>经费发放完成时间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保障社区服务管理工作正常开展，更好为社区居民服务</w:t>
            </w:r>
          </w:p>
        </w:tc>
        <w:tc>
          <w:tcPr>
            <w:tcW w:w="3430" w:type="dxa"/>
            <w:vAlign w:val="center"/>
          </w:tcPr>
          <w:p>
            <w:pPr>
              <w:pStyle w:val="13"/>
            </w:pPr>
            <w:r>
              <w:t>保障社区服务管理工作正常开展，更好为社区居民服务</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社区满意度</w:t>
            </w:r>
          </w:p>
        </w:tc>
        <w:tc>
          <w:tcPr>
            <w:tcW w:w="3430" w:type="dxa"/>
            <w:vAlign w:val="center"/>
          </w:tcPr>
          <w:p>
            <w:pPr>
              <w:pStyle w:val="13"/>
            </w:pPr>
            <w:r>
              <w:t>社区满意度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6" w:name="_Toc_4_4_0000000027"/>
      <w:r>
        <w:rPr>
          <w:rFonts w:ascii="方正仿宋_GBK" w:hAnsi="方正仿宋_GBK" w:eastAsia="方正仿宋_GBK" w:cs="方正仿宋_GBK"/>
          <w:sz w:val="28"/>
        </w:rPr>
        <w:t>24.2025年基础社区补助-体检经费（津财行政指【2025】2号）绩效目标表</w:t>
      </w:r>
      <w:bookmarkEnd w:id="2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2025年基础社区补助-体检经费（津财行政指【2025】2号）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600.00</w:t>
            </w:r>
          </w:p>
        </w:tc>
        <w:tc>
          <w:tcPr>
            <w:tcW w:w="1587" w:type="dxa"/>
            <w:vAlign w:val="center"/>
          </w:tcPr>
          <w:p>
            <w:pPr>
              <w:pStyle w:val="14"/>
            </w:pPr>
            <w:r>
              <w:t>其中：财政    资金</w:t>
            </w:r>
          </w:p>
        </w:tc>
        <w:tc>
          <w:tcPr>
            <w:tcW w:w="1843" w:type="dxa"/>
            <w:vAlign w:val="center"/>
          </w:tcPr>
          <w:p>
            <w:pPr>
              <w:pStyle w:val="13"/>
            </w:pPr>
            <w:r>
              <w:t>600.00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通过发放社区工作人员体检经费，保障社区工作人员权益，</w:t>
            </w:r>
            <w:r>
              <w:rPr>
                <w:rFonts w:hint="eastAsia"/>
                <w:lang w:eastAsia="zh-CN"/>
              </w:rPr>
              <w:t>更好地为</w:t>
            </w:r>
            <w:r>
              <w:t>社区居民服务。</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1.通过发放社区工作人员体检经费，保障社区工作人员权益，</w:t>
            </w:r>
            <w:r>
              <w:rPr>
                <w:rFonts w:hint="eastAsia"/>
                <w:lang w:eastAsia="zh-CN"/>
              </w:rPr>
              <w:t>更好地为</w:t>
            </w:r>
            <w:r>
              <w:t>社区居民服务。</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体检经费发放人数</w:t>
            </w:r>
          </w:p>
        </w:tc>
        <w:tc>
          <w:tcPr>
            <w:tcW w:w="3430" w:type="dxa"/>
            <w:vAlign w:val="center"/>
          </w:tcPr>
          <w:p>
            <w:pPr>
              <w:pStyle w:val="13"/>
            </w:pPr>
            <w:r>
              <w:t>体检经费发放人数</w:t>
            </w:r>
          </w:p>
        </w:tc>
        <w:tc>
          <w:tcPr>
            <w:tcW w:w="2551" w:type="dxa"/>
            <w:vAlign w:val="center"/>
          </w:tcPr>
          <w:p>
            <w:pPr>
              <w:pStyle w:val="13"/>
            </w:pPr>
            <w:r>
              <w:t>≥2人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体检经费发放覆盖率</w:t>
            </w:r>
          </w:p>
        </w:tc>
        <w:tc>
          <w:tcPr>
            <w:tcW w:w="3430" w:type="dxa"/>
            <w:vAlign w:val="center"/>
          </w:tcPr>
          <w:p>
            <w:pPr>
              <w:pStyle w:val="13"/>
            </w:pPr>
            <w:r>
              <w:t>体检经费发放覆盖率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体检经费发放完成时间</w:t>
            </w:r>
          </w:p>
        </w:tc>
        <w:tc>
          <w:tcPr>
            <w:tcW w:w="3430" w:type="dxa"/>
            <w:vAlign w:val="center"/>
          </w:tcPr>
          <w:p>
            <w:pPr>
              <w:pStyle w:val="13"/>
            </w:pPr>
            <w:r>
              <w:t>体检经费发放完成时间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体检经费补贴标准</w:t>
            </w:r>
          </w:p>
        </w:tc>
        <w:tc>
          <w:tcPr>
            <w:tcW w:w="3430" w:type="dxa"/>
            <w:vAlign w:val="center"/>
          </w:tcPr>
          <w:p>
            <w:pPr>
              <w:pStyle w:val="13"/>
            </w:pPr>
            <w:r>
              <w:t>体检经费补贴标准</w:t>
            </w:r>
          </w:p>
        </w:tc>
        <w:tc>
          <w:tcPr>
            <w:tcW w:w="2551" w:type="dxa"/>
            <w:vAlign w:val="center"/>
          </w:tcPr>
          <w:p>
            <w:pPr>
              <w:pStyle w:val="13"/>
            </w:pPr>
            <w:r>
              <w:t>≤0.03万元/人/年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保障人员基本待遇</w:t>
            </w:r>
          </w:p>
        </w:tc>
        <w:tc>
          <w:tcPr>
            <w:tcW w:w="3430" w:type="dxa"/>
            <w:vAlign w:val="center"/>
          </w:tcPr>
          <w:p>
            <w:pPr>
              <w:pStyle w:val="13"/>
            </w:pPr>
            <w:r>
              <w:t>保障人员基本待遇</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工作人员满意度</w:t>
            </w:r>
          </w:p>
        </w:tc>
        <w:tc>
          <w:tcPr>
            <w:tcW w:w="3430" w:type="dxa"/>
            <w:vAlign w:val="center"/>
          </w:tcPr>
          <w:p>
            <w:pPr>
              <w:pStyle w:val="13"/>
            </w:pPr>
            <w:r>
              <w:t>工作人员满意度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7" w:name="_Toc_4_4_0000000028"/>
      <w:r>
        <w:rPr>
          <w:rFonts w:ascii="方正仿宋_GBK" w:hAnsi="方正仿宋_GBK" w:eastAsia="方正仿宋_GBK" w:cs="方正仿宋_GBK"/>
          <w:sz w:val="28"/>
        </w:rPr>
        <w:t>25.2025年新城镇棚改收尾项目第五批新增专项债绩效目标表</w:t>
      </w:r>
      <w:bookmarkEnd w:id="2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2025年新城镇棚改收尾项目第五批新增专项债</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500000000.00</w:t>
            </w:r>
          </w:p>
        </w:tc>
        <w:tc>
          <w:tcPr>
            <w:tcW w:w="1587" w:type="dxa"/>
            <w:vAlign w:val="center"/>
          </w:tcPr>
          <w:p>
            <w:pPr>
              <w:pStyle w:val="14"/>
            </w:pPr>
            <w:r>
              <w:t>其中：财政    资金</w:t>
            </w:r>
          </w:p>
        </w:tc>
        <w:tc>
          <w:tcPr>
            <w:tcW w:w="1843" w:type="dxa"/>
            <w:vAlign w:val="center"/>
          </w:tcPr>
          <w:p>
            <w:pPr>
              <w:pStyle w:val="13"/>
            </w:pPr>
            <w:r>
              <w:t>500000000.00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通过棚改收尾项目，改善居民生活环境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1.通过棚改收尾项目，改善居民生活环境</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棚户区改造收尾建设规模</w:t>
            </w:r>
          </w:p>
        </w:tc>
        <w:tc>
          <w:tcPr>
            <w:tcW w:w="3430" w:type="dxa"/>
            <w:vAlign w:val="center"/>
          </w:tcPr>
          <w:p>
            <w:pPr>
              <w:pStyle w:val="13"/>
            </w:pPr>
            <w:r>
              <w:t>棚户区改造收尾建设规模</w:t>
            </w:r>
          </w:p>
        </w:tc>
        <w:tc>
          <w:tcPr>
            <w:tcW w:w="2551" w:type="dxa"/>
            <w:vAlign w:val="center"/>
          </w:tcPr>
          <w:p>
            <w:pPr>
              <w:pStyle w:val="13"/>
            </w:pPr>
            <w:r>
              <w:t>≤1290088平方米</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项目竣工验收合格率</w:t>
            </w:r>
          </w:p>
        </w:tc>
        <w:tc>
          <w:tcPr>
            <w:tcW w:w="3430" w:type="dxa"/>
            <w:vAlign w:val="center"/>
          </w:tcPr>
          <w:p>
            <w:pPr>
              <w:pStyle w:val="13"/>
            </w:pPr>
            <w:r>
              <w:t>项目竣工验收合格率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工程完工时间</w:t>
            </w:r>
          </w:p>
        </w:tc>
        <w:tc>
          <w:tcPr>
            <w:tcW w:w="3430" w:type="dxa"/>
            <w:vAlign w:val="center"/>
          </w:tcPr>
          <w:p>
            <w:pPr>
              <w:pStyle w:val="13"/>
            </w:pPr>
            <w:r>
              <w:t>工程完工时间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工程费用</w:t>
            </w:r>
          </w:p>
        </w:tc>
        <w:tc>
          <w:tcPr>
            <w:tcW w:w="3430" w:type="dxa"/>
            <w:vAlign w:val="center"/>
          </w:tcPr>
          <w:p>
            <w:pPr>
              <w:pStyle w:val="13"/>
            </w:pPr>
            <w:r>
              <w:t>工程费用</w:t>
            </w:r>
          </w:p>
        </w:tc>
        <w:tc>
          <w:tcPr>
            <w:tcW w:w="2551" w:type="dxa"/>
            <w:vAlign w:val="center"/>
          </w:tcPr>
          <w:p>
            <w:pPr>
              <w:pStyle w:val="13"/>
            </w:pPr>
            <w:r>
              <w:t>≤5亿元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改善居民生活环境</w:t>
            </w:r>
          </w:p>
        </w:tc>
        <w:tc>
          <w:tcPr>
            <w:tcW w:w="3430" w:type="dxa"/>
            <w:vAlign w:val="center"/>
          </w:tcPr>
          <w:p>
            <w:pPr>
              <w:pStyle w:val="13"/>
            </w:pPr>
            <w:r>
              <w:t>改善居民生活环境</w:t>
            </w:r>
          </w:p>
        </w:tc>
        <w:tc>
          <w:tcPr>
            <w:tcW w:w="2551" w:type="dxa"/>
            <w:vAlign w:val="center"/>
          </w:tcPr>
          <w:p>
            <w:pPr>
              <w:pStyle w:val="13"/>
            </w:pPr>
            <w:r>
              <w:t>有效改善</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w:t>
            </w:r>
          </w:p>
        </w:tc>
        <w:tc>
          <w:tcPr>
            <w:tcW w:w="3430" w:type="dxa"/>
            <w:vAlign w:val="center"/>
          </w:tcPr>
          <w:p>
            <w:pPr>
              <w:pStyle w:val="13"/>
            </w:pPr>
            <w:r>
              <w:t>受益群体满意度</w:t>
            </w:r>
          </w:p>
        </w:tc>
        <w:tc>
          <w:tcPr>
            <w:tcW w:w="2551" w:type="dxa"/>
            <w:vAlign w:val="center"/>
          </w:tcPr>
          <w:p>
            <w:pPr>
              <w:pStyle w:val="13"/>
            </w:pPr>
            <w:r>
              <w:t>≥85%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8" w:name="_Toc_4_4_0000000029"/>
      <w:r>
        <w:rPr>
          <w:rFonts w:ascii="方正仿宋_GBK" w:hAnsi="方正仿宋_GBK" w:eastAsia="方正仿宋_GBK" w:cs="方正仿宋_GBK"/>
          <w:sz w:val="28"/>
        </w:rPr>
        <w:t>26.2026年编制外长聘人员经费项目绩效目标表</w:t>
      </w:r>
      <w:bookmarkEnd w:id="2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2160000.00</w:t>
            </w:r>
          </w:p>
        </w:tc>
        <w:tc>
          <w:tcPr>
            <w:tcW w:w="1587" w:type="dxa"/>
            <w:vAlign w:val="center"/>
          </w:tcPr>
          <w:p>
            <w:pPr>
              <w:pStyle w:val="14"/>
            </w:pPr>
            <w:r>
              <w:t>其中：财政    资金</w:t>
            </w:r>
          </w:p>
        </w:tc>
        <w:tc>
          <w:tcPr>
            <w:tcW w:w="1843" w:type="dxa"/>
            <w:vAlign w:val="center"/>
          </w:tcPr>
          <w:p>
            <w:pPr>
              <w:pStyle w:val="13"/>
            </w:pPr>
            <w:r>
              <w:t>2160000.00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通过发放人员工资，提高工作人员积极性，提升单位工作效率，满足员工工作需求。</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1.通过发放人员工资，提高工作人员积极性，提升单位工作效率，满足员工工作需求。</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发放工作人员数量</w:t>
            </w:r>
          </w:p>
        </w:tc>
        <w:tc>
          <w:tcPr>
            <w:tcW w:w="3430" w:type="dxa"/>
            <w:vAlign w:val="center"/>
          </w:tcPr>
          <w:p>
            <w:pPr>
              <w:pStyle w:val="13"/>
            </w:pPr>
            <w:r>
              <w:t>发放工作人员数量</w:t>
            </w:r>
          </w:p>
        </w:tc>
        <w:tc>
          <w:tcPr>
            <w:tcW w:w="2551" w:type="dxa"/>
            <w:vAlign w:val="center"/>
          </w:tcPr>
          <w:p>
            <w:pPr>
              <w:pStyle w:val="13"/>
            </w:pPr>
            <w:r>
              <w:t>≥32人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人均发放工资</w:t>
            </w:r>
          </w:p>
        </w:tc>
        <w:tc>
          <w:tcPr>
            <w:tcW w:w="3430" w:type="dxa"/>
            <w:vAlign w:val="center"/>
          </w:tcPr>
          <w:p>
            <w:pPr>
              <w:pStyle w:val="13"/>
            </w:pPr>
            <w:r>
              <w:t>人均发放工资</w:t>
            </w:r>
          </w:p>
        </w:tc>
        <w:tc>
          <w:tcPr>
            <w:tcW w:w="2551" w:type="dxa"/>
            <w:vAlign w:val="center"/>
          </w:tcPr>
          <w:p>
            <w:pPr>
              <w:pStyle w:val="13"/>
            </w:pPr>
            <w:r>
              <w:t>≤6.75万元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工资发放准确率</w:t>
            </w:r>
          </w:p>
        </w:tc>
        <w:tc>
          <w:tcPr>
            <w:tcW w:w="3430" w:type="dxa"/>
            <w:vAlign w:val="center"/>
          </w:tcPr>
          <w:p>
            <w:pPr>
              <w:pStyle w:val="13"/>
            </w:pPr>
            <w:r>
              <w:t>工资发放准确率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工资发放时间</w:t>
            </w:r>
          </w:p>
        </w:tc>
        <w:tc>
          <w:tcPr>
            <w:tcW w:w="3430" w:type="dxa"/>
            <w:vAlign w:val="center"/>
          </w:tcPr>
          <w:p>
            <w:pPr>
              <w:pStyle w:val="13"/>
            </w:pPr>
            <w:r>
              <w:t>工资发放时间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提升编制外长聘人员积极性</w:t>
            </w:r>
          </w:p>
        </w:tc>
        <w:tc>
          <w:tcPr>
            <w:tcW w:w="3430" w:type="dxa"/>
            <w:vAlign w:val="center"/>
          </w:tcPr>
          <w:p>
            <w:pPr>
              <w:pStyle w:val="13"/>
            </w:pPr>
            <w:r>
              <w:t>提升编制外长聘人员积极性</w:t>
            </w:r>
          </w:p>
        </w:tc>
        <w:tc>
          <w:tcPr>
            <w:tcW w:w="2551" w:type="dxa"/>
            <w:vAlign w:val="center"/>
          </w:tcPr>
          <w:p>
            <w:pPr>
              <w:pStyle w:val="13"/>
            </w:pPr>
            <w:r>
              <w:t>有效提升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编制外长聘人员满意度</w:t>
            </w:r>
          </w:p>
        </w:tc>
        <w:tc>
          <w:tcPr>
            <w:tcW w:w="3430" w:type="dxa"/>
            <w:vAlign w:val="center"/>
          </w:tcPr>
          <w:p>
            <w:pPr>
              <w:pStyle w:val="13"/>
            </w:pPr>
            <w:r>
              <w:t>编制外长聘人员满意</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29" w:name="_Toc_4_4_0000000030"/>
      <w:r>
        <w:rPr>
          <w:rFonts w:ascii="方正仿宋_GBK" w:hAnsi="方正仿宋_GBK" w:eastAsia="方正仿宋_GBK" w:cs="方正仿宋_GBK"/>
          <w:sz w:val="28"/>
        </w:rPr>
        <w:t>27.2026年编制外长聘人员经费项目（残疾人专职委员）绩效目标表</w:t>
      </w:r>
      <w:bookmarkEnd w:id="2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2026年编制外长聘人员经费项目（残疾人专职委员）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135100.00</w:t>
            </w:r>
          </w:p>
        </w:tc>
        <w:tc>
          <w:tcPr>
            <w:tcW w:w="1587" w:type="dxa"/>
            <w:vAlign w:val="center"/>
          </w:tcPr>
          <w:p>
            <w:pPr>
              <w:pStyle w:val="14"/>
            </w:pPr>
            <w:r>
              <w:t>其中：财政    资金</w:t>
            </w:r>
          </w:p>
        </w:tc>
        <w:tc>
          <w:tcPr>
            <w:tcW w:w="1843" w:type="dxa"/>
            <w:vAlign w:val="center"/>
          </w:tcPr>
          <w:p>
            <w:pPr>
              <w:pStyle w:val="13"/>
            </w:pPr>
            <w:r>
              <w:t>135100.00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按时、按规定发放残疾人专职委员工资总额和补贴，社会保险、公积金及其他待遇，保证基层残疾人工作有序进行，保持残疾人工作者队伍稳定性。</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1.按时、按规定发放残疾人专职委员工资总额和补贴，社会保险、公积金及其他待遇，保证基层残疾人工作有序进行，保持残疾人工作者队伍稳定性。</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残疾人专职委员人数</w:t>
            </w:r>
          </w:p>
        </w:tc>
        <w:tc>
          <w:tcPr>
            <w:tcW w:w="3430" w:type="dxa"/>
            <w:vAlign w:val="center"/>
          </w:tcPr>
          <w:p>
            <w:pPr>
              <w:pStyle w:val="13"/>
            </w:pPr>
            <w:r>
              <w:t>残疾人专职委员人数</w:t>
            </w:r>
          </w:p>
        </w:tc>
        <w:tc>
          <w:tcPr>
            <w:tcW w:w="2551" w:type="dxa"/>
            <w:vAlign w:val="center"/>
          </w:tcPr>
          <w:p>
            <w:pPr>
              <w:pStyle w:val="13"/>
            </w:pPr>
            <w:r>
              <w:t>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经费发放覆盖率</w:t>
            </w:r>
          </w:p>
        </w:tc>
        <w:tc>
          <w:tcPr>
            <w:tcW w:w="3430" w:type="dxa"/>
            <w:vAlign w:val="center"/>
          </w:tcPr>
          <w:p>
            <w:pPr>
              <w:pStyle w:val="13"/>
            </w:pPr>
            <w:r>
              <w:t>经费发放覆盖率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经费发放完成时间</w:t>
            </w:r>
          </w:p>
        </w:tc>
        <w:tc>
          <w:tcPr>
            <w:tcW w:w="3430" w:type="dxa"/>
            <w:vAlign w:val="center"/>
          </w:tcPr>
          <w:p>
            <w:pPr>
              <w:pStyle w:val="13"/>
            </w:pPr>
            <w:r>
              <w:t>经费发放完成时间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经费发放标准</w:t>
            </w:r>
          </w:p>
        </w:tc>
        <w:tc>
          <w:tcPr>
            <w:tcW w:w="3430" w:type="dxa"/>
            <w:vAlign w:val="center"/>
          </w:tcPr>
          <w:p>
            <w:pPr>
              <w:pStyle w:val="13"/>
            </w:pPr>
            <w:r>
              <w:t>经费发放标准</w:t>
            </w:r>
          </w:p>
        </w:tc>
        <w:tc>
          <w:tcPr>
            <w:tcW w:w="2551" w:type="dxa"/>
            <w:vAlign w:val="center"/>
          </w:tcPr>
          <w:p>
            <w:pPr>
              <w:pStyle w:val="13"/>
            </w:pPr>
            <w:r>
              <w:t>≤27020元/人/年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保证基层残疾人工作有序进行</w:t>
            </w:r>
          </w:p>
        </w:tc>
        <w:tc>
          <w:tcPr>
            <w:tcW w:w="3430" w:type="dxa"/>
            <w:vAlign w:val="center"/>
          </w:tcPr>
          <w:p>
            <w:pPr>
              <w:pStyle w:val="13"/>
            </w:pPr>
            <w:r>
              <w:t>保证基层残疾人工作有序进行</w:t>
            </w:r>
          </w:p>
        </w:tc>
        <w:tc>
          <w:tcPr>
            <w:tcW w:w="2551" w:type="dxa"/>
            <w:vAlign w:val="center"/>
          </w:tcPr>
          <w:p>
            <w:pPr>
              <w:pStyle w:val="13"/>
            </w:pPr>
            <w:r>
              <w:t>有效保证</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残疾人专职委员满意度</w:t>
            </w:r>
          </w:p>
        </w:tc>
        <w:tc>
          <w:tcPr>
            <w:tcW w:w="3430" w:type="dxa"/>
            <w:vAlign w:val="center"/>
          </w:tcPr>
          <w:p>
            <w:pPr>
              <w:pStyle w:val="13"/>
            </w:pPr>
            <w:r>
              <w:t>残疾人专职委员满意度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0" w:name="_Toc_4_4_0000000031"/>
      <w:r>
        <w:rPr>
          <w:rFonts w:ascii="方正仿宋_GBK" w:hAnsi="方正仿宋_GBK" w:eastAsia="方正仿宋_GBK" w:cs="方正仿宋_GBK"/>
          <w:sz w:val="28"/>
        </w:rPr>
        <w:t>28.2026年编制外长聘人员经费项目（劳动保障协管员）-行政政法室绩效目标表</w:t>
      </w:r>
      <w:bookmarkEnd w:id="3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2026年编制外长聘人员经费项目（劳动保障协管员）-行政政法室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110696.00</w:t>
            </w:r>
          </w:p>
        </w:tc>
        <w:tc>
          <w:tcPr>
            <w:tcW w:w="1587" w:type="dxa"/>
            <w:vAlign w:val="center"/>
          </w:tcPr>
          <w:p>
            <w:pPr>
              <w:pStyle w:val="14"/>
            </w:pPr>
            <w:r>
              <w:t>其中：财政    资金</w:t>
            </w:r>
          </w:p>
        </w:tc>
        <w:tc>
          <w:tcPr>
            <w:tcW w:w="1843" w:type="dxa"/>
            <w:vAlign w:val="center"/>
          </w:tcPr>
          <w:p>
            <w:pPr>
              <w:pStyle w:val="13"/>
            </w:pPr>
            <w:r>
              <w:t>110696.00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通过考量实际多种用工人员经费发放完成时间，反映多种用工人员经费支出标准的符合情况。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通过实际支出标准与规定支出标准比对，反映多种用工人员经费支出的标准的符合情况</w:t>
            </w:r>
          </w:p>
        </w:tc>
        <w:tc>
          <w:tcPr>
            <w:tcW w:w="2551" w:type="dxa"/>
            <w:vAlign w:val="center"/>
          </w:tcPr>
          <w:p>
            <w:pPr>
              <w:pStyle w:val="13"/>
            </w:pPr>
            <w:r>
              <w:t>≤11.06万元/人/年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通过调查问卷中满意度人数与调查总人数的比率，反映被调查对象对本项目的满意程度。计算公式：各类问题满意人数/调查总人数*100%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1" w:name="_Toc_4_4_0000000032"/>
      <w:r>
        <w:rPr>
          <w:rFonts w:ascii="方正仿宋_GBK" w:hAnsi="方正仿宋_GBK" w:eastAsia="方正仿宋_GBK" w:cs="方正仿宋_GBK"/>
          <w:sz w:val="28"/>
        </w:rPr>
        <w:t>29.2026年编制外长聘人员经费项目（社区工作者含退养主任）-行政政法室绩效目标表</w:t>
      </w:r>
      <w:bookmarkEnd w:id="3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2026年编制外长聘人员经费项目（社区工作者含退养主任）-行政政法室</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4634311.94</w:t>
            </w:r>
          </w:p>
        </w:tc>
        <w:tc>
          <w:tcPr>
            <w:tcW w:w="1587" w:type="dxa"/>
            <w:vAlign w:val="center"/>
          </w:tcPr>
          <w:p>
            <w:pPr>
              <w:pStyle w:val="14"/>
            </w:pPr>
            <w:r>
              <w:t>其中：财政    资金</w:t>
            </w:r>
          </w:p>
        </w:tc>
        <w:tc>
          <w:tcPr>
            <w:tcW w:w="1843" w:type="dxa"/>
            <w:vAlign w:val="center"/>
          </w:tcPr>
          <w:p>
            <w:pPr>
              <w:pStyle w:val="13"/>
            </w:pPr>
            <w:r>
              <w:t>4634311.94</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≥43人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通过考量实际多种用工人员经费发放完成时间，反映多种用工人员经费支出标准的符合情况。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通过实际支出标准与规定支出标准比对，反映多种用工人员经费支出的标准的符合情况</w:t>
            </w:r>
          </w:p>
        </w:tc>
        <w:tc>
          <w:tcPr>
            <w:tcW w:w="2551" w:type="dxa"/>
            <w:vAlign w:val="center"/>
          </w:tcPr>
          <w:p>
            <w:pPr>
              <w:pStyle w:val="13"/>
            </w:pPr>
            <w:r>
              <w:t>≤4634311.94元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通过调查问卷中满意度人数与调查总人数的比率，反映被调查对象对本项目的满意程度。计算公式：各类问题满意人数/调查总人数*100%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2" w:name="_Toc_4_4_0000000033"/>
      <w:r>
        <w:rPr>
          <w:rFonts w:ascii="方正仿宋_GBK" w:hAnsi="方正仿宋_GBK" w:eastAsia="方正仿宋_GBK" w:cs="方正仿宋_GBK"/>
          <w:sz w:val="28"/>
        </w:rPr>
        <w:t>30.2026年编制外长聘人员经费项目（文化管理员）绩效目标表</w:t>
      </w:r>
      <w:bookmarkEnd w:id="3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2026年编制外长聘人员经费项目（文化管理员）</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73550.00</w:t>
            </w:r>
          </w:p>
        </w:tc>
        <w:tc>
          <w:tcPr>
            <w:tcW w:w="1587" w:type="dxa"/>
            <w:vAlign w:val="center"/>
          </w:tcPr>
          <w:p>
            <w:pPr>
              <w:pStyle w:val="14"/>
            </w:pPr>
            <w:r>
              <w:t>其中：财政    资金</w:t>
            </w:r>
          </w:p>
        </w:tc>
        <w:tc>
          <w:tcPr>
            <w:tcW w:w="1843" w:type="dxa"/>
            <w:vAlign w:val="center"/>
          </w:tcPr>
          <w:p>
            <w:pPr>
              <w:pStyle w:val="13"/>
            </w:pPr>
            <w:r>
              <w:t>73550.00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通过发放多种用工派遣人员工作经费，保障派遣员工的基本合法权益，保障工作顺利推进。</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1.通过发放多种用工派遣人员工作经费，保障派遣员工的基本合法权益，保障工作顺利推进。</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多种用工人员经费发放人数</w:t>
            </w:r>
          </w:p>
        </w:tc>
        <w:tc>
          <w:tcPr>
            <w:tcW w:w="3430" w:type="dxa"/>
            <w:vAlign w:val="center"/>
          </w:tcPr>
          <w:p>
            <w:pPr>
              <w:pStyle w:val="13"/>
            </w:pPr>
            <w:r>
              <w:t>通过考量实际多种用工人员经费发放人数，反映多种用工人员经费发放工作开展的完成情况。</w:t>
            </w:r>
          </w:p>
        </w:tc>
        <w:tc>
          <w:tcPr>
            <w:tcW w:w="2551" w:type="dxa"/>
            <w:vAlign w:val="center"/>
          </w:tcPr>
          <w:p>
            <w:pPr>
              <w:pStyle w:val="13"/>
            </w:pPr>
            <w:r>
              <w:t>≥5人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多种用工人员经费发放准确率</w:t>
            </w:r>
          </w:p>
        </w:tc>
        <w:tc>
          <w:tcPr>
            <w:tcW w:w="3430" w:type="dxa"/>
            <w:vAlign w:val="center"/>
          </w:tcPr>
          <w:p>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多种用工人员经费发放完成时间</w:t>
            </w:r>
          </w:p>
        </w:tc>
        <w:tc>
          <w:tcPr>
            <w:tcW w:w="3430" w:type="dxa"/>
            <w:vAlign w:val="center"/>
          </w:tcPr>
          <w:p>
            <w:pPr>
              <w:pStyle w:val="13"/>
            </w:pPr>
            <w:r>
              <w:t>通过考量实际多种用工人员经费发放完成时间，反映多种用工人员经费发放工作开展的完成情况。</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多种用工人员经费标准</w:t>
            </w:r>
          </w:p>
        </w:tc>
        <w:tc>
          <w:tcPr>
            <w:tcW w:w="3430" w:type="dxa"/>
            <w:vAlign w:val="center"/>
          </w:tcPr>
          <w:p>
            <w:pPr>
              <w:pStyle w:val="13"/>
            </w:pPr>
            <w:r>
              <w:t>通过实际支出标准与规定支出标准比对，反映多种用工人员经费支出标准的符合情况。</w:t>
            </w:r>
          </w:p>
        </w:tc>
        <w:tc>
          <w:tcPr>
            <w:tcW w:w="2551" w:type="dxa"/>
            <w:vAlign w:val="center"/>
          </w:tcPr>
          <w:p>
            <w:pPr>
              <w:pStyle w:val="13"/>
            </w:pPr>
            <w:r>
              <w:t>≤1.47万元/人/年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多种用工人员到岗率</w:t>
            </w:r>
          </w:p>
        </w:tc>
        <w:tc>
          <w:tcPr>
            <w:tcW w:w="3430" w:type="dxa"/>
            <w:vAlign w:val="center"/>
          </w:tcPr>
          <w:p>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可持续影响指标</w:t>
            </w:r>
          </w:p>
        </w:tc>
        <w:tc>
          <w:tcPr>
            <w:tcW w:w="1332" w:type="dxa"/>
            <w:vAlign w:val="center"/>
          </w:tcPr>
          <w:p>
            <w:pPr>
              <w:pStyle w:val="13"/>
            </w:pPr>
            <w:r>
              <w:t>完善多种用工人员经费管理制度</w:t>
            </w:r>
          </w:p>
        </w:tc>
        <w:tc>
          <w:tcPr>
            <w:tcW w:w="3430" w:type="dxa"/>
            <w:vAlign w:val="center"/>
          </w:tcPr>
          <w:p>
            <w:pPr>
              <w:pStyle w:val="13"/>
            </w:pPr>
            <w:r>
              <w:t>通过多种用工人员经费管理制度或办法的完善情况，反映多种用工人员经费管理工作开展的长效保障效果。</w:t>
            </w:r>
          </w:p>
        </w:tc>
        <w:tc>
          <w:tcPr>
            <w:tcW w:w="2551" w:type="dxa"/>
            <w:vAlign w:val="center"/>
          </w:tcPr>
          <w:p>
            <w:pPr>
              <w:pStyle w:val="13"/>
            </w:pPr>
            <w:r>
              <w:t>持续有效</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多种用工人员满意度</w:t>
            </w:r>
          </w:p>
        </w:tc>
        <w:tc>
          <w:tcPr>
            <w:tcW w:w="3430" w:type="dxa"/>
            <w:vAlign w:val="center"/>
          </w:tcPr>
          <w:p>
            <w:pPr>
              <w:pStyle w:val="13"/>
            </w:pPr>
            <w:r>
              <w:t>通过调查问卷中满意人数与调查总人数的比率，反映被调查对象对本项目的满意程度。计算公式：各类问题满意人数÷调查总人数×100%</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3" w:name="_Toc_4_4_0000000034"/>
      <w:r>
        <w:rPr>
          <w:rFonts w:ascii="方正仿宋_GBK" w:hAnsi="方正仿宋_GBK" w:eastAsia="方正仿宋_GBK" w:cs="方正仿宋_GBK"/>
          <w:sz w:val="28"/>
        </w:rPr>
        <w:t>31.2026年村级组织运转经费绩效目标表</w:t>
      </w:r>
      <w:bookmarkEnd w:id="3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2026年村级组织运转经费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3281400.00</w:t>
            </w:r>
          </w:p>
        </w:tc>
        <w:tc>
          <w:tcPr>
            <w:tcW w:w="1587" w:type="dxa"/>
            <w:vAlign w:val="center"/>
          </w:tcPr>
          <w:p>
            <w:pPr>
              <w:pStyle w:val="14"/>
            </w:pPr>
            <w:r>
              <w:t>其中：财政    资金</w:t>
            </w:r>
          </w:p>
        </w:tc>
        <w:tc>
          <w:tcPr>
            <w:tcW w:w="1843" w:type="dxa"/>
            <w:vAlign w:val="center"/>
          </w:tcPr>
          <w:p>
            <w:pPr>
              <w:pStyle w:val="13"/>
            </w:pPr>
            <w:r>
              <w:t>3281400.00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2026年为在职村干部发放薪酬，为离任村干部发放生活补贴，为村级组织发放运转经费，保证村级组织正常运转。</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1.为农村在职村干部发放年度报酬，为离任村干部发放生活补贴，为农村党务工作者发放薪酬，对村级组织发放运转补助，保障村级组织正常运转</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在职村干部人数</w:t>
            </w:r>
          </w:p>
        </w:tc>
        <w:tc>
          <w:tcPr>
            <w:tcW w:w="3430" w:type="dxa"/>
            <w:vAlign w:val="center"/>
          </w:tcPr>
          <w:p>
            <w:pPr>
              <w:pStyle w:val="13"/>
            </w:pPr>
            <w:r>
              <w:t>在职村干部人数</w:t>
            </w:r>
          </w:p>
        </w:tc>
        <w:tc>
          <w:tcPr>
            <w:tcW w:w="2551" w:type="dxa"/>
            <w:vAlign w:val="center"/>
          </w:tcPr>
          <w:p>
            <w:pPr>
              <w:pStyle w:val="13"/>
            </w:pPr>
            <w:r>
              <w:t>≥27人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离任村干部人数</w:t>
            </w:r>
          </w:p>
        </w:tc>
        <w:tc>
          <w:tcPr>
            <w:tcW w:w="3430" w:type="dxa"/>
            <w:vAlign w:val="center"/>
          </w:tcPr>
          <w:p>
            <w:pPr>
              <w:pStyle w:val="13"/>
            </w:pPr>
            <w:r>
              <w:t>离任村干部人数</w:t>
            </w:r>
          </w:p>
        </w:tc>
        <w:tc>
          <w:tcPr>
            <w:tcW w:w="2551" w:type="dxa"/>
            <w:vAlign w:val="center"/>
          </w:tcPr>
          <w:p>
            <w:pPr>
              <w:pStyle w:val="13"/>
            </w:pPr>
            <w:r>
              <w:t>≥53人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农村党务工作者人数</w:t>
            </w:r>
          </w:p>
        </w:tc>
        <w:tc>
          <w:tcPr>
            <w:tcW w:w="3430" w:type="dxa"/>
            <w:vAlign w:val="center"/>
          </w:tcPr>
          <w:p>
            <w:pPr>
              <w:pStyle w:val="13"/>
            </w:pPr>
            <w:r>
              <w:t>农村党务工作者人数</w:t>
            </w:r>
          </w:p>
        </w:tc>
        <w:tc>
          <w:tcPr>
            <w:tcW w:w="2551" w:type="dxa"/>
            <w:vAlign w:val="center"/>
          </w:tcPr>
          <w:p>
            <w:pPr>
              <w:pStyle w:val="13"/>
            </w:pPr>
            <w:r>
              <w:t>≥2人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发放完成时间</w:t>
            </w:r>
          </w:p>
        </w:tc>
        <w:tc>
          <w:tcPr>
            <w:tcW w:w="3430" w:type="dxa"/>
            <w:vAlign w:val="center"/>
          </w:tcPr>
          <w:p>
            <w:pPr>
              <w:pStyle w:val="13"/>
            </w:pPr>
            <w:r>
              <w:t>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发放覆盖率</w:t>
            </w:r>
          </w:p>
        </w:tc>
        <w:tc>
          <w:tcPr>
            <w:tcW w:w="3430" w:type="dxa"/>
            <w:vAlign w:val="center"/>
          </w:tcPr>
          <w:p>
            <w:pPr>
              <w:pStyle w:val="13"/>
            </w:pPr>
            <w:r>
              <w:t>发放覆盖率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村级组织数</w:t>
            </w:r>
          </w:p>
        </w:tc>
        <w:tc>
          <w:tcPr>
            <w:tcW w:w="3430" w:type="dxa"/>
            <w:vAlign w:val="center"/>
          </w:tcPr>
          <w:p>
            <w:pPr>
              <w:pStyle w:val="13"/>
            </w:pPr>
            <w:r>
              <w:t>村级组织数</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在职村干部薪酬</w:t>
            </w:r>
          </w:p>
        </w:tc>
        <w:tc>
          <w:tcPr>
            <w:tcW w:w="3430" w:type="dxa"/>
            <w:vAlign w:val="center"/>
          </w:tcPr>
          <w:p>
            <w:pPr>
              <w:pStyle w:val="13"/>
            </w:pPr>
            <w:r>
              <w:t>在职村干部薪酬</w:t>
            </w:r>
          </w:p>
        </w:tc>
        <w:tc>
          <w:tcPr>
            <w:tcW w:w="2551" w:type="dxa"/>
            <w:vAlign w:val="center"/>
          </w:tcPr>
          <w:p>
            <w:pPr>
              <w:pStyle w:val="13"/>
            </w:pPr>
            <w:r>
              <w:t>≥3.05万元/人/年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离任村干部生活补贴</w:t>
            </w:r>
          </w:p>
        </w:tc>
        <w:tc>
          <w:tcPr>
            <w:tcW w:w="3430" w:type="dxa"/>
            <w:vAlign w:val="center"/>
          </w:tcPr>
          <w:p>
            <w:pPr>
              <w:pStyle w:val="13"/>
            </w:pPr>
            <w:r>
              <w:t>离任村干部生活补贴</w:t>
            </w:r>
          </w:p>
        </w:tc>
        <w:tc>
          <w:tcPr>
            <w:tcW w:w="2551" w:type="dxa"/>
            <w:vAlign w:val="center"/>
          </w:tcPr>
          <w:p>
            <w:pPr>
              <w:pStyle w:val="13"/>
            </w:pPr>
            <w:r>
              <w:t xml:space="preserve">≤1.8万元/人/年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党务工作者薪酬</w:t>
            </w:r>
          </w:p>
        </w:tc>
        <w:tc>
          <w:tcPr>
            <w:tcW w:w="3430" w:type="dxa"/>
            <w:vAlign w:val="center"/>
          </w:tcPr>
          <w:p>
            <w:pPr>
              <w:pStyle w:val="13"/>
            </w:pPr>
            <w:r>
              <w:t>党务工作者薪酬</w:t>
            </w:r>
          </w:p>
        </w:tc>
        <w:tc>
          <w:tcPr>
            <w:tcW w:w="2551" w:type="dxa"/>
            <w:vAlign w:val="center"/>
          </w:tcPr>
          <w:p>
            <w:pPr>
              <w:pStyle w:val="13"/>
            </w:pPr>
            <w:r>
              <w:t>≤14万元/人/年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农村村级组织补助标准</w:t>
            </w:r>
          </w:p>
        </w:tc>
        <w:tc>
          <w:tcPr>
            <w:tcW w:w="3430" w:type="dxa"/>
            <w:vAlign w:val="center"/>
          </w:tcPr>
          <w:p>
            <w:pPr>
              <w:pStyle w:val="13"/>
            </w:pPr>
            <w:r>
              <w:t>农村村级组织补助标准</w:t>
            </w:r>
          </w:p>
        </w:tc>
        <w:tc>
          <w:tcPr>
            <w:tcW w:w="2551" w:type="dxa"/>
            <w:vAlign w:val="center"/>
          </w:tcPr>
          <w:p>
            <w:pPr>
              <w:pStyle w:val="13"/>
            </w:pPr>
            <w:r>
              <w:t>≤20万元/个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保障在职村干部年度报酬、离任村干部生活补贴，为农村党务工作者发放薪酬，对村级组织发放运转补助，保障村级组织正常运转。</w:t>
            </w:r>
          </w:p>
        </w:tc>
        <w:tc>
          <w:tcPr>
            <w:tcW w:w="3430" w:type="dxa"/>
            <w:vAlign w:val="center"/>
          </w:tcPr>
          <w:p>
            <w:pPr>
              <w:pStyle w:val="13"/>
            </w:pPr>
            <w:r>
              <w:t>保障在职村干部年度报酬、离任村干部生活补贴，为农村党务工作者发放薪酬，对村级组织发放运转补助，保障村级组织正常运转。</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村干部满意度</w:t>
            </w:r>
          </w:p>
        </w:tc>
        <w:tc>
          <w:tcPr>
            <w:tcW w:w="3430" w:type="dxa"/>
            <w:vAlign w:val="center"/>
          </w:tcPr>
          <w:p>
            <w:pPr>
              <w:pStyle w:val="13"/>
            </w:pPr>
            <w:r>
              <w:t>村干部满意度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4" w:name="_Toc_4_4_0000000035"/>
      <w:r>
        <w:rPr>
          <w:rFonts w:ascii="方正仿宋_GBK" w:hAnsi="方正仿宋_GBK" w:eastAsia="方正仿宋_GBK" w:cs="方正仿宋_GBK"/>
          <w:sz w:val="28"/>
        </w:rPr>
        <w:t>32.2026年居委会办公经费绩效目标表</w:t>
      </w:r>
      <w:bookmarkEnd w:id="3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2026年居委会办公经费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292527.73</w:t>
            </w:r>
          </w:p>
        </w:tc>
        <w:tc>
          <w:tcPr>
            <w:tcW w:w="1587" w:type="dxa"/>
            <w:vAlign w:val="center"/>
          </w:tcPr>
          <w:p>
            <w:pPr>
              <w:pStyle w:val="14"/>
            </w:pPr>
            <w:r>
              <w:t>其中：财政    资金</w:t>
            </w:r>
          </w:p>
        </w:tc>
        <w:tc>
          <w:tcPr>
            <w:tcW w:w="1843" w:type="dxa"/>
            <w:vAlign w:val="center"/>
          </w:tcPr>
          <w:p>
            <w:pPr>
              <w:pStyle w:val="13"/>
            </w:pPr>
            <w:r>
              <w:t>292527.73</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发放城市社区居委会办公经费，保障社区服务管理工作正常开展，更好地服务社区居民。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1.发放城市社区居委会办公经费，保障社区服务管理工作正常开展，更好地服务社区居民。</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发放社区个数</w:t>
            </w:r>
          </w:p>
        </w:tc>
        <w:tc>
          <w:tcPr>
            <w:tcW w:w="3430" w:type="dxa"/>
            <w:vAlign w:val="center"/>
          </w:tcPr>
          <w:p>
            <w:pPr>
              <w:pStyle w:val="13"/>
            </w:pPr>
            <w:r>
              <w:t>发放社区个数</w:t>
            </w:r>
          </w:p>
        </w:tc>
        <w:tc>
          <w:tcPr>
            <w:tcW w:w="2551" w:type="dxa"/>
            <w:vAlign w:val="center"/>
          </w:tcPr>
          <w:p>
            <w:pPr>
              <w:pStyle w:val="13"/>
            </w:pPr>
            <w:r>
              <w:t>≥7个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发放补贴覆盖率</w:t>
            </w:r>
          </w:p>
        </w:tc>
        <w:tc>
          <w:tcPr>
            <w:tcW w:w="3430" w:type="dxa"/>
            <w:vAlign w:val="center"/>
          </w:tcPr>
          <w:p>
            <w:pPr>
              <w:pStyle w:val="13"/>
            </w:pPr>
            <w:r>
              <w:t>发放补贴覆盖率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发放完成时间</w:t>
            </w:r>
          </w:p>
        </w:tc>
        <w:tc>
          <w:tcPr>
            <w:tcW w:w="3430" w:type="dxa"/>
            <w:vAlign w:val="center"/>
          </w:tcPr>
          <w:p>
            <w:pPr>
              <w:pStyle w:val="13"/>
            </w:pPr>
            <w:r>
              <w:t>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社区补贴标准</w:t>
            </w:r>
          </w:p>
        </w:tc>
        <w:tc>
          <w:tcPr>
            <w:tcW w:w="3430" w:type="dxa"/>
            <w:vAlign w:val="center"/>
          </w:tcPr>
          <w:p>
            <w:pPr>
              <w:pStyle w:val="13"/>
            </w:pPr>
            <w:r>
              <w:t>社区补贴标准</w:t>
            </w:r>
          </w:p>
        </w:tc>
        <w:tc>
          <w:tcPr>
            <w:tcW w:w="2551" w:type="dxa"/>
            <w:vAlign w:val="center"/>
          </w:tcPr>
          <w:p>
            <w:pPr>
              <w:pStyle w:val="13"/>
            </w:pPr>
            <w:r>
              <w:t>3万元/社区/年+7.2元/户/年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社会效益指标</w:t>
            </w:r>
          </w:p>
        </w:tc>
        <w:tc>
          <w:tcPr>
            <w:tcW w:w="3430" w:type="dxa"/>
            <w:vAlign w:val="center"/>
          </w:tcPr>
          <w:p>
            <w:pPr>
              <w:pStyle w:val="13"/>
            </w:pPr>
            <w:r>
              <w:t>保障社区服务管理工作正常开展，</w:t>
            </w:r>
            <w:r>
              <w:rPr>
                <w:rFonts w:hint="eastAsia"/>
                <w:lang w:eastAsia="zh-CN"/>
              </w:rPr>
              <w:t>更好地为</w:t>
            </w:r>
            <w:r>
              <w:t>社区居民服务</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服务对象满意度指标</w:t>
            </w:r>
          </w:p>
        </w:tc>
        <w:tc>
          <w:tcPr>
            <w:tcW w:w="3430" w:type="dxa"/>
            <w:vAlign w:val="center"/>
          </w:tcPr>
          <w:p>
            <w:pPr>
              <w:pStyle w:val="13"/>
            </w:pPr>
            <w:r>
              <w:t>社区满意度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5" w:name="_Toc_4_4_0000000036"/>
      <w:r>
        <w:rPr>
          <w:rFonts w:ascii="方正仿宋_GBK" w:hAnsi="方正仿宋_GBK" w:eastAsia="方正仿宋_GBK" w:cs="方正仿宋_GBK"/>
          <w:sz w:val="28"/>
        </w:rPr>
        <w:t>33.2026年棚改收尾专项债券付息支出（综合）绩效目标表</w:t>
      </w:r>
      <w:bookmarkEnd w:id="3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2026年棚改收尾专项债券付息支出（综合）</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118400000.00</w:t>
            </w:r>
          </w:p>
        </w:tc>
        <w:tc>
          <w:tcPr>
            <w:tcW w:w="1587" w:type="dxa"/>
            <w:vAlign w:val="center"/>
          </w:tcPr>
          <w:p>
            <w:pPr>
              <w:pStyle w:val="14"/>
            </w:pPr>
            <w:r>
              <w:t>其中：财政    资金</w:t>
            </w:r>
          </w:p>
        </w:tc>
        <w:tc>
          <w:tcPr>
            <w:tcW w:w="1843" w:type="dxa"/>
            <w:vAlign w:val="center"/>
          </w:tcPr>
          <w:p>
            <w:pPr>
              <w:pStyle w:val="13"/>
            </w:pPr>
            <w:r>
              <w:t>118400000.00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支付棚改收尾专项债利息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1.通过支付专项债利息，保障项目顺利进行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利息支付合格率</w:t>
            </w:r>
          </w:p>
        </w:tc>
        <w:tc>
          <w:tcPr>
            <w:tcW w:w="3430" w:type="dxa"/>
            <w:vAlign w:val="center"/>
          </w:tcPr>
          <w:p>
            <w:pPr>
              <w:pStyle w:val="13"/>
            </w:pPr>
            <w:r>
              <w:t>利息支付合格率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≤11840万元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6" w:name="_Toc_4_4_0000000037"/>
      <w:r>
        <w:rPr>
          <w:rFonts w:ascii="方正仿宋_GBK" w:hAnsi="方正仿宋_GBK" w:eastAsia="方正仿宋_GBK" w:cs="方正仿宋_GBK"/>
          <w:sz w:val="28"/>
        </w:rPr>
        <w:t>34.2026年其他自行试点专项债券付息支出(综合）绩效目标表</w:t>
      </w:r>
      <w:bookmarkEnd w:id="3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2026年其他自行试点专项债券付息支出(综合）</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18600000.00</w:t>
            </w:r>
          </w:p>
        </w:tc>
        <w:tc>
          <w:tcPr>
            <w:tcW w:w="1587" w:type="dxa"/>
            <w:vAlign w:val="center"/>
          </w:tcPr>
          <w:p>
            <w:pPr>
              <w:pStyle w:val="14"/>
            </w:pPr>
            <w:r>
              <w:t>其中：财政    资金</w:t>
            </w:r>
          </w:p>
        </w:tc>
        <w:tc>
          <w:tcPr>
            <w:tcW w:w="1843" w:type="dxa"/>
            <w:vAlign w:val="center"/>
          </w:tcPr>
          <w:p>
            <w:pPr>
              <w:pStyle w:val="13"/>
            </w:pPr>
            <w:r>
              <w:t>18600000.00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支付棚改收尾专项债利息</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1.通过支付专项债利息，保障项目顺利进行</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利息支付合格率</w:t>
            </w:r>
          </w:p>
        </w:tc>
        <w:tc>
          <w:tcPr>
            <w:tcW w:w="3430" w:type="dxa"/>
            <w:vAlign w:val="center"/>
          </w:tcPr>
          <w:p>
            <w:pPr>
              <w:pStyle w:val="13"/>
            </w:pPr>
            <w:r>
              <w:t>利息支付合格率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≤1860万元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7" w:name="_Toc_4_4_0000000038"/>
      <w:r>
        <w:rPr>
          <w:rFonts w:ascii="方正仿宋_GBK" w:hAnsi="方正仿宋_GBK" w:eastAsia="方正仿宋_GBK" w:cs="方正仿宋_GBK"/>
          <w:sz w:val="28"/>
        </w:rPr>
        <w:t>35.2026年社区服务群众专项经费绩效目标表</w:t>
      </w:r>
      <w:bookmarkEnd w:id="3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2026年社区服务群众专项经费</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25000.00</w:t>
            </w:r>
          </w:p>
        </w:tc>
        <w:tc>
          <w:tcPr>
            <w:tcW w:w="1587" w:type="dxa"/>
            <w:vAlign w:val="center"/>
          </w:tcPr>
          <w:p>
            <w:pPr>
              <w:pStyle w:val="14"/>
            </w:pPr>
            <w:r>
              <w:t>其中：财政    资金</w:t>
            </w:r>
          </w:p>
        </w:tc>
        <w:tc>
          <w:tcPr>
            <w:tcW w:w="1843" w:type="dxa"/>
            <w:vAlign w:val="center"/>
          </w:tcPr>
          <w:p>
            <w:pPr>
              <w:pStyle w:val="13"/>
            </w:pPr>
            <w:r>
              <w:t>25000.00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发放城市社区服务群众专项经费，用于为社区居民办好事、办实事，进一步提升社区党组织服务群众能力和水平。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1.发放城市社区服务群众专项经费，用于为社区居民办好事、办实事，进一步提升社区党组织服务群众能力和水平。</w:t>
            </w:r>
            <w:r>
              <w:tab/>
            </w:r>
            <w:r>
              <w:tab/>
            </w:r>
            <w:r>
              <w:tab/>
            </w:r>
            <w:r>
              <w:tab/>
            </w:r>
            <w:r>
              <w:tab/>
            </w:r>
            <w:r>
              <w:tab/>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发放社区个数</w:t>
            </w:r>
          </w:p>
        </w:tc>
        <w:tc>
          <w:tcPr>
            <w:tcW w:w="3430" w:type="dxa"/>
            <w:vAlign w:val="center"/>
          </w:tcPr>
          <w:p>
            <w:pPr>
              <w:pStyle w:val="13"/>
            </w:pPr>
            <w:r>
              <w:t>发放社区个数</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发放补贴覆盖率</w:t>
            </w:r>
          </w:p>
        </w:tc>
        <w:tc>
          <w:tcPr>
            <w:tcW w:w="3430" w:type="dxa"/>
            <w:vAlign w:val="center"/>
          </w:tcPr>
          <w:p>
            <w:pPr>
              <w:pStyle w:val="13"/>
            </w:pPr>
            <w:r>
              <w:t>发放补贴覆盖率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补贴发放完成时间</w:t>
            </w:r>
          </w:p>
        </w:tc>
        <w:tc>
          <w:tcPr>
            <w:tcW w:w="3430" w:type="dxa"/>
            <w:vAlign w:val="center"/>
          </w:tcPr>
          <w:p>
            <w:pPr>
              <w:pStyle w:val="13"/>
            </w:pPr>
            <w:r>
              <w:t>补贴发放完成时间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社区补贴标准</w:t>
            </w:r>
          </w:p>
        </w:tc>
        <w:tc>
          <w:tcPr>
            <w:tcW w:w="3430" w:type="dxa"/>
            <w:vAlign w:val="center"/>
          </w:tcPr>
          <w:p>
            <w:pPr>
              <w:pStyle w:val="13"/>
            </w:pPr>
            <w:r>
              <w:t>社区补贴标准</w:t>
            </w:r>
          </w:p>
        </w:tc>
        <w:tc>
          <w:tcPr>
            <w:tcW w:w="2551" w:type="dxa"/>
            <w:vAlign w:val="center"/>
          </w:tcPr>
          <w:p>
            <w:pPr>
              <w:pStyle w:val="13"/>
            </w:pPr>
            <w:r>
              <w:t>≤0.5万元/个/年</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保障社区服务工作正常开展，为社区居民办好事、办实事，进一步提升社区党组织服务群众能力和水平。</w:t>
            </w:r>
          </w:p>
        </w:tc>
        <w:tc>
          <w:tcPr>
            <w:tcW w:w="3430" w:type="dxa"/>
            <w:vAlign w:val="center"/>
          </w:tcPr>
          <w:p>
            <w:pPr>
              <w:pStyle w:val="13"/>
            </w:pPr>
            <w:r>
              <w:t>保障社区服务工作正常开展，用于为居民办好事、办实事，进一步提升社区党组织服务群众能力和水平。</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社区满意度</w:t>
            </w:r>
          </w:p>
        </w:tc>
        <w:tc>
          <w:tcPr>
            <w:tcW w:w="3430" w:type="dxa"/>
            <w:vAlign w:val="center"/>
          </w:tcPr>
          <w:p>
            <w:pPr>
              <w:pStyle w:val="13"/>
            </w:pPr>
            <w:r>
              <w:t>社区满意度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8" w:name="_Toc_4_4_0000000039"/>
      <w:r>
        <w:rPr>
          <w:rFonts w:ascii="方正仿宋_GBK" w:hAnsi="方正仿宋_GBK" w:eastAsia="方正仿宋_GBK" w:cs="方正仿宋_GBK"/>
          <w:sz w:val="28"/>
        </w:rPr>
        <w:t>36.2026年西中环其他自行试点专项债券付息支出（预算）绩效目标表</w:t>
      </w:r>
      <w:bookmarkEnd w:id="3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2026年西中环其他自行试点专项债券付息支出（预算）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43980000.00</w:t>
            </w:r>
          </w:p>
        </w:tc>
        <w:tc>
          <w:tcPr>
            <w:tcW w:w="1587" w:type="dxa"/>
            <w:vAlign w:val="center"/>
          </w:tcPr>
          <w:p>
            <w:pPr>
              <w:pStyle w:val="14"/>
            </w:pPr>
            <w:r>
              <w:t>其中：财政    资金</w:t>
            </w:r>
          </w:p>
        </w:tc>
        <w:tc>
          <w:tcPr>
            <w:tcW w:w="1843" w:type="dxa"/>
            <w:vAlign w:val="center"/>
          </w:tcPr>
          <w:p>
            <w:pPr>
              <w:pStyle w:val="13"/>
            </w:pPr>
            <w:r>
              <w:t>43980000.00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通过支付专项债利息，保障债权人权益</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1.通过支付专项债利息，保障债权人权益</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≤43980000元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39" w:name="_Toc_4_4_0000000040"/>
      <w:r>
        <w:rPr>
          <w:rFonts w:ascii="方正仿宋_GBK" w:hAnsi="方正仿宋_GBK" w:eastAsia="方正仿宋_GBK" w:cs="方正仿宋_GBK"/>
          <w:sz w:val="28"/>
        </w:rPr>
        <w:t>37.2026年新城镇清理拖欠专项债券项目其他政府性基金债券付息支出（预算）绩效目标表</w:t>
      </w:r>
      <w:bookmarkEnd w:id="3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2026年新城镇清理拖欠专项债券项目其他政府性基金债券付息支出（预算）</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1193336.27</w:t>
            </w:r>
          </w:p>
        </w:tc>
        <w:tc>
          <w:tcPr>
            <w:tcW w:w="1587" w:type="dxa"/>
            <w:vAlign w:val="center"/>
          </w:tcPr>
          <w:p>
            <w:pPr>
              <w:pStyle w:val="14"/>
            </w:pPr>
            <w:r>
              <w:t>其中：财政    资金</w:t>
            </w:r>
          </w:p>
        </w:tc>
        <w:tc>
          <w:tcPr>
            <w:tcW w:w="1843" w:type="dxa"/>
            <w:vAlign w:val="center"/>
          </w:tcPr>
          <w:p>
            <w:pPr>
              <w:pStyle w:val="13"/>
            </w:pPr>
            <w:r>
              <w:t>1193336.27</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通过2026年新城镇清理拖欠专项项目其他性基金债券付息支出，保障债权人权利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1.通过2026年新城镇清理拖欠专项项目其他性基金债券付息支出，保障债权人权利</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支付银行利息合同数量</w:t>
            </w:r>
          </w:p>
        </w:tc>
        <w:tc>
          <w:tcPr>
            <w:tcW w:w="3430" w:type="dxa"/>
            <w:vAlign w:val="center"/>
          </w:tcPr>
          <w:p>
            <w:pPr>
              <w:pStyle w:val="13"/>
            </w:pPr>
            <w:r>
              <w:t>支付银行利息合同数量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利息支付合规率</w:t>
            </w:r>
          </w:p>
        </w:tc>
        <w:tc>
          <w:tcPr>
            <w:tcW w:w="3430" w:type="dxa"/>
            <w:vAlign w:val="center"/>
          </w:tcPr>
          <w:p>
            <w:pPr>
              <w:pStyle w:val="13"/>
            </w:pPr>
            <w:r>
              <w:t>利息支付合规率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利息支付完成时间</w:t>
            </w:r>
          </w:p>
        </w:tc>
        <w:tc>
          <w:tcPr>
            <w:tcW w:w="3430" w:type="dxa"/>
            <w:vAlign w:val="center"/>
          </w:tcPr>
          <w:p>
            <w:pPr>
              <w:pStyle w:val="13"/>
            </w:pPr>
            <w:r>
              <w:t>利息支付完成时间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偿还本息</w:t>
            </w:r>
          </w:p>
        </w:tc>
        <w:tc>
          <w:tcPr>
            <w:tcW w:w="3430" w:type="dxa"/>
            <w:vAlign w:val="center"/>
          </w:tcPr>
          <w:p>
            <w:pPr>
              <w:pStyle w:val="13"/>
            </w:pPr>
            <w:r>
              <w:t>偿还本息</w:t>
            </w:r>
          </w:p>
        </w:tc>
        <w:tc>
          <w:tcPr>
            <w:tcW w:w="2551" w:type="dxa"/>
            <w:vAlign w:val="center"/>
          </w:tcPr>
          <w:p>
            <w:pPr>
              <w:pStyle w:val="13"/>
            </w:pPr>
            <w:r>
              <w:t>≤1193336.27元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保障债权人权利，保障项目顺利进行</w:t>
            </w:r>
          </w:p>
        </w:tc>
        <w:tc>
          <w:tcPr>
            <w:tcW w:w="3430" w:type="dxa"/>
            <w:vAlign w:val="center"/>
          </w:tcPr>
          <w:p>
            <w:pPr>
              <w:pStyle w:val="13"/>
            </w:pPr>
            <w:r>
              <w:t>保障债权人权利，保障项目顺利进行</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债权人满意度</w:t>
            </w:r>
          </w:p>
        </w:tc>
        <w:tc>
          <w:tcPr>
            <w:tcW w:w="3430" w:type="dxa"/>
            <w:vAlign w:val="center"/>
          </w:tcPr>
          <w:p>
            <w:pPr>
              <w:pStyle w:val="13"/>
            </w:pPr>
            <w:r>
              <w:t>债权人满意度</w:t>
            </w:r>
          </w:p>
        </w:tc>
        <w:tc>
          <w:tcPr>
            <w:tcW w:w="2551" w:type="dxa"/>
            <w:vAlign w:val="center"/>
          </w:tcPr>
          <w:p>
            <w:pPr>
              <w:pStyle w:val="13"/>
            </w:pPr>
            <w:r>
              <w:t>≥98%</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0" w:name="_Toc_4_4_0000000041"/>
      <w:r>
        <w:rPr>
          <w:rFonts w:ascii="方正仿宋_GBK" w:hAnsi="方正仿宋_GBK" w:eastAsia="方正仿宋_GBK" w:cs="方正仿宋_GBK"/>
          <w:sz w:val="28"/>
        </w:rPr>
        <w:t>38.2026年新城镇提前下达中央公共文化服务及免费开放补助资金（津财教指[2025]95号）绩效目标表</w:t>
      </w:r>
      <w:bookmarkEnd w:id="4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2026年新城镇提前下达中央公共文化服务及免费开放补助资金（津财教指[2025]95号）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42252.00</w:t>
            </w:r>
          </w:p>
        </w:tc>
        <w:tc>
          <w:tcPr>
            <w:tcW w:w="1587" w:type="dxa"/>
            <w:vAlign w:val="center"/>
          </w:tcPr>
          <w:p>
            <w:pPr>
              <w:pStyle w:val="14"/>
            </w:pPr>
            <w:r>
              <w:t>其中：财政    资金</w:t>
            </w:r>
          </w:p>
        </w:tc>
        <w:tc>
          <w:tcPr>
            <w:tcW w:w="1843" w:type="dxa"/>
            <w:vAlign w:val="center"/>
          </w:tcPr>
          <w:p>
            <w:pPr>
              <w:pStyle w:val="13"/>
            </w:pPr>
            <w:r>
              <w:t>42252.00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组织公益性群众文化活动、举办公益性讲座和展览宣传等，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组织公益性群众文化活动、举办公益性讲座和展览宣传等，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补贴街镇个数</w:t>
            </w:r>
          </w:p>
        </w:tc>
        <w:tc>
          <w:tcPr>
            <w:tcW w:w="3430" w:type="dxa"/>
            <w:vAlign w:val="center"/>
          </w:tcPr>
          <w:p>
            <w:pPr>
              <w:pStyle w:val="13"/>
            </w:pPr>
            <w:r>
              <w:t>补贴街镇个数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补贴农村个数</w:t>
            </w:r>
          </w:p>
        </w:tc>
        <w:tc>
          <w:tcPr>
            <w:tcW w:w="3430" w:type="dxa"/>
            <w:vAlign w:val="center"/>
          </w:tcPr>
          <w:p>
            <w:pPr>
              <w:pStyle w:val="13"/>
            </w:pPr>
            <w:r>
              <w:t>补贴农村个数</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补贴社区个数</w:t>
            </w:r>
          </w:p>
        </w:tc>
        <w:tc>
          <w:tcPr>
            <w:tcW w:w="3430" w:type="dxa"/>
            <w:vAlign w:val="center"/>
          </w:tcPr>
          <w:p>
            <w:pPr>
              <w:pStyle w:val="13"/>
            </w:pPr>
            <w:r>
              <w:t>补贴社区个数</w:t>
            </w:r>
          </w:p>
        </w:tc>
        <w:tc>
          <w:tcPr>
            <w:tcW w:w="2551" w:type="dxa"/>
            <w:vAlign w:val="center"/>
          </w:tcPr>
          <w:p>
            <w:pPr>
              <w:pStyle w:val="13"/>
            </w:pPr>
            <w:r>
              <w:t>≥5个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街镇每年举办活动数量</w:t>
            </w:r>
          </w:p>
        </w:tc>
        <w:tc>
          <w:tcPr>
            <w:tcW w:w="3430" w:type="dxa"/>
            <w:vAlign w:val="center"/>
          </w:tcPr>
          <w:p>
            <w:pPr>
              <w:pStyle w:val="13"/>
            </w:pPr>
            <w:r>
              <w:t>街镇每年举办活动数量</w:t>
            </w:r>
          </w:p>
        </w:tc>
        <w:tc>
          <w:tcPr>
            <w:tcW w:w="2551" w:type="dxa"/>
            <w:vAlign w:val="center"/>
          </w:tcPr>
          <w:p>
            <w:pPr>
              <w:pStyle w:val="13"/>
            </w:pPr>
            <w:r>
              <w:t>≥52场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每村居每年举办活动数量</w:t>
            </w:r>
          </w:p>
        </w:tc>
        <w:tc>
          <w:tcPr>
            <w:tcW w:w="3430" w:type="dxa"/>
            <w:vAlign w:val="center"/>
          </w:tcPr>
          <w:p>
            <w:pPr>
              <w:pStyle w:val="13"/>
            </w:pPr>
            <w:r>
              <w:t>每村居每年举办活动数量</w:t>
            </w:r>
          </w:p>
        </w:tc>
        <w:tc>
          <w:tcPr>
            <w:tcW w:w="2551" w:type="dxa"/>
            <w:vAlign w:val="center"/>
          </w:tcPr>
          <w:p>
            <w:pPr>
              <w:pStyle w:val="13"/>
            </w:pPr>
            <w:r>
              <w:t>≥12场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补助资金使用合规率</w:t>
            </w:r>
          </w:p>
        </w:tc>
        <w:tc>
          <w:tcPr>
            <w:tcW w:w="3430" w:type="dxa"/>
            <w:vAlign w:val="center"/>
          </w:tcPr>
          <w:p>
            <w:pPr>
              <w:pStyle w:val="13"/>
            </w:pPr>
            <w:r>
              <w:t>补助资金使用合规率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活动开展覆盖率</w:t>
            </w:r>
          </w:p>
        </w:tc>
        <w:tc>
          <w:tcPr>
            <w:tcW w:w="3430" w:type="dxa"/>
            <w:vAlign w:val="center"/>
          </w:tcPr>
          <w:p>
            <w:pPr>
              <w:pStyle w:val="13"/>
            </w:pPr>
            <w:r>
              <w:t>活动开展覆盖率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补贴发放时间</w:t>
            </w:r>
          </w:p>
        </w:tc>
        <w:tc>
          <w:tcPr>
            <w:tcW w:w="3430" w:type="dxa"/>
            <w:vAlign w:val="center"/>
          </w:tcPr>
          <w:p>
            <w:pPr>
              <w:pStyle w:val="13"/>
            </w:pPr>
            <w:r>
              <w:t>补贴发放时间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活动开展时间</w:t>
            </w:r>
          </w:p>
        </w:tc>
        <w:tc>
          <w:tcPr>
            <w:tcW w:w="3430" w:type="dxa"/>
            <w:vAlign w:val="center"/>
          </w:tcPr>
          <w:p>
            <w:pPr>
              <w:pStyle w:val="13"/>
            </w:pPr>
            <w:r>
              <w:t>活动开展时间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街镇文化站周开放时间</w:t>
            </w:r>
          </w:p>
        </w:tc>
        <w:tc>
          <w:tcPr>
            <w:tcW w:w="3430" w:type="dxa"/>
            <w:vAlign w:val="center"/>
          </w:tcPr>
          <w:p>
            <w:pPr>
              <w:pStyle w:val="13"/>
            </w:pPr>
            <w:r>
              <w:t>街镇文化站周开放时间</w:t>
            </w:r>
          </w:p>
        </w:tc>
        <w:tc>
          <w:tcPr>
            <w:tcW w:w="2551" w:type="dxa"/>
            <w:vAlign w:val="center"/>
          </w:tcPr>
          <w:p>
            <w:pPr>
              <w:pStyle w:val="13"/>
            </w:pPr>
            <w:r>
              <w:t>≥42小时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街镇补贴标准（按照每街镇补贴6万*20%*90%）</w:t>
            </w:r>
          </w:p>
        </w:tc>
        <w:tc>
          <w:tcPr>
            <w:tcW w:w="3430" w:type="dxa"/>
            <w:vAlign w:val="center"/>
          </w:tcPr>
          <w:p>
            <w:pPr>
              <w:pStyle w:val="13"/>
            </w:pPr>
            <w:r>
              <w:t>街镇补贴标准（按照每街镇补贴6万*20%*90%）</w:t>
            </w:r>
          </w:p>
        </w:tc>
        <w:tc>
          <w:tcPr>
            <w:tcW w:w="2551" w:type="dxa"/>
            <w:vAlign w:val="center"/>
          </w:tcPr>
          <w:p>
            <w:pPr>
              <w:pStyle w:val="13"/>
            </w:pPr>
            <w:r>
              <w:t>10800元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村补贴标准（按照每个村补贴1.16*20%*90%）</w:t>
            </w:r>
          </w:p>
        </w:tc>
        <w:tc>
          <w:tcPr>
            <w:tcW w:w="3430" w:type="dxa"/>
            <w:vAlign w:val="center"/>
          </w:tcPr>
          <w:p>
            <w:pPr>
              <w:pStyle w:val="13"/>
            </w:pPr>
            <w:r>
              <w:t>村补贴标准（按照每个村补贴1.16*20%*90%）</w:t>
            </w:r>
          </w:p>
        </w:tc>
        <w:tc>
          <w:tcPr>
            <w:tcW w:w="2551" w:type="dxa"/>
            <w:vAlign w:val="center"/>
          </w:tcPr>
          <w:p>
            <w:pPr>
              <w:pStyle w:val="13"/>
            </w:pPr>
            <w:r>
              <w:t>2088元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居补贴标准（按照每个居补贴0.9万*20%*90%）</w:t>
            </w:r>
          </w:p>
        </w:tc>
        <w:tc>
          <w:tcPr>
            <w:tcW w:w="3430" w:type="dxa"/>
            <w:vAlign w:val="center"/>
          </w:tcPr>
          <w:p>
            <w:pPr>
              <w:pStyle w:val="13"/>
            </w:pPr>
            <w:r>
              <w:t>居补贴标准（按照每个居补贴0.9万*20%*90%）</w:t>
            </w:r>
          </w:p>
        </w:tc>
        <w:tc>
          <w:tcPr>
            <w:tcW w:w="2551" w:type="dxa"/>
            <w:vAlign w:val="center"/>
          </w:tcPr>
          <w:p>
            <w:pPr>
              <w:pStyle w:val="13"/>
            </w:pPr>
            <w:r>
              <w:t>1620元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免费开放资金补贴标准</w:t>
            </w:r>
          </w:p>
        </w:tc>
        <w:tc>
          <w:tcPr>
            <w:tcW w:w="3430" w:type="dxa"/>
            <w:vAlign w:val="center"/>
          </w:tcPr>
          <w:p>
            <w:pPr>
              <w:pStyle w:val="13"/>
            </w:pPr>
            <w:r>
              <w:t>免费开放资金补贴标准</w:t>
            </w:r>
          </w:p>
        </w:tc>
        <w:tc>
          <w:tcPr>
            <w:tcW w:w="2551" w:type="dxa"/>
            <w:vAlign w:val="center"/>
          </w:tcPr>
          <w:p>
            <w:pPr>
              <w:pStyle w:val="13"/>
            </w:pPr>
            <w:r>
              <w:t>1.5万元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提升基层公共文化服务水平</w:t>
            </w:r>
          </w:p>
        </w:tc>
        <w:tc>
          <w:tcPr>
            <w:tcW w:w="3430" w:type="dxa"/>
            <w:vAlign w:val="center"/>
          </w:tcPr>
          <w:p>
            <w:pPr>
              <w:pStyle w:val="13"/>
            </w:pPr>
            <w:r>
              <w:t>提升基层公共文化服务水平</w:t>
            </w:r>
          </w:p>
        </w:tc>
        <w:tc>
          <w:tcPr>
            <w:tcW w:w="2551" w:type="dxa"/>
            <w:vAlign w:val="center"/>
          </w:tcPr>
          <w:p>
            <w:pPr>
              <w:pStyle w:val="13"/>
            </w:pPr>
            <w:r>
              <w:t>逐年提升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1" w:name="_Toc_4_4_0000000042"/>
      <w:r>
        <w:rPr>
          <w:rFonts w:ascii="方正仿宋_GBK" w:hAnsi="方正仿宋_GBK" w:eastAsia="方正仿宋_GBK" w:cs="方正仿宋_GBK"/>
          <w:sz w:val="28"/>
        </w:rPr>
        <w:t>39.2026年新城镇文化站区级免费开放补助资金绩效目标表</w:t>
      </w:r>
      <w:bookmarkEnd w:id="4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2026年新城镇文化站区级免费开放补助资金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35000.00</w:t>
            </w:r>
          </w:p>
        </w:tc>
        <w:tc>
          <w:tcPr>
            <w:tcW w:w="1587" w:type="dxa"/>
            <w:vAlign w:val="center"/>
          </w:tcPr>
          <w:p>
            <w:pPr>
              <w:pStyle w:val="14"/>
            </w:pPr>
            <w:r>
              <w:t>其中：财政    资金</w:t>
            </w:r>
          </w:p>
        </w:tc>
        <w:tc>
          <w:tcPr>
            <w:tcW w:w="1843" w:type="dxa"/>
            <w:vAlign w:val="center"/>
          </w:tcPr>
          <w:p>
            <w:pPr>
              <w:pStyle w:val="13"/>
            </w:pPr>
            <w:r>
              <w:t>35000.00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保障各街镇文化站免费开放，用于各街镇组织公益性群众文化活动、举办公益性讲座和展览宣传，村、社区文化骨干辅导，业务活动用房小型修缮及零星业务设备。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1.保障各街镇文化站免费开放，用于各街镇组织公益性群众文化活动、举办公益性讲座和展览宣传，村、社区文化骨干辅导，业务活动用房小型修缮及零星业务设备。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每街镇每年举办活动数量</w:t>
            </w:r>
          </w:p>
        </w:tc>
        <w:tc>
          <w:tcPr>
            <w:tcW w:w="3430" w:type="dxa"/>
            <w:vAlign w:val="center"/>
          </w:tcPr>
          <w:p>
            <w:pPr>
              <w:pStyle w:val="13"/>
            </w:pPr>
            <w:r>
              <w:t>每街镇每年举办活动数量</w:t>
            </w:r>
          </w:p>
        </w:tc>
        <w:tc>
          <w:tcPr>
            <w:tcW w:w="2551" w:type="dxa"/>
            <w:vAlign w:val="center"/>
          </w:tcPr>
          <w:p>
            <w:pPr>
              <w:pStyle w:val="13"/>
            </w:pPr>
            <w:r>
              <w:t>≥52场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补助资金发放合规率</w:t>
            </w:r>
          </w:p>
        </w:tc>
        <w:tc>
          <w:tcPr>
            <w:tcW w:w="3430" w:type="dxa"/>
            <w:vAlign w:val="center"/>
          </w:tcPr>
          <w:p>
            <w:pPr>
              <w:pStyle w:val="13"/>
            </w:pPr>
            <w:r>
              <w:t>补助资金发放合规率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补贴发放完成时间</w:t>
            </w:r>
          </w:p>
        </w:tc>
        <w:tc>
          <w:tcPr>
            <w:tcW w:w="3430" w:type="dxa"/>
            <w:vAlign w:val="center"/>
          </w:tcPr>
          <w:p>
            <w:pPr>
              <w:pStyle w:val="13"/>
            </w:pPr>
            <w:r>
              <w:t>补贴发放完成时间</w:t>
            </w:r>
          </w:p>
        </w:tc>
        <w:tc>
          <w:tcPr>
            <w:tcW w:w="2551" w:type="dxa"/>
            <w:vAlign w:val="center"/>
          </w:tcPr>
          <w:p>
            <w:pPr>
              <w:pStyle w:val="13"/>
            </w:pPr>
            <w:r>
              <w:t>2026年12月底完成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街镇文化站周开放时间</w:t>
            </w:r>
          </w:p>
        </w:tc>
        <w:tc>
          <w:tcPr>
            <w:tcW w:w="3430" w:type="dxa"/>
            <w:vAlign w:val="center"/>
          </w:tcPr>
          <w:p>
            <w:pPr>
              <w:pStyle w:val="13"/>
            </w:pPr>
            <w:r>
              <w:t>街镇文化站周开放时间</w:t>
            </w:r>
          </w:p>
        </w:tc>
        <w:tc>
          <w:tcPr>
            <w:tcW w:w="2551" w:type="dxa"/>
            <w:vAlign w:val="center"/>
          </w:tcPr>
          <w:p>
            <w:pPr>
              <w:pStyle w:val="13"/>
            </w:pPr>
            <w:r>
              <w:t>≥42小时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每个街镇补贴标准</w:t>
            </w:r>
          </w:p>
        </w:tc>
        <w:tc>
          <w:tcPr>
            <w:tcW w:w="3430" w:type="dxa"/>
            <w:vAlign w:val="center"/>
          </w:tcPr>
          <w:p>
            <w:pPr>
              <w:pStyle w:val="13"/>
            </w:pPr>
            <w:r>
              <w:t>每个街镇补贴标准</w:t>
            </w:r>
          </w:p>
        </w:tc>
        <w:tc>
          <w:tcPr>
            <w:tcW w:w="2551" w:type="dxa"/>
            <w:vAlign w:val="center"/>
          </w:tcPr>
          <w:p>
            <w:pPr>
              <w:pStyle w:val="13"/>
            </w:pPr>
            <w:r>
              <w:t>3.5万元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提升百姓文化幸福感</w:t>
            </w:r>
          </w:p>
        </w:tc>
        <w:tc>
          <w:tcPr>
            <w:tcW w:w="3430" w:type="dxa"/>
            <w:vAlign w:val="center"/>
          </w:tcPr>
          <w:p>
            <w:pPr>
              <w:pStyle w:val="13"/>
            </w:pPr>
            <w:r>
              <w:t>提升百姓文化幸福感</w:t>
            </w:r>
          </w:p>
        </w:tc>
        <w:tc>
          <w:tcPr>
            <w:tcW w:w="2551" w:type="dxa"/>
            <w:vAlign w:val="center"/>
          </w:tcPr>
          <w:p>
            <w:pPr>
              <w:pStyle w:val="13"/>
            </w:pPr>
            <w:r>
              <w:t>逐年提升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补贴对象满意度</w:t>
            </w:r>
          </w:p>
        </w:tc>
        <w:tc>
          <w:tcPr>
            <w:tcW w:w="3430" w:type="dxa"/>
            <w:vAlign w:val="center"/>
          </w:tcPr>
          <w:p>
            <w:pPr>
              <w:pStyle w:val="13"/>
            </w:pPr>
            <w:r>
              <w:t>补贴对象满意度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2" w:name="_Toc_4_4_0000000043"/>
      <w:r>
        <w:rPr>
          <w:rFonts w:ascii="方正仿宋_GBK" w:hAnsi="方正仿宋_GBK" w:eastAsia="方正仿宋_GBK" w:cs="方正仿宋_GBK"/>
          <w:sz w:val="28"/>
        </w:rPr>
        <w:t>40.2026年选调生到村任职工作补助区配套资金绩效目标表</w:t>
      </w:r>
      <w:bookmarkEnd w:id="4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2026年选调生到村任职工作补助区配套资金</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7025.00</w:t>
            </w:r>
          </w:p>
        </w:tc>
        <w:tc>
          <w:tcPr>
            <w:tcW w:w="1587" w:type="dxa"/>
            <w:vAlign w:val="center"/>
          </w:tcPr>
          <w:p>
            <w:pPr>
              <w:pStyle w:val="14"/>
            </w:pPr>
            <w:r>
              <w:t>其中：财政    资金</w:t>
            </w:r>
          </w:p>
        </w:tc>
        <w:tc>
          <w:tcPr>
            <w:tcW w:w="1843" w:type="dxa"/>
            <w:vAlign w:val="center"/>
          </w:tcPr>
          <w:p>
            <w:pPr>
              <w:pStyle w:val="13"/>
            </w:pPr>
            <w:r>
              <w:t>7025.00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用于选调生在村服务的资金保障，提高服务群众的质量。</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1.通过为选调生发放任职工作补贴，保障选调生基本生活。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发放人数</w:t>
            </w:r>
          </w:p>
        </w:tc>
        <w:tc>
          <w:tcPr>
            <w:tcW w:w="3430" w:type="dxa"/>
            <w:vAlign w:val="center"/>
          </w:tcPr>
          <w:p>
            <w:pPr>
              <w:pStyle w:val="13"/>
            </w:pPr>
            <w:r>
              <w:t>发放人数</w:t>
            </w:r>
          </w:p>
        </w:tc>
        <w:tc>
          <w:tcPr>
            <w:tcW w:w="2551" w:type="dxa"/>
            <w:vAlign w:val="center"/>
          </w:tcPr>
          <w:p>
            <w:pPr>
              <w:pStyle w:val="13"/>
            </w:pPr>
            <w:r>
              <w:t>≥1人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资金发放合规率</w:t>
            </w:r>
          </w:p>
        </w:tc>
        <w:tc>
          <w:tcPr>
            <w:tcW w:w="3430" w:type="dxa"/>
            <w:vAlign w:val="center"/>
          </w:tcPr>
          <w:p>
            <w:pPr>
              <w:pStyle w:val="13"/>
            </w:pPr>
            <w:r>
              <w:t>资金发放合规率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资金发放完成时间</w:t>
            </w:r>
          </w:p>
        </w:tc>
        <w:tc>
          <w:tcPr>
            <w:tcW w:w="3430" w:type="dxa"/>
            <w:vAlign w:val="center"/>
          </w:tcPr>
          <w:p>
            <w:pPr>
              <w:pStyle w:val="13"/>
            </w:pPr>
            <w:r>
              <w:t>资金发放完成时间</w:t>
            </w:r>
          </w:p>
        </w:tc>
        <w:tc>
          <w:tcPr>
            <w:tcW w:w="2551" w:type="dxa"/>
            <w:vAlign w:val="center"/>
          </w:tcPr>
          <w:p>
            <w:pPr>
              <w:pStyle w:val="13"/>
            </w:pPr>
            <w:r>
              <w:t>2026年12月底前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补助资金发放标准</w:t>
            </w:r>
          </w:p>
        </w:tc>
        <w:tc>
          <w:tcPr>
            <w:tcW w:w="3430" w:type="dxa"/>
            <w:vAlign w:val="center"/>
          </w:tcPr>
          <w:p>
            <w:pPr>
              <w:pStyle w:val="13"/>
            </w:pPr>
            <w:r>
              <w:t>补助资金发放标准</w:t>
            </w:r>
          </w:p>
        </w:tc>
        <w:tc>
          <w:tcPr>
            <w:tcW w:w="2551" w:type="dxa"/>
            <w:vAlign w:val="center"/>
          </w:tcPr>
          <w:p>
            <w:pPr>
              <w:pStyle w:val="13"/>
            </w:pPr>
            <w:r>
              <w:t>≤7025元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保障选调生生活水平</w:t>
            </w:r>
          </w:p>
        </w:tc>
        <w:tc>
          <w:tcPr>
            <w:tcW w:w="3430" w:type="dxa"/>
            <w:vAlign w:val="center"/>
          </w:tcPr>
          <w:p>
            <w:pPr>
              <w:pStyle w:val="13"/>
            </w:pPr>
            <w:r>
              <w:t>保障选调生生活水平</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选调生满意度</w:t>
            </w:r>
          </w:p>
        </w:tc>
        <w:tc>
          <w:tcPr>
            <w:tcW w:w="3430" w:type="dxa"/>
            <w:vAlign w:val="center"/>
          </w:tcPr>
          <w:p>
            <w:pPr>
              <w:pStyle w:val="13"/>
            </w:pPr>
            <w:r>
              <w:t>选调生满意度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3" w:name="_Toc_4_4_0000000044"/>
      <w:r>
        <w:rPr>
          <w:rFonts w:ascii="方正仿宋_GBK" w:hAnsi="方正仿宋_GBK" w:eastAsia="方正仿宋_GBK" w:cs="方正仿宋_GBK"/>
          <w:sz w:val="28"/>
        </w:rPr>
        <w:t>41.天津市财政局关于提前下达2025年度选调生到村工作转移支付资金的通知（津财行政指〔2024〕94号）绩效目标表</w:t>
      </w:r>
      <w:bookmarkEnd w:id="4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天津市财政局关于提前下达2025年度选调生到村工作转移支付资金的通知（津财行政指〔2024〕94号）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20950.00</w:t>
            </w:r>
          </w:p>
        </w:tc>
        <w:tc>
          <w:tcPr>
            <w:tcW w:w="1587" w:type="dxa"/>
            <w:vAlign w:val="center"/>
          </w:tcPr>
          <w:p>
            <w:pPr>
              <w:pStyle w:val="14"/>
            </w:pPr>
            <w:r>
              <w:t>其中：财政    资金</w:t>
            </w:r>
          </w:p>
        </w:tc>
        <w:tc>
          <w:tcPr>
            <w:tcW w:w="1843" w:type="dxa"/>
            <w:vAlign w:val="center"/>
          </w:tcPr>
          <w:p>
            <w:pPr>
              <w:pStyle w:val="13"/>
            </w:pPr>
            <w:r>
              <w:t>20950.00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通过支付选调生专项资金，保障选调生生活水平，实现服务党员群众的目标。</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1.通过支付选调生专项资金，保障选调生生活水平，实现服务党员群众的目标。</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发放人数</w:t>
            </w:r>
          </w:p>
        </w:tc>
        <w:tc>
          <w:tcPr>
            <w:tcW w:w="3430" w:type="dxa"/>
            <w:vAlign w:val="center"/>
          </w:tcPr>
          <w:p>
            <w:pPr>
              <w:pStyle w:val="13"/>
            </w:pPr>
            <w:r>
              <w:t>发放人数</w:t>
            </w:r>
          </w:p>
        </w:tc>
        <w:tc>
          <w:tcPr>
            <w:tcW w:w="2551" w:type="dxa"/>
            <w:vAlign w:val="center"/>
          </w:tcPr>
          <w:p>
            <w:pPr>
              <w:pStyle w:val="13"/>
            </w:pPr>
            <w:r>
              <w:t>≥1人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资金发放合规率</w:t>
            </w:r>
          </w:p>
        </w:tc>
        <w:tc>
          <w:tcPr>
            <w:tcW w:w="3430" w:type="dxa"/>
            <w:vAlign w:val="center"/>
          </w:tcPr>
          <w:p>
            <w:pPr>
              <w:pStyle w:val="13"/>
            </w:pPr>
            <w:r>
              <w:t>资金发放合规率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资金发放完成时间</w:t>
            </w:r>
          </w:p>
        </w:tc>
        <w:tc>
          <w:tcPr>
            <w:tcW w:w="3430" w:type="dxa"/>
            <w:vAlign w:val="center"/>
          </w:tcPr>
          <w:p>
            <w:pPr>
              <w:pStyle w:val="13"/>
            </w:pPr>
            <w:r>
              <w:t>资金发放完成时间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补助资金发放标准</w:t>
            </w:r>
          </w:p>
        </w:tc>
        <w:tc>
          <w:tcPr>
            <w:tcW w:w="3430" w:type="dxa"/>
            <w:vAlign w:val="center"/>
          </w:tcPr>
          <w:p>
            <w:pPr>
              <w:pStyle w:val="13"/>
            </w:pPr>
            <w:r>
              <w:t>补助资金发放标准</w:t>
            </w:r>
          </w:p>
        </w:tc>
        <w:tc>
          <w:tcPr>
            <w:tcW w:w="2551" w:type="dxa"/>
            <w:vAlign w:val="center"/>
          </w:tcPr>
          <w:p>
            <w:pPr>
              <w:pStyle w:val="13"/>
            </w:pPr>
            <w:r>
              <w:t>≤20950元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保障选调生生活水平</w:t>
            </w:r>
          </w:p>
        </w:tc>
        <w:tc>
          <w:tcPr>
            <w:tcW w:w="3430" w:type="dxa"/>
            <w:vAlign w:val="center"/>
          </w:tcPr>
          <w:p>
            <w:pPr>
              <w:pStyle w:val="13"/>
            </w:pPr>
            <w:r>
              <w:t>保障选调生生活水平</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选调生满意度</w:t>
            </w:r>
          </w:p>
        </w:tc>
        <w:tc>
          <w:tcPr>
            <w:tcW w:w="3430" w:type="dxa"/>
            <w:vAlign w:val="center"/>
          </w:tcPr>
          <w:p>
            <w:pPr>
              <w:pStyle w:val="13"/>
            </w:pPr>
            <w:r>
              <w:t>选调生满意度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4" w:name="_Toc_4_4_0000000045"/>
      <w:r>
        <w:rPr>
          <w:rFonts w:ascii="方正仿宋_GBK" w:hAnsi="方正仿宋_GBK" w:eastAsia="方正仿宋_GBK" w:cs="方正仿宋_GBK"/>
          <w:sz w:val="28"/>
        </w:rPr>
        <w:t>42.西中环海河南端基础设施项目（2022年第5期发行）绩效目标表</w:t>
      </w:r>
      <w:bookmarkEnd w:id="4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西中环海河南端基础设施项目（2022年第5期发行）</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118000000.00</w:t>
            </w:r>
          </w:p>
        </w:tc>
        <w:tc>
          <w:tcPr>
            <w:tcW w:w="1587" w:type="dxa"/>
            <w:vAlign w:val="center"/>
          </w:tcPr>
          <w:p>
            <w:pPr>
              <w:pStyle w:val="14"/>
            </w:pPr>
            <w:r>
              <w:t>其中：财政    资金</w:t>
            </w:r>
          </w:p>
        </w:tc>
        <w:tc>
          <w:tcPr>
            <w:tcW w:w="1843" w:type="dxa"/>
            <w:vAlign w:val="center"/>
          </w:tcPr>
          <w:p>
            <w:pPr>
              <w:pStyle w:val="13"/>
            </w:pPr>
            <w:r>
              <w:t>118000000.00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通过西中环海河南端基础设施项目工作，推进交通便利</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1.通过西中环海河南端基础设施项目工作，推进交通便利</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质量指标</w:t>
            </w:r>
          </w:p>
        </w:tc>
        <w:tc>
          <w:tcPr>
            <w:tcW w:w="1332" w:type="dxa"/>
            <w:vAlign w:val="center"/>
          </w:tcPr>
          <w:p>
            <w:pPr>
              <w:pStyle w:val="13"/>
            </w:pPr>
            <w:r>
              <w:t>竣工验收合格率</w:t>
            </w:r>
          </w:p>
        </w:tc>
        <w:tc>
          <w:tcPr>
            <w:tcW w:w="3430" w:type="dxa"/>
            <w:vAlign w:val="center"/>
          </w:tcPr>
          <w:p>
            <w:pPr>
              <w:pStyle w:val="13"/>
            </w:pPr>
            <w:r>
              <w:t>竣工验收合格率</w:t>
            </w:r>
          </w:p>
        </w:tc>
        <w:tc>
          <w:tcPr>
            <w:tcW w:w="2551" w:type="dxa"/>
            <w:vAlign w:val="center"/>
          </w:tcPr>
          <w:p>
            <w:pPr>
              <w:pStyle w:val="13"/>
            </w:pPr>
            <w:r>
              <w:t>≥95%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项目完成数量</w:t>
            </w:r>
          </w:p>
        </w:tc>
        <w:tc>
          <w:tcPr>
            <w:tcW w:w="3430" w:type="dxa"/>
            <w:vAlign w:val="center"/>
          </w:tcPr>
          <w:p>
            <w:pPr>
              <w:pStyle w:val="13"/>
            </w:pPr>
            <w:r>
              <w:t>项目完成数量</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项目按计划完成时间</w:t>
            </w:r>
          </w:p>
        </w:tc>
        <w:tc>
          <w:tcPr>
            <w:tcW w:w="3430" w:type="dxa"/>
            <w:vAlign w:val="center"/>
          </w:tcPr>
          <w:p>
            <w:pPr>
              <w:pStyle w:val="13"/>
            </w:pPr>
            <w:r>
              <w:t>项目按计划完成时间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项目成本</w:t>
            </w:r>
          </w:p>
        </w:tc>
        <w:tc>
          <w:tcPr>
            <w:tcW w:w="3430" w:type="dxa"/>
            <w:vAlign w:val="center"/>
          </w:tcPr>
          <w:p>
            <w:pPr>
              <w:pStyle w:val="13"/>
            </w:pPr>
            <w:r>
              <w:t>项目成本</w:t>
            </w:r>
          </w:p>
        </w:tc>
        <w:tc>
          <w:tcPr>
            <w:tcW w:w="2551" w:type="dxa"/>
            <w:vAlign w:val="center"/>
          </w:tcPr>
          <w:p>
            <w:pPr>
              <w:pStyle w:val="13"/>
            </w:pPr>
            <w:r>
              <w:t>≤118000000元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生态效益指标</w:t>
            </w:r>
          </w:p>
        </w:tc>
        <w:tc>
          <w:tcPr>
            <w:tcW w:w="1332" w:type="dxa"/>
            <w:vAlign w:val="center"/>
          </w:tcPr>
          <w:p>
            <w:pPr>
              <w:pStyle w:val="13"/>
            </w:pPr>
            <w:r>
              <w:t>环境改善率</w:t>
            </w:r>
          </w:p>
        </w:tc>
        <w:tc>
          <w:tcPr>
            <w:tcW w:w="3430" w:type="dxa"/>
            <w:vAlign w:val="center"/>
          </w:tcPr>
          <w:p>
            <w:pPr>
              <w:pStyle w:val="13"/>
            </w:pPr>
            <w:r>
              <w:t>反映建设项目对周边环境改善情况</w:t>
            </w:r>
          </w:p>
        </w:tc>
        <w:tc>
          <w:tcPr>
            <w:tcW w:w="2551" w:type="dxa"/>
            <w:vAlign w:val="center"/>
          </w:tcPr>
          <w:p>
            <w:pPr>
              <w:pStyle w:val="13"/>
            </w:pPr>
            <w:r>
              <w:t>≥80%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受益群体满意度</w:t>
            </w:r>
          </w:p>
        </w:tc>
        <w:tc>
          <w:tcPr>
            <w:tcW w:w="3430" w:type="dxa"/>
            <w:vAlign w:val="center"/>
          </w:tcPr>
          <w:p>
            <w:pPr>
              <w:pStyle w:val="13"/>
            </w:pPr>
            <w:r>
              <w:t>反映受益群体满意情况</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5" w:name="_Toc_4_4_0000000046"/>
      <w:r>
        <w:rPr>
          <w:rFonts w:ascii="方正仿宋_GBK" w:hAnsi="方正仿宋_GBK" w:eastAsia="方正仿宋_GBK" w:cs="方正仿宋_GBK"/>
          <w:sz w:val="28"/>
        </w:rPr>
        <w:t>43.新城镇-天津市财政局关于下达2025年中央支持地方公共文化服务体系建设补助资金预算的通知（津财教指[2025]21号）绩效目标表</w:t>
      </w:r>
      <w:bookmarkEnd w:id="4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新城镇-天津市财政局关于下达2025年中央支持地方公共文化服务体系建设补助资金预算的通知（津财教指[2025]21号）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4788.00</w:t>
            </w:r>
          </w:p>
        </w:tc>
        <w:tc>
          <w:tcPr>
            <w:tcW w:w="1587" w:type="dxa"/>
            <w:vAlign w:val="center"/>
          </w:tcPr>
          <w:p>
            <w:pPr>
              <w:pStyle w:val="14"/>
            </w:pPr>
            <w:r>
              <w:t>其中：财政    资金</w:t>
            </w:r>
          </w:p>
        </w:tc>
        <w:tc>
          <w:tcPr>
            <w:tcW w:w="1843" w:type="dxa"/>
            <w:vAlign w:val="center"/>
          </w:tcPr>
          <w:p>
            <w:pPr>
              <w:pStyle w:val="13"/>
            </w:pPr>
            <w:r>
              <w:t>4788.00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组织公益性群众文化活动、举办公益性讲座和展览宣传等，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组织公益性群众文化活动、举办公益性讲座和展览宣传等，引导和支持基本公共文化服务项目，改善基层公共文化设施条件，加强基层公共文化服务人才队伍建设，支持加快构建现代公共文化服务体系，促进基本公共文化服务标准化、均等化，保障广大群众读书看报、进行文化鉴赏、开展文化活动等基本文化权益，提升基层公共文化服务水平</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补贴街镇个数</w:t>
            </w:r>
          </w:p>
        </w:tc>
        <w:tc>
          <w:tcPr>
            <w:tcW w:w="3430" w:type="dxa"/>
            <w:vAlign w:val="center"/>
          </w:tcPr>
          <w:p>
            <w:pPr>
              <w:pStyle w:val="13"/>
            </w:pPr>
            <w:r>
              <w:t>补贴街镇个数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补贴农村个数</w:t>
            </w:r>
          </w:p>
        </w:tc>
        <w:tc>
          <w:tcPr>
            <w:tcW w:w="3430" w:type="dxa"/>
            <w:vAlign w:val="center"/>
          </w:tcPr>
          <w:p>
            <w:pPr>
              <w:pStyle w:val="13"/>
            </w:pPr>
            <w:r>
              <w:t>补贴农村个数</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补贴社区个数</w:t>
            </w:r>
          </w:p>
        </w:tc>
        <w:tc>
          <w:tcPr>
            <w:tcW w:w="3430" w:type="dxa"/>
            <w:vAlign w:val="center"/>
          </w:tcPr>
          <w:p>
            <w:pPr>
              <w:pStyle w:val="13"/>
            </w:pPr>
            <w:r>
              <w:t>补贴社区个数</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街镇每年举办活动数量</w:t>
            </w:r>
          </w:p>
        </w:tc>
        <w:tc>
          <w:tcPr>
            <w:tcW w:w="3430" w:type="dxa"/>
            <w:vAlign w:val="center"/>
          </w:tcPr>
          <w:p>
            <w:pPr>
              <w:pStyle w:val="13"/>
            </w:pPr>
            <w:r>
              <w:t>街镇每年举办活动数量</w:t>
            </w:r>
          </w:p>
        </w:tc>
        <w:tc>
          <w:tcPr>
            <w:tcW w:w="2551" w:type="dxa"/>
            <w:vAlign w:val="center"/>
          </w:tcPr>
          <w:p>
            <w:pPr>
              <w:pStyle w:val="13"/>
            </w:pPr>
            <w:r>
              <w:t>≥52场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每村居每年举办活动数量</w:t>
            </w:r>
          </w:p>
        </w:tc>
        <w:tc>
          <w:tcPr>
            <w:tcW w:w="3430" w:type="dxa"/>
            <w:vAlign w:val="center"/>
          </w:tcPr>
          <w:p>
            <w:pPr>
              <w:pStyle w:val="13"/>
            </w:pPr>
            <w:r>
              <w:t>每村居每年举办活动数量</w:t>
            </w:r>
          </w:p>
        </w:tc>
        <w:tc>
          <w:tcPr>
            <w:tcW w:w="2551" w:type="dxa"/>
            <w:vAlign w:val="center"/>
          </w:tcPr>
          <w:p>
            <w:pPr>
              <w:pStyle w:val="13"/>
            </w:pPr>
            <w:r>
              <w:t>≥12场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补助资金使用合规率</w:t>
            </w:r>
          </w:p>
        </w:tc>
        <w:tc>
          <w:tcPr>
            <w:tcW w:w="3430" w:type="dxa"/>
            <w:vAlign w:val="center"/>
          </w:tcPr>
          <w:p>
            <w:pPr>
              <w:pStyle w:val="13"/>
            </w:pPr>
            <w:r>
              <w:t>补助资金使用合规率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补贴使用完成时间</w:t>
            </w:r>
          </w:p>
        </w:tc>
        <w:tc>
          <w:tcPr>
            <w:tcW w:w="3430" w:type="dxa"/>
            <w:vAlign w:val="center"/>
          </w:tcPr>
          <w:p>
            <w:pPr>
              <w:pStyle w:val="13"/>
            </w:pPr>
            <w:r>
              <w:t>补贴使用完成时间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街镇文化站周开放时间</w:t>
            </w:r>
          </w:p>
        </w:tc>
        <w:tc>
          <w:tcPr>
            <w:tcW w:w="3430" w:type="dxa"/>
            <w:vAlign w:val="center"/>
          </w:tcPr>
          <w:p>
            <w:pPr>
              <w:pStyle w:val="13"/>
            </w:pPr>
            <w:r>
              <w:t>街镇文化站周开放时间</w:t>
            </w:r>
          </w:p>
        </w:tc>
        <w:tc>
          <w:tcPr>
            <w:tcW w:w="2551" w:type="dxa"/>
            <w:vAlign w:val="center"/>
          </w:tcPr>
          <w:p>
            <w:pPr>
              <w:pStyle w:val="13"/>
            </w:pPr>
            <w:r>
              <w:t>≥42小时</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街镇补贴标准（按照每街镇补贴6万*20%*10%）</w:t>
            </w:r>
          </w:p>
        </w:tc>
        <w:tc>
          <w:tcPr>
            <w:tcW w:w="3430" w:type="dxa"/>
            <w:vAlign w:val="center"/>
          </w:tcPr>
          <w:p>
            <w:pPr>
              <w:pStyle w:val="13"/>
            </w:pPr>
            <w:r>
              <w:t>街镇补贴标准（按照每街镇补贴6万*20%*10%）</w:t>
            </w:r>
          </w:p>
        </w:tc>
        <w:tc>
          <w:tcPr>
            <w:tcW w:w="2551" w:type="dxa"/>
            <w:vAlign w:val="center"/>
          </w:tcPr>
          <w:p>
            <w:pPr>
              <w:pStyle w:val="13"/>
            </w:pPr>
            <w:r>
              <w:t>1200元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村补贴标准（按照每村补贴1.16*20%*10%）</w:t>
            </w:r>
          </w:p>
        </w:tc>
        <w:tc>
          <w:tcPr>
            <w:tcW w:w="3430" w:type="dxa"/>
            <w:vAlign w:val="center"/>
          </w:tcPr>
          <w:p>
            <w:pPr>
              <w:pStyle w:val="13"/>
            </w:pPr>
            <w:r>
              <w:t>村补贴标准（按照每村补贴1.16*20%*10%）</w:t>
            </w:r>
          </w:p>
        </w:tc>
        <w:tc>
          <w:tcPr>
            <w:tcW w:w="2551" w:type="dxa"/>
            <w:vAlign w:val="center"/>
          </w:tcPr>
          <w:p>
            <w:pPr>
              <w:pStyle w:val="13"/>
            </w:pPr>
            <w:r>
              <w:t>232元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居补贴标准（按照每个居补贴0.9万*20%*10%）</w:t>
            </w:r>
          </w:p>
        </w:tc>
        <w:tc>
          <w:tcPr>
            <w:tcW w:w="3430" w:type="dxa"/>
            <w:vAlign w:val="center"/>
          </w:tcPr>
          <w:p>
            <w:pPr>
              <w:pStyle w:val="13"/>
            </w:pPr>
            <w:r>
              <w:t>居补贴标准（按照每个居补贴0.9万*20%*10%）</w:t>
            </w:r>
          </w:p>
        </w:tc>
        <w:tc>
          <w:tcPr>
            <w:tcW w:w="2551" w:type="dxa"/>
            <w:vAlign w:val="center"/>
          </w:tcPr>
          <w:p>
            <w:pPr>
              <w:pStyle w:val="13"/>
            </w:pPr>
            <w:r>
              <w:t>180元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免费开放资金补贴标准</w:t>
            </w:r>
          </w:p>
        </w:tc>
        <w:tc>
          <w:tcPr>
            <w:tcW w:w="3430" w:type="dxa"/>
            <w:vAlign w:val="center"/>
          </w:tcPr>
          <w:p>
            <w:pPr>
              <w:pStyle w:val="13"/>
            </w:pPr>
            <w:r>
              <w:t>免费开放资金补贴标准</w:t>
            </w:r>
          </w:p>
        </w:tc>
        <w:tc>
          <w:tcPr>
            <w:tcW w:w="2551" w:type="dxa"/>
            <w:vAlign w:val="center"/>
          </w:tcPr>
          <w:p>
            <w:pPr>
              <w:pStyle w:val="13"/>
            </w:pPr>
            <w:r>
              <w:t>2120元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提升基层公共文化服务水平</w:t>
            </w:r>
          </w:p>
        </w:tc>
        <w:tc>
          <w:tcPr>
            <w:tcW w:w="3430" w:type="dxa"/>
            <w:vAlign w:val="center"/>
          </w:tcPr>
          <w:p>
            <w:pPr>
              <w:pStyle w:val="13"/>
            </w:pPr>
            <w:r>
              <w:t>提升基层公共文化服务水平</w:t>
            </w:r>
          </w:p>
        </w:tc>
        <w:tc>
          <w:tcPr>
            <w:tcW w:w="2551" w:type="dxa"/>
            <w:vAlign w:val="center"/>
          </w:tcPr>
          <w:p>
            <w:pPr>
              <w:pStyle w:val="13"/>
            </w:pPr>
            <w:r>
              <w:t>逐年提升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群众满意度</w:t>
            </w:r>
          </w:p>
        </w:tc>
        <w:tc>
          <w:tcPr>
            <w:tcW w:w="3430" w:type="dxa"/>
            <w:vAlign w:val="center"/>
          </w:tcPr>
          <w:p>
            <w:pPr>
              <w:pStyle w:val="13"/>
            </w:pPr>
            <w:r>
              <w:t>群众满意度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6" w:name="_Toc_4_4_0000000047"/>
      <w:r>
        <w:rPr>
          <w:rFonts w:ascii="方正仿宋_GBK" w:hAnsi="方正仿宋_GBK" w:eastAsia="方正仿宋_GBK" w:cs="方正仿宋_GBK"/>
          <w:sz w:val="28"/>
        </w:rPr>
        <w:t>44.新城镇2025年残疾人专职委员管理经费（市级残保金）（第三批）（津财社指[2025]1号）绩效目标表</w:t>
      </w:r>
      <w:bookmarkEnd w:id="4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新城镇2025年残疾人专职委员管理经费（市级残保金）（第三批）（津财社指[2025]1号）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5376.52</w:t>
            </w:r>
          </w:p>
        </w:tc>
        <w:tc>
          <w:tcPr>
            <w:tcW w:w="1587" w:type="dxa"/>
            <w:vAlign w:val="center"/>
          </w:tcPr>
          <w:p>
            <w:pPr>
              <w:pStyle w:val="14"/>
            </w:pPr>
            <w:r>
              <w:t>其中：财政    资金</w:t>
            </w:r>
          </w:p>
        </w:tc>
        <w:tc>
          <w:tcPr>
            <w:tcW w:w="1843" w:type="dxa"/>
            <w:vAlign w:val="center"/>
          </w:tcPr>
          <w:p>
            <w:pPr>
              <w:pStyle w:val="13"/>
            </w:pPr>
            <w:r>
              <w:t>5376.52</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按时、按规定发放残疾人专职委员工资总额和补贴，社会保险、公积金及其他待遇，保证基层残疾人工作有序进行，保持残疾人工作者队伍稳定性。</w:t>
            </w:r>
            <w:r>
              <w:tab/>
            </w:r>
            <w:r>
              <w:tab/>
            </w:r>
            <w:r>
              <w:tab/>
            </w:r>
          </w:p>
          <w:p>
            <w:pPr>
              <w:pStyle w:val="13"/>
            </w:pP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1.按时、按规定发放残疾人专职委员工资总额和补贴，社会保险、公积金及其他待遇，保证基层残疾人工作有序进行，保持残疾人工作者队伍稳定性。</w:t>
            </w:r>
            <w:r>
              <w:tab/>
            </w:r>
            <w:r>
              <w:tab/>
            </w:r>
            <w:r>
              <w:tab/>
            </w:r>
          </w:p>
          <w:p>
            <w:pPr>
              <w:pStyle w:val="13"/>
            </w:pP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补助人员数量</w:t>
            </w:r>
          </w:p>
        </w:tc>
        <w:tc>
          <w:tcPr>
            <w:tcW w:w="3430" w:type="dxa"/>
            <w:vAlign w:val="center"/>
          </w:tcPr>
          <w:p>
            <w:pPr>
              <w:pStyle w:val="13"/>
            </w:pPr>
            <w:r>
              <w:t>补助人员数量</w:t>
            </w:r>
          </w:p>
        </w:tc>
        <w:tc>
          <w:tcPr>
            <w:tcW w:w="2551" w:type="dxa"/>
            <w:vAlign w:val="center"/>
          </w:tcPr>
          <w:p>
            <w:pPr>
              <w:pStyle w:val="13"/>
            </w:pPr>
            <w:r>
              <w:t>≥5人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资金发放合规率</w:t>
            </w:r>
          </w:p>
        </w:tc>
        <w:tc>
          <w:tcPr>
            <w:tcW w:w="3430" w:type="dxa"/>
            <w:vAlign w:val="center"/>
          </w:tcPr>
          <w:p>
            <w:pPr>
              <w:pStyle w:val="13"/>
            </w:pPr>
            <w:r>
              <w:t>资金发放合规率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资金发放时间</w:t>
            </w:r>
          </w:p>
        </w:tc>
        <w:tc>
          <w:tcPr>
            <w:tcW w:w="3430" w:type="dxa"/>
            <w:vAlign w:val="center"/>
          </w:tcPr>
          <w:p>
            <w:pPr>
              <w:pStyle w:val="13"/>
            </w:pPr>
            <w:r>
              <w:t>资金发放时间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补助发放标准</w:t>
            </w:r>
          </w:p>
        </w:tc>
        <w:tc>
          <w:tcPr>
            <w:tcW w:w="3430" w:type="dxa"/>
            <w:vAlign w:val="center"/>
          </w:tcPr>
          <w:p>
            <w:pPr>
              <w:pStyle w:val="13"/>
            </w:pPr>
            <w:r>
              <w:t>补助发放标准</w:t>
            </w:r>
          </w:p>
        </w:tc>
        <w:tc>
          <w:tcPr>
            <w:tcW w:w="2551" w:type="dxa"/>
            <w:vAlign w:val="center"/>
          </w:tcPr>
          <w:p>
            <w:pPr>
              <w:pStyle w:val="13"/>
            </w:pPr>
            <w:r>
              <w:t>≤1075.3元/人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保障残疾人工作者队伍稳定</w:t>
            </w:r>
          </w:p>
        </w:tc>
        <w:tc>
          <w:tcPr>
            <w:tcW w:w="3430" w:type="dxa"/>
            <w:vAlign w:val="center"/>
          </w:tcPr>
          <w:p>
            <w:pPr>
              <w:pStyle w:val="13"/>
            </w:pPr>
            <w:r>
              <w:t>保障残疾人工作者队伍稳定</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残疾人专职委员满意度</w:t>
            </w:r>
          </w:p>
        </w:tc>
        <w:tc>
          <w:tcPr>
            <w:tcW w:w="3430" w:type="dxa"/>
            <w:vAlign w:val="center"/>
          </w:tcPr>
          <w:p>
            <w:pPr>
              <w:pStyle w:val="13"/>
            </w:pPr>
            <w:r>
              <w:t>残疾人专职委员满意度</w:t>
            </w:r>
          </w:p>
        </w:tc>
        <w:tc>
          <w:tcPr>
            <w:tcW w:w="2551" w:type="dxa"/>
            <w:vAlign w:val="center"/>
          </w:tcPr>
          <w:p>
            <w:pPr>
              <w:pStyle w:val="13"/>
            </w:pPr>
            <w:r>
              <w:t>≥95%</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7" w:name="_Toc_4_4_0000000048"/>
      <w:r>
        <w:rPr>
          <w:rFonts w:ascii="方正仿宋_GBK" w:hAnsi="方正仿宋_GBK" w:eastAsia="方正仿宋_GBK" w:cs="方正仿宋_GBK"/>
          <w:sz w:val="28"/>
        </w:rPr>
        <w:t>45.新城镇2025年国有企业退休人员社会化资金（津财社指[2024]109号）绩效目标表</w:t>
      </w:r>
      <w:bookmarkEnd w:id="4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新城镇2025年国有企业退休人员社会化资金（津财社指[2024]109号）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65838.50</w:t>
            </w:r>
          </w:p>
        </w:tc>
        <w:tc>
          <w:tcPr>
            <w:tcW w:w="1587" w:type="dxa"/>
            <w:vAlign w:val="center"/>
          </w:tcPr>
          <w:p>
            <w:pPr>
              <w:pStyle w:val="14"/>
            </w:pPr>
            <w:r>
              <w:t>其中：财政    资金</w:t>
            </w:r>
          </w:p>
        </w:tc>
        <w:tc>
          <w:tcPr>
            <w:tcW w:w="1843" w:type="dxa"/>
            <w:vAlign w:val="center"/>
          </w:tcPr>
          <w:p>
            <w:pPr>
              <w:pStyle w:val="13"/>
            </w:pPr>
            <w:r>
              <w:t>65838.50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通过使用国有企业退休人员资金，提升退休人员幸福感。</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1.通过使用国有企业退休人员资金，提升退休人员幸福感。</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服务人员数量</w:t>
            </w:r>
          </w:p>
        </w:tc>
        <w:tc>
          <w:tcPr>
            <w:tcW w:w="3430" w:type="dxa"/>
            <w:vAlign w:val="center"/>
          </w:tcPr>
          <w:p>
            <w:pPr>
              <w:pStyle w:val="13"/>
            </w:pPr>
            <w:r>
              <w:t>服务人员数量</w:t>
            </w:r>
          </w:p>
        </w:tc>
        <w:tc>
          <w:tcPr>
            <w:tcW w:w="2551" w:type="dxa"/>
            <w:vAlign w:val="center"/>
          </w:tcPr>
          <w:p>
            <w:pPr>
              <w:pStyle w:val="13"/>
            </w:pPr>
            <w:r>
              <w:t>≥10人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资金使用合规率</w:t>
            </w:r>
          </w:p>
        </w:tc>
        <w:tc>
          <w:tcPr>
            <w:tcW w:w="3430" w:type="dxa"/>
            <w:vAlign w:val="center"/>
          </w:tcPr>
          <w:p>
            <w:pPr>
              <w:pStyle w:val="13"/>
            </w:pPr>
            <w:r>
              <w:t>资金使用合规率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资金拨付时间</w:t>
            </w:r>
          </w:p>
        </w:tc>
        <w:tc>
          <w:tcPr>
            <w:tcW w:w="3430" w:type="dxa"/>
            <w:vAlign w:val="center"/>
          </w:tcPr>
          <w:p>
            <w:pPr>
              <w:pStyle w:val="13"/>
            </w:pPr>
            <w:r>
              <w:t>资金拨付时间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国有企业退休人员社会化资金</w:t>
            </w:r>
          </w:p>
        </w:tc>
        <w:tc>
          <w:tcPr>
            <w:tcW w:w="3430" w:type="dxa"/>
            <w:vAlign w:val="center"/>
          </w:tcPr>
          <w:p>
            <w:pPr>
              <w:pStyle w:val="13"/>
            </w:pPr>
            <w:r>
              <w:t>国有企业退休人员社会化资金</w:t>
            </w:r>
          </w:p>
        </w:tc>
        <w:tc>
          <w:tcPr>
            <w:tcW w:w="2551" w:type="dxa"/>
            <w:vAlign w:val="center"/>
          </w:tcPr>
          <w:p>
            <w:pPr>
              <w:pStyle w:val="13"/>
            </w:pPr>
            <w:r>
              <w:t>≤65838.5元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保障专项资金发挥效益</w:t>
            </w:r>
          </w:p>
        </w:tc>
        <w:tc>
          <w:tcPr>
            <w:tcW w:w="3430" w:type="dxa"/>
            <w:vAlign w:val="center"/>
          </w:tcPr>
          <w:p>
            <w:pPr>
              <w:pStyle w:val="13"/>
            </w:pPr>
            <w:r>
              <w:t>保障专项资金发挥效益</w:t>
            </w:r>
          </w:p>
        </w:tc>
        <w:tc>
          <w:tcPr>
            <w:tcW w:w="2551" w:type="dxa"/>
            <w:vAlign w:val="center"/>
          </w:tcPr>
          <w:p>
            <w:pPr>
              <w:pStyle w:val="13"/>
            </w:pPr>
            <w:r>
              <w:t>有效保障</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社会退休人员满意度</w:t>
            </w:r>
          </w:p>
        </w:tc>
        <w:tc>
          <w:tcPr>
            <w:tcW w:w="3430" w:type="dxa"/>
            <w:vAlign w:val="center"/>
          </w:tcPr>
          <w:p>
            <w:pPr>
              <w:pStyle w:val="13"/>
            </w:pPr>
            <w:r>
              <w:t>社会退休人员满意度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8" w:name="_Toc_4_4_0000000049"/>
      <w:r>
        <w:rPr>
          <w:rFonts w:ascii="方正仿宋_GBK" w:hAnsi="方正仿宋_GBK" w:eastAsia="方正仿宋_GBK" w:cs="方正仿宋_GBK"/>
          <w:sz w:val="28"/>
        </w:rPr>
        <w:t>46.新城镇天津市财政局关于提前下达2025年中央支持地方公共文化服务体系建设补助资金预算的通知（津财教指【2024】125号）绩效目标表</w:t>
      </w:r>
      <w:bookmarkEnd w:id="4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新城镇天津市财政局关于提前下达2025年中央支持地方公共文化服务体系建设补助资金预算的通知（津财教指【2024】125号）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24012.00</w:t>
            </w:r>
          </w:p>
        </w:tc>
        <w:tc>
          <w:tcPr>
            <w:tcW w:w="1587" w:type="dxa"/>
            <w:vAlign w:val="center"/>
          </w:tcPr>
          <w:p>
            <w:pPr>
              <w:pStyle w:val="14"/>
            </w:pPr>
            <w:r>
              <w:t>其中：财政    资金</w:t>
            </w:r>
          </w:p>
        </w:tc>
        <w:tc>
          <w:tcPr>
            <w:tcW w:w="1843" w:type="dxa"/>
            <w:vAlign w:val="center"/>
          </w:tcPr>
          <w:p>
            <w:pPr>
              <w:pStyle w:val="13"/>
            </w:pPr>
            <w:r>
              <w:t>24012.00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引导和支持基本公共文化服务项目，改善基层公共文化设施条件，加强基层公共文化服务人才队伍建设等，支持加快构建现代公共文化服务体系，促进基本公共文化服务标准化、均等化，保障广大群众读书看报、进行文化鉴赏、开展文化活动等基本文化权益。本资金用于补助给各基层综合文化服务中心用于开展公共文化服务工作。</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补贴街镇个数</w:t>
            </w:r>
          </w:p>
        </w:tc>
        <w:tc>
          <w:tcPr>
            <w:tcW w:w="3430" w:type="dxa"/>
            <w:vAlign w:val="center"/>
          </w:tcPr>
          <w:p>
            <w:pPr>
              <w:pStyle w:val="13"/>
            </w:pPr>
            <w:r>
              <w:t>补贴街镇个数</w:t>
            </w:r>
          </w:p>
        </w:tc>
        <w:tc>
          <w:tcPr>
            <w:tcW w:w="2551" w:type="dxa"/>
            <w:vAlign w:val="center"/>
          </w:tcPr>
          <w:p>
            <w:pPr>
              <w:pStyle w:val="13"/>
            </w:pPr>
            <w:r>
              <w:t>1个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补贴农村个数</w:t>
            </w:r>
          </w:p>
        </w:tc>
        <w:tc>
          <w:tcPr>
            <w:tcW w:w="3430" w:type="dxa"/>
            <w:vAlign w:val="center"/>
          </w:tcPr>
          <w:p>
            <w:pPr>
              <w:pStyle w:val="13"/>
            </w:pPr>
            <w:r>
              <w:t>补贴农村个数</w:t>
            </w:r>
          </w:p>
        </w:tc>
        <w:tc>
          <w:tcPr>
            <w:tcW w:w="2551" w:type="dxa"/>
            <w:vAlign w:val="center"/>
          </w:tcPr>
          <w:p>
            <w:pPr>
              <w:pStyle w:val="13"/>
            </w:pPr>
            <w:r>
              <w:t>≥4个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补贴社区个数</w:t>
            </w:r>
          </w:p>
        </w:tc>
        <w:tc>
          <w:tcPr>
            <w:tcW w:w="3430" w:type="dxa"/>
            <w:vAlign w:val="center"/>
          </w:tcPr>
          <w:p>
            <w:pPr>
              <w:pStyle w:val="13"/>
            </w:pPr>
            <w:r>
              <w:t>补贴社区个数</w:t>
            </w:r>
          </w:p>
        </w:tc>
        <w:tc>
          <w:tcPr>
            <w:tcW w:w="2551" w:type="dxa"/>
            <w:vAlign w:val="center"/>
          </w:tcPr>
          <w:p>
            <w:pPr>
              <w:pStyle w:val="13"/>
            </w:pPr>
            <w:r>
              <w:t>≥3个</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每街镇每年活动</w:t>
            </w:r>
          </w:p>
        </w:tc>
        <w:tc>
          <w:tcPr>
            <w:tcW w:w="3430" w:type="dxa"/>
            <w:vAlign w:val="center"/>
          </w:tcPr>
          <w:p>
            <w:pPr>
              <w:pStyle w:val="13"/>
            </w:pPr>
            <w:r>
              <w:t>每街镇每年活动</w:t>
            </w:r>
          </w:p>
        </w:tc>
        <w:tc>
          <w:tcPr>
            <w:tcW w:w="2551" w:type="dxa"/>
            <w:vAlign w:val="center"/>
          </w:tcPr>
          <w:p>
            <w:pPr>
              <w:pStyle w:val="13"/>
            </w:pPr>
            <w:r>
              <w:t>≥52场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数量指标</w:t>
            </w:r>
          </w:p>
        </w:tc>
        <w:tc>
          <w:tcPr>
            <w:tcW w:w="1332" w:type="dxa"/>
            <w:vAlign w:val="center"/>
          </w:tcPr>
          <w:p>
            <w:pPr>
              <w:pStyle w:val="13"/>
            </w:pPr>
            <w:r>
              <w:t>每村居每年活动</w:t>
            </w:r>
          </w:p>
        </w:tc>
        <w:tc>
          <w:tcPr>
            <w:tcW w:w="3430" w:type="dxa"/>
            <w:vAlign w:val="center"/>
          </w:tcPr>
          <w:p>
            <w:pPr>
              <w:pStyle w:val="13"/>
            </w:pPr>
            <w:r>
              <w:t>每村居每年活动</w:t>
            </w:r>
          </w:p>
        </w:tc>
        <w:tc>
          <w:tcPr>
            <w:tcW w:w="2551" w:type="dxa"/>
            <w:vAlign w:val="center"/>
          </w:tcPr>
          <w:p>
            <w:pPr>
              <w:pStyle w:val="13"/>
            </w:pPr>
            <w:r>
              <w:t>≥12场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补贴覆盖率</w:t>
            </w:r>
          </w:p>
        </w:tc>
        <w:tc>
          <w:tcPr>
            <w:tcW w:w="3430" w:type="dxa"/>
            <w:vAlign w:val="center"/>
          </w:tcPr>
          <w:p>
            <w:pPr>
              <w:pStyle w:val="13"/>
            </w:pPr>
            <w:r>
              <w:t>补贴覆盖率</w:t>
            </w:r>
          </w:p>
        </w:tc>
        <w:tc>
          <w:tcPr>
            <w:tcW w:w="2551" w:type="dxa"/>
            <w:vAlign w:val="center"/>
          </w:tcPr>
          <w:p>
            <w:pPr>
              <w:pStyle w:val="13"/>
            </w:pPr>
            <w: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补贴发放完成时间</w:t>
            </w:r>
          </w:p>
        </w:tc>
        <w:tc>
          <w:tcPr>
            <w:tcW w:w="3430" w:type="dxa"/>
            <w:vAlign w:val="center"/>
          </w:tcPr>
          <w:p>
            <w:pPr>
              <w:pStyle w:val="13"/>
            </w:pPr>
            <w:r>
              <w:t>补贴发放完成时间</w:t>
            </w:r>
          </w:p>
        </w:tc>
        <w:tc>
          <w:tcPr>
            <w:tcW w:w="2551" w:type="dxa"/>
            <w:vAlign w:val="center"/>
          </w:tcPr>
          <w:p>
            <w:pPr>
              <w:pStyle w:val="13"/>
            </w:pPr>
            <w:r>
              <w:t>2026年12月31日前完成</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每个街镇补贴标准（按照每街镇补贴6万*20%*90%）</w:t>
            </w:r>
          </w:p>
        </w:tc>
        <w:tc>
          <w:tcPr>
            <w:tcW w:w="3430" w:type="dxa"/>
            <w:vAlign w:val="center"/>
          </w:tcPr>
          <w:p>
            <w:pPr>
              <w:pStyle w:val="13"/>
            </w:pPr>
            <w:r>
              <w:t>每个街镇补贴标准（按照每街镇补贴6万*20%*90%）</w:t>
            </w:r>
          </w:p>
        </w:tc>
        <w:tc>
          <w:tcPr>
            <w:tcW w:w="2551" w:type="dxa"/>
            <w:vAlign w:val="center"/>
          </w:tcPr>
          <w:p>
            <w:pPr>
              <w:pStyle w:val="13"/>
            </w:pPr>
            <w:r>
              <w:t>10800元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每个村补贴标准（按照每个村补贴1.16*20%*90%）</w:t>
            </w:r>
          </w:p>
        </w:tc>
        <w:tc>
          <w:tcPr>
            <w:tcW w:w="3430" w:type="dxa"/>
            <w:vAlign w:val="center"/>
          </w:tcPr>
          <w:p>
            <w:pPr>
              <w:pStyle w:val="13"/>
            </w:pPr>
            <w:r>
              <w:t>每个村补贴标准（按照每个村补贴1.16*20%*90%）</w:t>
            </w:r>
          </w:p>
        </w:tc>
        <w:tc>
          <w:tcPr>
            <w:tcW w:w="2551" w:type="dxa"/>
            <w:vAlign w:val="center"/>
          </w:tcPr>
          <w:p>
            <w:pPr>
              <w:pStyle w:val="13"/>
            </w:pPr>
            <w:r>
              <w:t>2088元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每个居补贴标准（按照每个居补贴0.9万*20%*90%）</w:t>
            </w:r>
          </w:p>
        </w:tc>
        <w:tc>
          <w:tcPr>
            <w:tcW w:w="3430" w:type="dxa"/>
            <w:vAlign w:val="center"/>
          </w:tcPr>
          <w:p>
            <w:pPr>
              <w:pStyle w:val="13"/>
            </w:pPr>
            <w:r>
              <w:t>每个居补贴标准（按照每个居补贴0.9万*20%*90%）</w:t>
            </w:r>
          </w:p>
        </w:tc>
        <w:tc>
          <w:tcPr>
            <w:tcW w:w="2551" w:type="dxa"/>
            <w:vAlign w:val="center"/>
          </w:tcPr>
          <w:p>
            <w:pPr>
              <w:pStyle w:val="13"/>
            </w:pPr>
            <w:r>
              <w:t>1620元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提升百姓文化幸福感</w:t>
            </w:r>
          </w:p>
        </w:tc>
        <w:tc>
          <w:tcPr>
            <w:tcW w:w="3430" w:type="dxa"/>
            <w:vAlign w:val="center"/>
          </w:tcPr>
          <w:p>
            <w:pPr>
              <w:pStyle w:val="13"/>
            </w:pPr>
            <w:r>
              <w:t>提升百姓文化幸福感</w:t>
            </w:r>
          </w:p>
        </w:tc>
        <w:tc>
          <w:tcPr>
            <w:tcW w:w="2551" w:type="dxa"/>
            <w:vAlign w:val="center"/>
          </w:tcPr>
          <w:p>
            <w:pPr>
              <w:pStyle w:val="13"/>
            </w:pPr>
            <w:r>
              <w:t>逐年提升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提升基本公共文化服务水平</w:t>
            </w:r>
          </w:p>
        </w:tc>
        <w:tc>
          <w:tcPr>
            <w:tcW w:w="3430" w:type="dxa"/>
            <w:vAlign w:val="center"/>
          </w:tcPr>
          <w:p>
            <w:pPr>
              <w:pStyle w:val="13"/>
            </w:pPr>
            <w:r>
              <w:t>提升基本公共文化服务水平</w:t>
            </w:r>
          </w:p>
        </w:tc>
        <w:tc>
          <w:tcPr>
            <w:tcW w:w="2551" w:type="dxa"/>
            <w:vAlign w:val="center"/>
          </w:tcPr>
          <w:p>
            <w:pPr>
              <w:pStyle w:val="13"/>
            </w:pPr>
            <w:r>
              <w:t>稳步提升</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补贴对象满意度</w:t>
            </w:r>
          </w:p>
        </w:tc>
        <w:tc>
          <w:tcPr>
            <w:tcW w:w="3430" w:type="dxa"/>
            <w:vAlign w:val="center"/>
          </w:tcPr>
          <w:p>
            <w:pPr>
              <w:pStyle w:val="13"/>
            </w:pPr>
            <w:r>
              <w:t>补贴对象满意度</w:t>
            </w:r>
          </w:p>
        </w:tc>
        <w:tc>
          <w:tcPr>
            <w:tcW w:w="2551" w:type="dxa"/>
            <w:vAlign w:val="center"/>
          </w:tcPr>
          <w:p>
            <w:pPr>
              <w:pStyle w:val="13"/>
            </w:pPr>
            <w:r>
              <w:t>≥90%</w:t>
            </w:r>
          </w:p>
        </w:tc>
      </w:tr>
    </w:tbl>
    <w:p>
      <w:pPr>
        <w:sectPr>
          <w:pgSz w:w="11900" w:h="16840"/>
          <w:pgMar w:top="1984" w:right="1304" w:bottom="1134" w:left="1304" w:header="720" w:footer="720" w:gutter="0"/>
          <w:cols w:space="720" w:num="1"/>
        </w:sectPr>
      </w:pPr>
    </w:p>
    <w:p>
      <w:pPr>
        <w:spacing w:before="0" w:after="0" w:line="240" w:lineRule="auto"/>
        <w:ind w:firstLine="0"/>
        <w:jc w:val="center"/>
        <w:outlineLvl w:val="9"/>
      </w:pPr>
      <w:r>
        <w:rPr>
          <w:rFonts w:ascii="方正仿宋_GBK" w:hAnsi="方正仿宋_GBK" w:eastAsia="方正仿宋_GBK" w:cs="方正仿宋_GBK"/>
          <w:sz w:val="28"/>
        </w:rPr>
        <w:t xml:space="preserve"> </w:t>
      </w:r>
    </w:p>
    <w:p>
      <w:pPr>
        <w:spacing w:before="0" w:after="0"/>
        <w:ind w:firstLine="560"/>
        <w:jc w:val="left"/>
        <w:outlineLvl w:val="3"/>
      </w:pPr>
      <w:bookmarkStart w:id="49" w:name="_Toc_4_4_0000000050"/>
      <w:r>
        <w:rPr>
          <w:rFonts w:ascii="方正仿宋_GBK" w:hAnsi="方正仿宋_GBK" w:eastAsia="方正仿宋_GBK" w:cs="方正仿宋_GBK"/>
          <w:sz w:val="28"/>
        </w:rPr>
        <w:t>47.新时代文明实践中心建设项目经费（津财教指【2025】21号）（津财教指【2024】125号）绩效目标表</w:t>
      </w:r>
      <w:bookmarkEnd w:id="4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pPr>
              <w:pStyle w:val="12"/>
            </w:pPr>
            <w:r>
              <w:t>817101天津市滨海新区新城镇人民政府</w:t>
            </w:r>
          </w:p>
        </w:tc>
        <w:tc>
          <w:tcPr>
            <w:tcW w:w="1276" w:type="dxa"/>
            <w:tcBorders>
              <w:top w:val="single" w:color="FFFFFF" w:sz="6" w:space="0"/>
              <w:left w:val="single" w:color="FFFFFF" w:sz="6" w:space="0"/>
              <w:right w:val="single" w:color="FFFFFF" w:sz="6" w:space="0"/>
            </w:tcBorders>
            <w:vAlign w:val="center"/>
          </w:tcPr>
          <w:p>
            <w:pPr>
              <w:pStyle w:val="11"/>
            </w:pPr>
            <w:r>
              <w:t>单位：元</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项目名称</w:t>
            </w:r>
          </w:p>
        </w:tc>
        <w:tc>
          <w:tcPr>
            <w:tcW w:w="8589" w:type="dxa"/>
            <w:gridSpan w:val="6"/>
            <w:vAlign w:val="center"/>
          </w:tcPr>
          <w:p>
            <w:pPr>
              <w:pStyle w:val="13"/>
            </w:pPr>
            <w:r>
              <w:t>新时代文明实践中心建设项目经费（津财教指【2025】21号）（津财教指【2024】125号）</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4"/>
            </w:pPr>
            <w:r>
              <w:t>预算规模及资金用途</w:t>
            </w:r>
          </w:p>
        </w:tc>
        <w:tc>
          <w:tcPr>
            <w:tcW w:w="1276" w:type="dxa"/>
            <w:vAlign w:val="center"/>
          </w:tcPr>
          <w:p>
            <w:pPr>
              <w:pStyle w:val="14"/>
            </w:pPr>
            <w:r>
              <w:t>预算数</w:t>
            </w:r>
          </w:p>
        </w:tc>
        <w:tc>
          <w:tcPr>
            <w:tcW w:w="1332" w:type="dxa"/>
            <w:vAlign w:val="center"/>
          </w:tcPr>
          <w:p>
            <w:pPr>
              <w:pStyle w:val="13"/>
            </w:pPr>
            <w:r>
              <w:t>600.00</w:t>
            </w:r>
          </w:p>
        </w:tc>
        <w:tc>
          <w:tcPr>
            <w:tcW w:w="1587" w:type="dxa"/>
            <w:vAlign w:val="center"/>
          </w:tcPr>
          <w:p>
            <w:pPr>
              <w:pStyle w:val="14"/>
            </w:pPr>
            <w:r>
              <w:t>其中：财政    资金</w:t>
            </w:r>
          </w:p>
        </w:tc>
        <w:tc>
          <w:tcPr>
            <w:tcW w:w="1843" w:type="dxa"/>
            <w:vAlign w:val="center"/>
          </w:tcPr>
          <w:p>
            <w:pPr>
              <w:pStyle w:val="13"/>
            </w:pPr>
            <w:r>
              <w:t>600.00</w:t>
            </w:r>
          </w:p>
        </w:tc>
        <w:tc>
          <w:tcPr>
            <w:tcW w:w="1276" w:type="dxa"/>
            <w:vAlign w:val="center"/>
          </w:tcPr>
          <w:p>
            <w:pPr>
              <w:pStyle w:val="14"/>
            </w:pPr>
            <w:r>
              <w:t>其他资金</w:t>
            </w:r>
          </w:p>
        </w:tc>
        <w:tc>
          <w:tcPr>
            <w:tcW w:w="1276" w:type="dxa"/>
            <w:vAlign w:val="center"/>
          </w:tcPr>
          <w:p>
            <w:pPr>
              <w:pStyle w:val="13"/>
            </w:pPr>
            <w:r>
              <w:t xml:space="preserve"> </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tc>
        <w:tc>
          <w:tcPr>
            <w:tcW w:w="8589" w:type="dxa"/>
            <w:gridSpan w:val="6"/>
            <w:vAlign w:val="center"/>
          </w:tcPr>
          <w:p>
            <w:pPr>
              <w:pStyle w:val="13"/>
            </w:pPr>
            <w:r>
              <w:t>通过新时代文明实践项目，丰富群众文化生活。</w:t>
            </w:r>
          </w:p>
        </w:tc>
      </w:tr>
      <w:tr>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4"/>
            </w:pPr>
            <w:r>
              <w:t>绩效目标</w:t>
            </w:r>
          </w:p>
        </w:tc>
        <w:tc>
          <w:tcPr>
            <w:tcW w:w="8589" w:type="dxa"/>
            <w:gridSpan w:val="6"/>
            <w:vAlign w:val="center"/>
          </w:tcPr>
          <w:p>
            <w:pPr>
              <w:pStyle w:val="13"/>
            </w:pPr>
            <w:r>
              <w:t>1.通过新时代文明实践项目，丰富群众文化生活。</w:t>
            </w:r>
          </w:p>
        </w:tc>
      </w:tr>
    </w:tbl>
    <w:p>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pPr>
              <w:pStyle w:val="14"/>
            </w:pPr>
            <w:r>
              <w:t>一级指标</w:t>
            </w:r>
          </w:p>
        </w:tc>
        <w:tc>
          <w:tcPr>
            <w:tcW w:w="1276" w:type="dxa"/>
            <w:vAlign w:val="center"/>
          </w:tcPr>
          <w:p>
            <w:pPr>
              <w:pStyle w:val="14"/>
            </w:pPr>
            <w:r>
              <w:t>二级指标</w:t>
            </w:r>
          </w:p>
        </w:tc>
        <w:tc>
          <w:tcPr>
            <w:tcW w:w="1332" w:type="dxa"/>
            <w:vAlign w:val="center"/>
          </w:tcPr>
          <w:p>
            <w:pPr>
              <w:pStyle w:val="14"/>
            </w:pPr>
            <w:r>
              <w:t>三级指标</w:t>
            </w:r>
          </w:p>
        </w:tc>
        <w:tc>
          <w:tcPr>
            <w:tcW w:w="3430" w:type="dxa"/>
            <w:vAlign w:val="center"/>
          </w:tcPr>
          <w:p>
            <w:pPr>
              <w:pStyle w:val="14"/>
            </w:pPr>
            <w:r>
              <w:t>绩效指标描述</w:t>
            </w:r>
          </w:p>
        </w:tc>
        <w:tc>
          <w:tcPr>
            <w:tcW w:w="2551" w:type="dxa"/>
            <w:vAlign w:val="center"/>
          </w:tcPr>
          <w:p>
            <w:pPr>
              <w:pStyle w:val="14"/>
            </w:pPr>
            <w:r>
              <w:t>指标值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pPr>
              <w:pStyle w:val="15"/>
            </w:pPr>
            <w:r>
              <w:t>产出指标</w:t>
            </w:r>
          </w:p>
        </w:tc>
        <w:tc>
          <w:tcPr>
            <w:tcW w:w="1276" w:type="dxa"/>
            <w:vAlign w:val="center"/>
          </w:tcPr>
          <w:p>
            <w:pPr>
              <w:pStyle w:val="13"/>
            </w:pPr>
            <w:r>
              <w:t>数量指标</w:t>
            </w:r>
          </w:p>
        </w:tc>
        <w:tc>
          <w:tcPr>
            <w:tcW w:w="1332" w:type="dxa"/>
            <w:vAlign w:val="center"/>
          </w:tcPr>
          <w:p>
            <w:pPr>
              <w:pStyle w:val="13"/>
            </w:pPr>
            <w:r>
              <w:t xml:space="preserve"> 新时代文明实践活动场次</w:t>
            </w:r>
          </w:p>
        </w:tc>
        <w:tc>
          <w:tcPr>
            <w:tcW w:w="3430" w:type="dxa"/>
            <w:vAlign w:val="center"/>
          </w:tcPr>
          <w:p>
            <w:pPr>
              <w:pStyle w:val="13"/>
            </w:pPr>
            <w:r>
              <w:t>新时代文明实践活动场次</w:t>
            </w:r>
          </w:p>
        </w:tc>
        <w:tc>
          <w:tcPr>
            <w:tcW w:w="2551" w:type="dxa"/>
            <w:vAlign w:val="center"/>
          </w:tcPr>
          <w:p>
            <w:pPr>
              <w:pStyle w:val="13"/>
            </w:pPr>
            <w:r>
              <w:t>≥18场次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质量指标</w:t>
            </w:r>
          </w:p>
        </w:tc>
        <w:tc>
          <w:tcPr>
            <w:tcW w:w="1332" w:type="dxa"/>
            <w:vAlign w:val="center"/>
          </w:tcPr>
          <w:p>
            <w:pPr>
              <w:pStyle w:val="13"/>
            </w:pPr>
            <w:r>
              <w:t>新时代文明实践活动圆满完成率</w:t>
            </w:r>
          </w:p>
        </w:tc>
        <w:tc>
          <w:tcPr>
            <w:tcW w:w="3430" w:type="dxa"/>
            <w:vAlign w:val="center"/>
          </w:tcPr>
          <w:p>
            <w:pPr>
              <w:pStyle w:val="13"/>
            </w:pPr>
            <w:r>
              <w:t>新时代文明实践活动圆满完成率</w:t>
            </w:r>
          </w:p>
        </w:tc>
        <w:tc>
          <w:tcPr>
            <w:tcW w:w="2551" w:type="dxa"/>
            <w:vAlign w:val="center"/>
          </w:tcPr>
          <w:p>
            <w:pPr>
              <w:pStyle w:val="13"/>
            </w:pPr>
            <w:r>
              <w:t>≥99%</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时效指标</w:t>
            </w:r>
          </w:p>
        </w:tc>
        <w:tc>
          <w:tcPr>
            <w:tcW w:w="1332" w:type="dxa"/>
            <w:vAlign w:val="center"/>
          </w:tcPr>
          <w:p>
            <w:pPr>
              <w:pStyle w:val="13"/>
            </w:pPr>
            <w:r>
              <w:t>新时代文明实践活动完成时间</w:t>
            </w:r>
          </w:p>
        </w:tc>
        <w:tc>
          <w:tcPr>
            <w:tcW w:w="3430" w:type="dxa"/>
            <w:vAlign w:val="center"/>
          </w:tcPr>
          <w:p>
            <w:pPr>
              <w:pStyle w:val="13"/>
            </w:pPr>
            <w:r>
              <w:t>新时代文明实践活动完成时间</w:t>
            </w:r>
          </w:p>
        </w:tc>
        <w:tc>
          <w:tcPr>
            <w:tcW w:w="2551" w:type="dxa"/>
            <w:vAlign w:val="center"/>
          </w:tcPr>
          <w:p>
            <w:pPr>
              <w:pStyle w:val="13"/>
            </w:pPr>
            <w:r>
              <w:t>2026年12月31日前</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tc>
        <w:tc>
          <w:tcPr>
            <w:tcW w:w="1276" w:type="dxa"/>
            <w:vAlign w:val="center"/>
          </w:tcPr>
          <w:p>
            <w:pPr>
              <w:pStyle w:val="13"/>
            </w:pPr>
            <w:r>
              <w:t>成本指标</w:t>
            </w:r>
          </w:p>
        </w:tc>
        <w:tc>
          <w:tcPr>
            <w:tcW w:w="1332" w:type="dxa"/>
            <w:vAlign w:val="center"/>
          </w:tcPr>
          <w:p>
            <w:pPr>
              <w:pStyle w:val="13"/>
            </w:pPr>
            <w:r>
              <w:t>新时代文明实践活动成本</w:t>
            </w:r>
          </w:p>
        </w:tc>
        <w:tc>
          <w:tcPr>
            <w:tcW w:w="3430" w:type="dxa"/>
            <w:vAlign w:val="center"/>
          </w:tcPr>
          <w:p>
            <w:pPr>
              <w:pStyle w:val="13"/>
            </w:pPr>
            <w:r>
              <w:t>新时代文明实践活动成本</w:t>
            </w:r>
          </w:p>
        </w:tc>
        <w:tc>
          <w:tcPr>
            <w:tcW w:w="2551" w:type="dxa"/>
            <w:vAlign w:val="center"/>
          </w:tcPr>
          <w:p>
            <w:pPr>
              <w:pStyle w:val="13"/>
            </w:pPr>
            <w:r>
              <w:t>≤600元</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效益指标</w:t>
            </w:r>
          </w:p>
        </w:tc>
        <w:tc>
          <w:tcPr>
            <w:tcW w:w="1276" w:type="dxa"/>
            <w:vAlign w:val="center"/>
          </w:tcPr>
          <w:p>
            <w:pPr>
              <w:pStyle w:val="13"/>
            </w:pPr>
            <w:r>
              <w:t>社会效益指标</w:t>
            </w:r>
          </w:p>
        </w:tc>
        <w:tc>
          <w:tcPr>
            <w:tcW w:w="1332" w:type="dxa"/>
            <w:vAlign w:val="center"/>
          </w:tcPr>
          <w:p>
            <w:pPr>
              <w:pStyle w:val="13"/>
            </w:pPr>
            <w:r>
              <w:t>新时代文明实践活动群众普及率</w:t>
            </w:r>
          </w:p>
        </w:tc>
        <w:tc>
          <w:tcPr>
            <w:tcW w:w="3430" w:type="dxa"/>
            <w:vAlign w:val="center"/>
          </w:tcPr>
          <w:p>
            <w:pPr>
              <w:pStyle w:val="13"/>
            </w:pPr>
            <w:r>
              <w:t>新时代文明实践活动群众普及率</w:t>
            </w:r>
          </w:p>
        </w:tc>
        <w:tc>
          <w:tcPr>
            <w:tcW w:w="2551" w:type="dxa"/>
            <w:vAlign w:val="center"/>
          </w:tcPr>
          <w:p>
            <w:pPr>
              <w:pStyle w:val="13"/>
            </w:pPr>
            <w:r>
              <w:t>≥90%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pPr>
              <w:pStyle w:val="15"/>
            </w:pPr>
            <w:r>
              <w:t>满意度指标</w:t>
            </w:r>
          </w:p>
        </w:tc>
        <w:tc>
          <w:tcPr>
            <w:tcW w:w="1276" w:type="dxa"/>
            <w:vAlign w:val="center"/>
          </w:tcPr>
          <w:p>
            <w:pPr>
              <w:pStyle w:val="13"/>
            </w:pPr>
            <w:r>
              <w:t>服务对象满意度指标</w:t>
            </w:r>
          </w:p>
        </w:tc>
        <w:tc>
          <w:tcPr>
            <w:tcW w:w="1332" w:type="dxa"/>
            <w:vAlign w:val="center"/>
          </w:tcPr>
          <w:p>
            <w:pPr>
              <w:pStyle w:val="13"/>
            </w:pPr>
            <w:r>
              <w:t>参加活动群众满意度</w:t>
            </w:r>
          </w:p>
        </w:tc>
        <w:tc>
          <w:tcPr>
            <w:tcW w:w="3430" w:type="dxa"/>
            <w:vAlign w:val="center"/>
          </w:tcPr>
          <w:p>
            <w:pPr>
              <w:pStyle w:val="13"/>
            </w:pPr>
            <w:r>
              <w:t>参加新时代文明活动群众满意度</w:t>
            </w:r>
          </w:p>
        </w:tc>
        <w:tc>
          <w:tcPr>
            <w:tcW w:w="2551" w:type="dxa"/>
            <w:vAlign w:val="center"/>
          </w:tcPr>
          <w:p>
            <w:pPr>
              <w:pStyle w:val="13"/>
            </w:pPr>
            <w:r>
              <w:t>≥99%</w:t>
            </w:r>
          </w:p>
        </w:tc>
      </w:tr>
    </w:tbl>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NotTrackMoves/>
  <w:documentProtection w:enforcement="0"/>
  <w:defaultTabStop w:val="720"/>
  <w:evenAndOddHeaders w:val="true"/>
  <w:characterSpacingControl w:val="doNotCompress"/>
  <w:compat>
    <w:doNotLeaveBackslashAlone/>
    <w:doNotExpandShiftReturn/>
    <w:adjustLineHeightInTable/>
    <w:useFELayout/>
    <w:compatSetting w:name="compatibilityMode" w:uri="http://schemas.microsoft.com/office/word" w:val="15"/>
  </w:compat>
  <w:rsids>
    <w:rsidRoot w:val="00000000"/>
    <w:rsid w:val="76FF64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sz w:val="24"/>
      <w:szCs w:val="24"/>
      <w:lang w:val="en-US" w:eastAsia="uk-UA"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Office_11.8.2.10229_F1E327BC-269C-435d-A152-05C5408002CA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2026-01-21T00:46:00Z</dcterms:created>
  <dc:creator>kylin</dc:creator>
  <cp:lastModifiedBy>kylin</cp:lastModifiedBy>
  <dcterms:modified xsi:type="dcterms:W3CDTF">2026-02-14T09:55:24Z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