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新北街道</w:t>
      </w: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lang w:eastAsia="zh-CN"/>
        </w:rPr>
        <w:t>行政执法工作情况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2024年新北街道在区委、区政府领导下，</w:t>
      </w:r>
      <w:r>
        <w:rPr>
          <w:rFonts w:hint="eastAsia" w:ascii="仿宋_GB2312" w:hAnsi="仿宋_GB2312" w:eastAsia="仿宋_GB2312" w:cs="仿宋_GB2312"/>
          <w:sz w:val="34"/>
          <w:szCs w:val="34"/>
        </w:rPr>
        <w:t>坚持以习近平新时代中国特色社会主义思想为指引</w:t>
      </w:r>
      <w:r>
        <w:rPr>
          <w:rFonts w:hint="eastAsia" w:ascii="仿宋_GB2312" w:hAnsi="仿宋_GB2312" w:eastAsia="仿宋_GB2312" w:cs="仿宋_GB2312"/>
          <w:sz w:val="34"/>
          <w:szCs w:val="34"/>
          <w:lang w:eastAsia="zh-CN"/>
        </w:rPr>
        <w:t>，全面贯彻党的二十大精神，</w:t>
      </w:r>
      <w:r>
        <w:rPr>
          <w:rFonts w:hint="eastAsia" w:ascii="仿宋_GB2312" w:hAnsi="仿宋_GB2312" w:eastAsia="仿宋_GB2312" w:cs="仿宋_GB2312"/>
          <w:sz w:val="34"/>
          <w:szCs w:val="34"/>
          <w:lang w:val="en-US" w:eastAsia="zh-CN"/>
        </w:rPr>
        <w:t>深入落实习近平总书记在天津考察时的重要讲话精神。在区司法局、城管委等相关职能部门的帮助指导下，</w:t>
      </w:r>
      <w:r>
        <w:rPr>
          <w:rFonts w:hint="eastAsia" w:ascii="仿宋_GB2312" w:hAnsi="仿宋_GB2312" w:eastAsia="仿宋_GB2312" w:cs="仿宋_GB2312"/>
          <w:sz w:val="34"/>
          <w:szCs w:val="34"/>
          <w:lang w:eastAsia="zh-CN"/>
        </w:rPr>
        <w:t>紧紧围绕城市环境秩序管理、创文长效建设等开展综合执法工作，</w:t>
      </w:r>
      <w:r>
        <w:rPr>
          <w:rFonts w:hint="eastAsia" w:ascii="仿宋_GB2312" w:hAnsi="仿宋_GB2312" w:eastAsia="仿宋_GB2312" w:cs="仿宋_GB2312"/>
          <w:sz w:val="34"/>
          <w:szCs w:val="34"/>
          <w:lang w:val="en-US" w:eastAsia="zh-CN"/>
        </w:rPr>
        <w:t>统一思想，服从大局，强化担当，敢抓落实，积极主动地完成各项工作任务，取得显著成效。现就2024年行政执法工作情况汇报如下：</w:t>
      </w:r>
    </w:p>
    <w:p>
      <w:pPr>
        <w:pStyle w:val="7"/>
        <w:keepNext w:val="0"/>
        <w:keepLines w:val="0"/>
        <w:pageBreakBefore w:val="0"/>
        <w:numPr>
          <w:ilvl w:val="0"/>
          <w:numId w:val="0"/>
        </w:numPr>
        <w:kinsoku/>
        <w:wordWrap/>
        <w:overflowPunct/>
        <w:topLinePunct w:val="0"/>
        <w:autoSpaceDE/>
        <w:autoSpaceDN/>
        <w:bidi w:val="0"/>
        <w:spacing w:after="0" w:line="560" w:lineRule="exact"/>
        <w:ind w:firstLine="682" w:firstLineChars="200"/>
        <w:jc w:val="both"/>
        <w:textAlignment w:val="auto"/>
        <w:outlineLvl w:val="9"/>
        <w:rPr>
          <w:rFonts w:hint="eastAsia" w:ascii="楷体_GB2312" w:hAnsi="宋体" w:eastAsia="楷体_GB2312" w:cs="Times New Roman"/>
          <w:b/>
          <w:color w:val="000000"/>
          <w:sz w:val="34"/>
          <w:szCs w:val="34"/>
          <w:lang w:val="en-US" w:eastAsia="zh-CN" w:bidi="ar-SA"/>
        </w:rPr>
      </w:pPr>
      <w:r>
        <w:rPr>
          <w:rFonts w:hint="default" w:ascii="楷体_GB2312" w:hAnsi="宋体" w:eastAsia="楷体_GB2312" w:cs="Times New Roman"/>
          <w:b/>
          <w:color w:val="000000"/>
          <w:kern w:val="2"/>
          <w:sz w:val="34"/>
          <w:szCs w:val="34"/>
          <w:lang w:val="en-US" w:eastAsia="zh-CN" w:bidi="ar-SA"/>
        </w:rPr>
        <w:t>一、</w:t>
      </w:r>
      <w:r>
        <w:rPr>
          <w:rFonts w:hint="eastAsia" w:ascii="黑体" w:hAnsi="黑体" w:eastAsia="黑体"/>
          <w:color w:val="000000"/>
          <w:sz w:val="34"/>
          <w:szCs w:val="34"/>
          <w:lang w:eastAsia="zh-CN"/>
        </w:rPr>
        <w:t>基本</w:t>
      </w:r>
      <w:r>
        <w:rPr>
          <w:rFonts w:hint="eastAsia" w:ascii="黑体" w:hAnsi="黑体" w:eastAsia="黑体"/>
          <w:color w:val="000000"/>
          <w:sz w:val="34"/>
          <w:szCs w:val="34"/>
        </w:rPr>
        <w:t>情况</w:t>
      </w:r>
    </w:p>
    <w:p>
      <w:pPr>
        <w:pStyle w:val="7"/>
        <w:keepNext w:val="0"/>
        <w:keepLines w:val="0"/>
        <w:pageBreakBefore w:val="0"/>
        <w:numPr>
          <w:ilvl w:val="0"/>
          <w:numId w:val="0"/>
        </w:numPr>
        <w:kinsoku/>
        <w:wordWrap/>
        <w:overflowPunct/>
        <w:topLinePunct w:val="0"/>
        <w:autoSpaceDE/>
        <w:autoSpaceDN/>
        <w:bidi w:val="0"/>
        <w:spacing w:after="0" w:line="560" w:lineRule="exact"/>
        <w:ind w:firstLine="680" w:firstLineChars="200"/>
        <w:jc w:val="both"/>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新北街道根据相关法律、法规、规章和行政执法“三项制度”规定，经梳理审查，现具有行政执法主体资格的部门仅为新北街道综合执法大队。截止目前，新北街道在岗在编执法人员20人，取得执法证人员17人，共有3名新入职执法人员，至今还未取得执法证；同比去年退出5名执法人员，3人为调离岗位或调任至其他单位，另2人为退休人员。</w:t>
      </w:r>
    </w:p>
    <w:p>
      <w:pPr>
        <w:pStyle w:val="7"/>
        <w:keepNext w:val="0"/>
        <w:keepLines w:val="0"/>
        <w:pageBreakBefore w:val="0"/>
        <w:numPr>
          <w:ilvl w:val="0"/>
          <w:numId w:val="0"/>
        </w:numPr>
        <w:kinsoku/>
        <w:wordWrap/>
        <w:overflowPunct/>
        <w:topLinePunct w:val="0"/>
        <w:autoSpaceDE/>
        <w:autoSpaceDN/>
        <w:bidi w:val="0"/>
        <w:spacing w:after="0" w:line="560" w:lineRule="exact"/>
        <w:ind w:firstLine="680" w:firstLineChars="200"/>
        <w:jc w:val="both"/>
        <w:textAlignment w:val="auto"/>
        <w:outlineLvl w:val="9"/>
        <w:rPr>
          <w:rFonts w:hint="eastAsia" w:ascii="仿宋_GB2312" w:hAnsi="仿宋_GB2312" w:eastAsia="仿宋_GB2312" w:cs="仿宋_GB2312"/>
          <w:kern w:val="2"/>
          <w:sz w:val="34"/>
          <w:szCs w:val="34"/>
          <w:lang w:val="en-US" w:eastAsia="zh-CN" w:bidi="ar-SA"/>
        </w:rPr>
      </w:pPr>
      <w:r>
        <w:rPr>
          <w:rFonts w:hint="default" w:ascii="仿宋_GB2312" w:hAnsi="仿宋_GB2312" w:eastAsia="仿宋_GB2312" w:cs="仿宋_GB2312"/>
          <w:kern w:val="2"/>
          <w:sz w:val="34"/>
          <w:szCs w:val="34"/>
          <w:lang w:val="en-US" w:eastAsia="zh-CN" w:bidi="ar-SA"/>
        </w:rPr>
        <w:t>202</w:t>
      </w:r>
      <w:r>
        <w:rPr>
          <w:rFonts w:hint="eastAsia" w:ascii="仿宋_GB2312" w:hAnsi="仿宋_GB2312" w:eastAsia="仿宋_GB2312" w:cs="仿宋_GB2312"/>
          <w:kern w:val="2"/>
          <w:sz w:val="34"/>
          <w:szCs w:val="34"/>
          <w:lang w:val="en-US" w:eastAsia="zh-CN" w:bidi="ar-SA"/>
        </w:rPr>
        <w:t>4年新北街道</w:t>
      </w:r>
      <w:r>
        <w:rPr>
          <w:rFonts w:hint="default" w:ascii="仿宋_GB2312" w:hAnsi="仿宋_GB2312" w:eastAsia="仿宋_GB2312" w:cs="仿宋_GB2312"/>
          <w:kern w:val="2"/>
          <w:sz w:val="34"/>
          <w:szCs w:val="34"/>
          <w:lang w:val="en-US" w:eastAsia="zh-CN" w:bidi="ar-SA"/>
        </w:rPr>
        <w:t>以落实《天津市文明行为促进条例》</w:t>
      </w:r>
      <w:r>
        <w:rPr>
          <w:rFonts w:hint="eastAsia" w:ascii="仿宋_GB2312" w:hAnsi="仿宋_GB2312" w:eastAsia="仿宋_GB2312" w:cs="仿宋_GB2312"/>
          <w:kern w:val="2"/>
          <w:sz w:val="34"/>
          <w:szCs w:val="34"/>
          <w:lang w:val="en-US" w:eastAsia="zh-CN" w:bidi="ar-SA"/>
        </w:rPr>
        <w:t>、</w:t>
      </w:r>
      <w:r>
        <w:rPr>
          <w:rFonts w:hint="default" w:ascii="仿宋_GB2312" w:hAnsi="仿宋_GB2312" w:eastAsia="仿宋_GB2312" w:cs="仿宋_GB2312"/>
          <w:kern w:val="2"/>
          <w:sz w:val="34"/>
          <w:szCs w:val="34"/>
          <w:lang w:val="en-US" w:eastAsia="zh-CN" w:bidi="ar-SA"/>
        </w:rPr>
        <w:t>《天津市市容和环境卫生管理条例》</w:t>
      </w:r>
      <w:r>
        <w:rPr>
          <w:rFonts w:hint="eastAsia" w:ascii="仿宋_GB2312" w:hAnsi="仿宋_GB2312" w:eastAsia="仿宋_GB2312" w:cs="仿宋_GB2312"/>
          <w:kern w:val="2"/>
          <w:sz w:val="34"/>
          <w:szCs w:val="34"/>
          <w:lang w:val="en-US" w:eastAsia="zh-CN" w:bidi="ar-SA"/>
        </w:rPr>
        <w:t>、</w:t>
      </w:r>
      <w:r>
        <w:rPr>
          <w:rFonts w:hint="default" w:ascii="仿宋_GB2312" w:hAnsi="仿宋_GB2312" w:eastAsia="仿宋_GB2312" w:cs="仿宋_GB2312"/>
          <w:kern w:val="2"/>
          <w:sz w:val="34"/>
          <w:szCs w:val="34"/>
          <w:lang w:val="en-US" w:eastAsia="zh-CN" w:bidi="ar-SA"/>
        </w:rPr>
        <w:t>《天津市消防条例》相结合，把依法行政、执法为民作为出发点和落脚点，以提升辖区市容环境秩序为抓手，服务辖区人民，加大执法力度，对乱扔垃圾、占路经营、在楼道等公共区域停放电动车等违法行为重点进行治理，对物业服务企业未履行消防安全职责的给予警告处罚。截止目前，作出简易处罚</w:t>
      </w:r>
      <w:r>
        <w:rPr>
          <w:rFonts w:hint="default" w:ascii="仿宋_GB2312" w:hAnsi="仿宋_GB2312" w:eastAsia="仿宋_GB2312" w:cs="仿宋_GB2312"/>
          <w:color w:val="auto"/>
          <w:kern w:val="2"/>
          <w:sz w:val="34"/>
          <w:szCs w:val="34"/>
          <w:shd w:val="clear"/>
          <w:lang w:val="en-US" w:eastAsia="zh-CN" w:bidi="ar-SA"/>
        </w:rPr>
        <w:t>2</w:t>
      </w:r>
      <w:r>
        <w:rPr>
          <w:rFonts w:hint="eastAsia" w:ascii="仿宋_GB2312" w:hAnsi="仿宋_GB2312" w:eastAsia="仿宋_GB2312" w:cs="仿宋_GB2312"/>
          <w:color w:val="auto"/>
          <w:kern w:val="2"/>
          <w:sz w:val="34"/>
          <w:szCs w:val="34"/>
          <w:shd w:val="clear"/>
          <w:lang w:val="en-US" w:eastAsia="zh-CN" w:bidi="ar-SA"/>
        </w:rPr>
        <w:t>2</w:t>
      </w:r>
      <w:r>
        <w:rPr>
          <w:rFonts w:hint="default" w:ascii="仿宋_GB2312" w:hAnsi="仿宋_GB2312" w:eastAsia="仿宋_GB2312" w:cs="仿宋_GB2312"/>
          <w:kern w:val="2"/>
          <w:sz w:val="34"/>
          <w:szCs w:val="34"/>
          <w:lang w:val="en-US" w:eastAsia="zh-CN" w:bidi="ar-SA"/>
        </w:rPr>
        <w:t>件，罚款</w:t>
      </w:r>
      <w:r>
        <w:rPr>
          <w:rFonts w:hint="eastAsia" w:ascii="仿宋_GB2312" w:hAnsi="仿宋_GB2312" w:eastAsia="仿宋_GB2312" w:cs="仿宋_GB2312"/>
          <w:kern w:val="2"/>
          <w:sz w:val="34"/>
          <w:szCs w:val="34"/>
          <w:shd w:val="clear"/>
          <w:lang w:val="en-US" w:eastAsia="zh-CN" w:bidi="ar-SA"/>
        </w:rPr>
        <w:t>2950</w:t>
      </w:r>
      <w:r>
        <w:rPr>
          <w:rFonts w:hint="default" w:ascii="仿宋_GB2312" w:hAnsi="仿宋_GB2312" w:eastAsia="仿宋_GB2312" w:cs="仿宋_GB2312"/>
          <w:kern w:val="2"/>
          <w:sz w:val="34"/>
          <w:szCs w:val="34"/>
          <w:lang w:val="en-US" w:eastAsia="zh-CN" w:bidi="ar-SA"/>
        </w:rPr>
        <w:t>元，对执法文书已及时整理归档，规范执法档案的管理且均已归集到智慧执法平台，并及时做好信息公示、征信工作</w:t>
      </w:r>
      <w:r>
        <w:rPr>
          <w:rFonts w:hint="eastAsia" w:ascii="仿宋_GB2312" w:hAnsi="仿宋_GB2312" w:eastAsia="仿宋_GB2312" w:cs="仿宋_GB2312"/>
          <w:kern w:val="2"/>
          <w:sz w:val="34"/>
          <w:szCs w:val="34"/>
          <w:lang w:val="en-US" w:eastAsia="zh-CN" w:bidi="ar-SA"/>
        </w:rPr>
        <w:t>;执法参与率达到了100%,执法履职率达到了100%，按时按质按量的完成了本年行政执法年度计划。</w:t>
      </w:r>
    </w:p>
    <w:p>
      <w:pPr>
        <w:pStyle w:val="7"/>
        <w:keepNext w:val="0"/>
        <w:keepLines w:val="0"/>
        <w:pageBreakBefore w:val="0"/>
        <w:numPr>
          <w:ilvl w:val="0"/>
          <w:numId w:val="0"/>
        </w:numPr>
        <w:kinsoku/>
        <w:wordWrap/>
        <w:overflowPunct/>
        <w:topLinePunct w:val="0"/>
        <w:autoSpaceDE/>
        <w:autoSpaceDN/>
        <w:bidi w:val="0"/>
        <w:spacing w:after="0" w:line="560" w:lineRule="exact"/>
        <w:jc w:val="both"/>
        <w:textAlignment w:val="auto"/>
        <w:outlineLvl w:val="9"/>
        <w:rPr>
          <w:rFonts w:hint="eastAsia" w:ascii="黑体" w:hAnsi="黑体" w:eastAsia="黑体"/>
          <w:color w:val="000000"/>
          <w:sz w:val="34"/>
          <w:szCs w:val="34"/>
          <w:lang w:val="en-US" w:eastAsia="zh-CN"/>
        </w:rPr>
      </w:pPr>
      <w:r>
        <w:rPr>
          <w:rFonts w:hint="eastAsia" w:ascii="黑体" w:hAnsi="黑体" w:eastAsia="黑体"/>
          <w:color w:val="000000"/>
          <w:sz w:val="34"/>
          <w:szCs w:val="34"/>
          <w:lang w:val="en-US" w:eastAsia="zh-CN"/>
        </w:rPr>
        <w:t xml:space="preserve">    二、主要工作情况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rPr>
          <w:rFonts w:hint="eastAsia" w:ascii="楷体_GB2312" w:hAnsi="宋体" w:eastAsia="楷体_GB2312" w:cs="Times New Roman"/>
          <w:b/>
          <w:color w:val="000000"/>
          <w:kern w:val="2"/>
          <w:sz w:val="34"/>
          <w:szCs w:val="34"/>
          <w:lang w:val="en-US" w:eastAsia="zh-CN" w:bidi="ar-SA"/>
        </w:rPr>
      </w:pPr>
      <w:r>
        <w:rPr>
          <w:rFonts w:hint="eastAsia" w:ascii="楷体_GB2312" w:hAnsi="楷体_GB2312" w:eastAsia="楷体_GB2312" w:cs="楷体_GB2312"/>
          <w:b/>
          <w:bCs/>
          <w:sz w:val="32"/>
          <w:szCs w:val="32"/>
          <w:lang w:val="en-US" w:eastAsia="zh-CN"/>
        </w:rPr>
        <w:t xml:space="preserve">    </w:t>
      </w:r>
      <w:r>
        <w:rPr>
          <w:rFonts w:hint="eastAsia" w:ascii="楷体_GB2312" w:hAnsi="宋体" w:eastAsia="楷体_GB2312" w:cs="Times New Roman"/>
          <w:b/>
          <w:color w:val="000000"/>
          <w:kern w:val="2"/>
          <w:sz w:val="34"/>
          <w:szCs w:val="34"/>
          <w:lang w:val="en-US" w:eastAsia="zh-CN" w:bidi="ar-SA"/>
        </w:rPr>
        <w:t>（一）党建引领队伍建设</w:t>
      </w:r>
    </w:p>
    <w:p>
      <w:pPr>
        <w:keepNext w:val="0"/>
        <w:keepLines w:val="0"/>
        <w:pageBreakBefore w:val="0"/>
        <w:widowControl/>
        <w:kinsoku/>
        <w:wordWrap/>
        <w:overflowPunct/>
        <w:topLinePunct w:val="0"/>
        <w:autoSpaceDE/>
        <w:autoSpaceDN/>
        <w:bidi w:val="0"/>
        <w:adjustRightInd w:val="0"/>
        <w:snapToGrid w:val="0"/>
        <w:spacing w:after="0"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新北街道始终坚持以党建工作为统领，加强基层党组织建设，把党建工作与法制业务工作有机结合，切实发挥好党建政治引领作用，不断增强执法队伍的凝聚力与战斗力。</w:t>
      </w:r>
      <w:r>
        <w:rPr>
          <w:rFonts w:hint="eastAsia" w:ascii="仿宋_GB2312" w:hAnsi="仿宋_GB2312" w:eastAsia="仿宋_GB2312" w:cs="仿宋_GB2312"/>
          <w:b/>
          <w:bCs/>
          <w:sz w:val="34"/>
          <w:szCs w:val="34"/>
          <w:lang w:val="en-US" w:eastAsia="zh-CN"/>
        </w:rPr>
        <w:t>一是</w:t>
      </w:r>
      <w:r>
        <w:rPr>
          <w:rFonts w:hint="eastAsia" w:ascii="仿宋_GB2312" w:hAnsi="仿宋_GB2312" w:eastAsia="仿宋_GB2312" w:cs="仿宋_GB2312"/>
          <w:sz w:val="34"/>
          <w:szCs w:val="34"/>
          <w:lang w:val="en-US" w:eastAsia="zh-CN"/>
        </w:rPr>
        <w:t>筑牢政治思想教育，不断</w:t>
      </w:r>
      <w:r>
        <w:rPr>
          <w:rFonts w:hint="eastAsia" w:ascii="仿宋_GB2312" w:hAnsi="仿宋_GB2312" w:eastAsia="仿宋_GB2312" w:cs="仿宋_GB2312"/>
          <w:b w:val="0"/>
          <w:bCs w:val="0"/>
          <w:sz w:val="34"/>
          <w:szCs w:val="34"/>
          <w:lang w:eastAsia="zh-CN"/>
        </w:rPr>
        <w:t>夯实政治理论基础，</w:t>
      </w:r>
      <w:r>
        <w:rPr>
          <w:rFonts w:hint="eastAsia" w:ascii="仿宋_GB2312" w:hAnsi="仿宋_GB2312" w:eastAsia="仿宋_GB2312" w:cs="仿宋_GB2312"/>
          <w:sz w:val="34"/>
          <w:szCs w:val="34"/>
          <w:lang w:val="en-US" w:eastAsia="zh-CN"/>
        </w:rPr>
        <w:t>加强队伍自身建设，提高工作效率，树立队伍形象。</w:t>
      </w:r>
      <w:r>
        <w:rPr>
          <w:rFonts w:hint="eastAsia" w:ascii="仿宋_GB2312" w:hAnsi="仿宋_GB2312" w:eastAsia="仿宋_GB2312" w:cs="仿宋_GB2312"/>
          <w:b/>
          <w:bCs/>
          <w:sz w:val="34"/>
          <w:szCs w:val="34"/>
        </w:rPr>
        <w:t>二是</w:t>
      </w:r>
      <w:r>
        <w:rPr>
          <w:rFonts w:hint="eastAsia" w:ascii="仿宋_GB2312" w:hAnsi="仿宋_GB2312" w:eastAsia="仿宋_GB2312" w:cs="仿宋_GB2312"/>
          <w:sz w:val="34"/>
          <w:szCs w:val="34"/>
          <w:lang w:val="en-US" w:eastAsia="zh-CN"/>
        </w:rPr>
        <w:t>狠抓组织作风建设</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落实“三会一课”制度，召开组织生活会和民主评议，规范支部组织生活。</w:t>
      </w:r>
      <w:r>
        <w:rPr>
          <w:rFonts w:hint="eastAsia" w:ascii="仿宋_GB2312" w:hAnsi="仿宋_GB2312" w:eastAsia="仿宋_GB2312" w:cs="仿宋_GB2312"/>
          <w:b/>
          <w:bCs/>
          <w:sz w:val="34"/>
          <w:szCs w:val="34"/>
          <w:lang w:eastAsia="zh-CN"/>
        </w:rPr>
        <w:t>三是</w:t>
      </w:r>
      <w:r>
        <w:rPr>
          <w:rFonts w:hint="eastAsia" w:ascii="仿宋_GB2312" w:hAnsi="仿宋_GB2312" w:eastAsia="仿宋_GB2312" w:cs="仿宋_GB2312"/>
          <w:sz w:val="34"/>
          <w:szCs w:val="34"/>
        </w:rPr>
        <w:t>结合</w:t>
      </w:r>
      <w:r>
        <w:rPr>
          <w:rFonts w:hint="eastAsia" w:ascii="仿宋_GB2312" w:hAnsi="仿宋_GB2312" w:eastAsia="仿宋_GB2312" w:cs="仿宋_GB2312"/>
          <w:sz w:val="34"/>
          <w:szCs w:val="34"/>
          <w:lang w:eastAsia="zh-CN"/>
        </w:rPr>
        <w:t>党史学习教育扎实推进</w:t>
      </w:r>
      <w:r>
        <w:rPr>
          <w:rFonts w:hint="eastAsia" w:ascii="仿宋_GB2312" w:hAnsi="仿宋_GB2312" w:eastAsia="仿宋_GB2312" w:cs="仿宋_GB2312"/>
          <w:sz w:val="34"/>
          <w:szCs w:val="34"/>
          <w:lang w:val="en-US" w:eastAsia="zh-CN"/>
        </w:rPr>
        <w:t>“迎盛会 铸忠诚 强担当 创业绩”主题学习宣传教育实践活动，认真查摆问题，保持积极向上的工作态度。</w:t>
      </w:r>
      <w:r>
        <w:rPr>
          <w:rFonts w:hint="eastAsia" w:ascii="仿宋_GB2312" w:hAnsi="仿宋_GB2312" w:eastAsia="仿宋_GB2312" w:cs="仿宋_GB2312"/>
          <w:b/>
          <w:bCs/>
          <w:sz w:val="34"/>
          <w:szCs w:val="34"/>
          <w:lang w:val="en-US" w:eastAsia="zh-CN"/>
        </w:rPr>
        <w:t>四是</w:t>
      </w:r>
      <w:r>
        <w:rPr>
          <w:rFonts w:hint="eastAsia" w:ascii="仿宋_GB2312" w:hAnsi="仿宋_GB2312" w:eastAsia="仿宋_GB2312" w:cs="仿宋_GB2312"/>
          <w:sz w:val="34"/>
          <w:szCs w:val="34"/>
          <w:lang w:val="en-US" w:eastAsia="zh-CN"/>
        </w:rPr>
        <w:t>认真梳理执法权限，对涉及的执法内容组织培训，促进执法水平的提升，为执法工作规范开展奠定基础。</w:t>
      </w:r>
    </w:p>
    <w:p>
      <w:pPr>
        <w:pStyle w:val="7"/>
        <w:keepNext w:val="0"/>
        <w:keepLines w:val="0"/>
        <w:pageBreakBefore w:val="0"/>
        <w:numPr>
          <w:ilvl w:val="0"/>
          <w:numId w:val="0"/>
        </w:numPr>
        <w:kinsoku/>
        <w:wordWrap/>
        <w:overflowPunct/>
        <w:topLinePunct w:val="0"/>
        <w:autoSpaceDE/>
        <w:autoSpaceDN/>
        <w:bidi w:val="0"/>
        <w:spacing w:after="0" w:line="560" w:lineRule="exact"/>
        <w:ind w:left="680" w:leftChars="0"/>
        <w:jc w:val="both"/>
        <w:textAlignment w:val="auto"/>
        <w:outlineLvl w:val="9"/>
        <w:rPr>
          <w:rFonts w:hint="eastAsia" w:ascii="楷体_GB2312" w:hAnsi="宋体" w:eastAsia="楷体_GB2312" w:cs="Times New Roman"/>
          <w:b/>
          <w:color w:val="000000"/>
          <w:sz w:val="34"/>
          <w:szCs w:val="34"/>
          <w:lang w:val="en-US" w:eastAsia="zh-CN" w:bidi="ar-SA"/>
        </w:rPr>
      </w:pPr>
      <w:r>
        <w:rPr>
          <w:rFonts w:hint="eastAsia" w:ascii="楷体_GB2312" w:hAnsi="宋体" w:eastAsia="楷体_GB2312" w:cs="Times New Roman"/>
          <w:b/>
          <w:color w:val="000000"/>
          <w:sz w:val="34"/>
          <w:szCs w:val="34"/>
          <w:lang w:val="en-US" w:eastAsia="zh-CN" w:bidi="ar-SA"/>
        </w:rPr>
        <w:t>（二）创文创卫长效建设工作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为进一步巩固全国文明城区和全国卫生城区建设成果，不断提升辖区</w:t>
      </w:r>
      <w:r>
        <w:rPr>
          <w:rFonts w:hint="eastAsia" w:ascii="仿宋_GB2312" w:hAnsi="仿宋_GB2312" w:eastAsia="仿宋_GB2312" w:cs="仿宋_GB2312"/>
          <w:b w:val="0"/>
          <w:bCs w:val="0"/>
          <w:sz w:val="34"/>
          <w:szCs w:val="34"/>
          <w:lang w:eastAsia="zh-CN"/>
        </w:rPr>
        <w:t>日常市容环境秩序，新北街执法大队在常态化管理的基础上加强对重点地区重点道路重点时段的巡查，</w:t>
      </w:r>
      <w:r>
        <w:rPr>
          <w:rFonts w:hint="eastAsia" w:ascii="仿宋_GB2312" w:hAnsi="仿宋_GB2312" w:eastAsia="仿宋_GB2312" w:cs="仿宋_GB2312"/>
          <w:sz w:val="34"/>
          <w:szCs w:val="34"/>
          <w:lang w:val="en-US" w:eastAsia="zh-CN"/>
        </w:rPr>
        <w:t>充分发挥第三方辅助管理作用，组织力量在春节、清明节期间，</w:t>
      </w:r>
      <w:r>
        <w:rPr>
          <w:rFonts w:hint="eastAsia" w:ascii="仿宋_GB2312" w:hAnsi="仿宋_GB2312" w:eastAsia="仿宋_GB2312" w:cs="仿宋_GB2312"/>
          <w:color w:val="000000"/>
          <w:sz w:val="34"/>
          <w:szCs w:val="34"/>
          <w:lang w:val="en-US" w:eastAsia="zh-CN"/>
        </w:rPr>
        <w:t>清理沿街摆卖祭祀用品26处，制止不文明祭祀行为22起，暂扣纸币纸钱等封建祭祀用品14袋；</w:t>
      </w:r>
      <w:r>
        <w:rPr>
          <w:rFonts w:hint="eastAsia" w:ascii="仿宋_GB2312" w:hAnsi="仿宋_GB2312" w:eastAsia="仿宋_GB2312" w:cs="仿宋_GB2312"/>
          <w:color w:val="000000"/>
          <w:sz w:val="34"/>
          <w:szCs w:val="34"/>
          <w:lang w:eastAsia="zh-CN"/>
        </w:rPr>
        <w:t>累计清理辖区主次干道路、背街里巷占路经营</w:t>
      </w:r>
      <w:r>
        <w:rPr>
          <w:rFonts w:hint="eastAsia" w:ascii="仿宋_GB2312" w:hAnsi="仿宋_GB2312" w:eastAsia="仿宋_GB2312" w:cs="仿宋_GB2312"/>
          <w:color w:val="000000"/>
          <w:sz w:val="34"/>
          <w:szCs w:val="34"/>
          <w:lang w:val="en-US" w:eastAsia="zh-CN"/>
        </w:rPr>
        <w:t>1254处、堆物266处、废旧电瓶车30余辆、小广告1567处、广告信息牌、刀牌、条幅220处；清理各社区内菜地30余处、僵尸车17辆；拆除地锁120个；清理居民区内饲养家禽、家畜、鸽子等行为62起；</w:t>
      </w:r>
      <w:r>
        <w:rPr>
          <w:rFonts w:hint="eastAsia" w:ascii="仿宋_GB2312" w:hAnsi="仿宋_GB2312" w:eastAsia="仿宋_GB2312" w:cs="仿宋_GB2312"/>
          <w:color w:val="000000"/>
          <w:sz w:val="34"/>
          <w:szCs w:val="34"/>
          <w:highlight w:val="none"/>
          <w:lang w:val="en-US" w:eastAsia="zh-CN"/>
        </w:rPr>
        <w:t>清理辖区流浪犬及无证犬22余只，规范停放共享单车4000余车次，</w:t>
      </w:r>
      <w:r>
        <w:rPr>
          <w:rFonts w:hint="eastAsia" w:ascii="仿宋_GB2312" w:hAnsi="仿宋_GB2312" w:eastAsia="仿宋_GB2312" w:cs="仿宋_GB2312"/>
          <w:sz w:val="34"/>
          <w:szCs w:val="34"/>
          <w:lang w:val="en-US" w:eastAsia="zh-CN"/>
        </w:rPr>
        <w:t>辖区</w:t>
      </w:r>
      <w:r>
        <w:rPr>
          <w:rFonts w:hint="default" w:ascii="仿宋_GB2312" w:hAnsi="仿宋_GB2312" w:eastAsia="仿宋_GB2312" w:cs="仿宋_GB2312"/>
          <w:sz w:val="34"/>
          <w:szCs w:val="34"/>
          <w:lang w:val="en-US" w:eastAsia="zh-CN"/>
        </w:rPr>
        <w:t>市容环境秩序不断提升，流动摊贩、</w:t>
      </w:r>
      <w:r>
        <w:rPr>
          <w:rFonts w:hint="eastAsia" w:ascii="仿宋_GB2312" w:hAnsi="仿宋_GB2312" w:eastAsia="仿宋_GB2312" w:cs="仿宋_GB2312"/>
          <w:sz w:val="34"/>
          <w:szCs w:val="34"/>
          <w:lang w:val="en-US" w:eastAsia="zh-CN"/>
        </w:rPr>
        <w:t>乱堆乱放</w:t>
      </w:r>
      <w:r>
        <w:rPr>
          <w:rFonts w:hint="default" w:ascii="仿宋_GB2312" w:hAnsi="仿宋_GB2312" w:eastAsia="仿宋_GB2312" w:cs="仿宋_GB2312"/>
          <w:sz w:val="34"/>
          <w:szCs w:val="34"/>
          <w:lang w:val="en-US" w:eastAsia="zh-CN"/>
        </w:rPr>
        <w:t>等不文明行为也逐渐减少</w:t>
      </w:r>
      <w:r>
        <w:rPr>
          <w:rFonts w:hint="eastAsia" w:ascii="仿宋_GB2312" w:hAnsi="仿宋_GB2312" w:eastAsia="仿宋_GB2312" w:cs="仿宋_GB2312"/>
          <w:sz w:val="34"/>
          <w:szCs w:val="34"/>
          <w:lang w:val="en-US" w:eastAsia="zh-CN"/>
        </w:rPr>
        <w:t>。</w:t>
      </w:r>
    </w:p>
    <w:p>
      <w:pPr>
        <w:pStyle w:val="7"/>
        <w:keepNext w:val="0"/>
        <w:keepLines w:val="0"/>
        <w:pageBreakBefore w:val="0"/>
        <w:numPr>
          <w:ilvl w:val="0"/>
          <w:numId w:val="0"/>
        </w:numPr>
        <w:kinsoku/>
        <w:wordWrap/>
        <w:overflowPunct/>
        <w:topLinePunct w:val="0"/>
        <w:autoSpaceDE/>
        <w:autoSpaceDN/>
        <w:bidi w:val="0"/>
        <w:spacing w:after="0" w:line="560" w:lineRule="exact"/>
        <w:ind w:firstLine="682" w:firstLineChars="200"/>
        <w:jc w:val="both"/>
        <w:textAlignment w:val="auto"/>
        <w:outlineLvl w:val="9"/>
        <w:rPr>
          <w:rFonts w:hint="eastAsia" w:ascii="楷体_GB2312" w:hAnsi="宋体" w:eastAsia="楷体_GB2312" w:cs="Times New Roman"/>
          <w:b/>
          <w:color w:val="000000"/>
          <w:sz w:val="34"/>
          <w:szCs w:val="34"/>
          <w:lang w:val="en-US" w:eastAsia="zh-CN" w:bidi="ar-SA"/>
        </w:rPr>
      </w:pPr>
      <w:r>
        <w:rPr>
          <w:rFonts w:hint="eastAsia" w:ascii="楷体_GB2312" w:hAnsi="宋体" w:eastAsia="楷体_GB2312" w:cs="Times New Roman"/>
          <w:b/>
          <w:color w:val="000000"/>
          <w:kern w:val="2"/>
          <w:sz w:val="34"/>
          <w:szCs w:val="34"/>
          <w:lang w:val="en-US" w:eastAsia="zh-CN" w:bidi="ar-SA"/>
        </w:rPr>
        <w:t>（三）</w:t>
      </w:r>
      <w:r>
        <w:rPr>
          <w:rFonts w:hint="eastAsia" w:ascii="楷体_GB2312" w:hAnsi="宋体" w:eastAsia="楷体_GB2312" w:cs="Times New Roman"/>
          <w:b/>
          <w:color w:val="000000"/>
          <w:sz w:val="34"/>
          <w:szCs w:val="34"/>
          <w:lang w:val="en-US" w:eastAsia="zh-CN" w:bidi="ar-SA"/>
        </w:rPr>
        <w:t>专项治理工作</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1、北塘西货场违建治理工作。</w:t>
      </w:r>
      <w:r>
        <w:rPr>
          <w:rFonts w:hint="eastAsia" w:ascii="仿宋_GB2312" w:hAnsi="仿宋_GB2312" w:eastAsia="仿宋_GB2312" w:cs="仿宋_GB2312"/>
          <w:sz w:val="34"/>
          <w:szCs w:val="34"/>
          <w:lang w:val="en-US" w:eastAsia="zh-CN"/>
        </w:rPr>
        <w:t>北塘西货场违建位于</w:t>
      </w:r>
      <w:r>
        <w:rPr>
          <w:rFonts w:hint="eastAsia" w:ascii="仿宋_GB2312" w:hAnsi="仿宋_GB2312" w:eastAsia="仿宋_GB2312" w:cs="仿宋_GB2312"/>
          <w:sz w:val="34"/>
          <w:szCs w:val="34"/>
          <w:lang w:eastAsia="zh-CN"/>
        </w:rPr>
        <w:t>天津市滨海新区塘沽塘汉路地道西侧、北环线铁路南侧。相对人搭建建筑物5处，</w:t>
      </w:r>
      <w:r>
        <w:rPr>
          <w:rFonts w:hint="eastAsia" w:ascii="仿宋_GB2312" w:hAnsi="仿宋_GB2312" w:eastAsia="仿宋_GB2312" w:cs="仿宋_GB2312"/>
          <w:color w:val="auto"/>
          <w:sz w:val="34"/>
          <w:szCs w:val="34"/>
          <w:lang w:eastAsia="zh-CN"/>
        </w:rPr>
        <w:t>为彩钢结构20间，约800平方米。为了满足区重点项目建设需要</w:t>
      </w:r>
      <w:r>
        <w:rPr>
          <w:rFonts w:hint="eastAsia" w:ascii="仿宋_GB2312" w:hAnsi="仿宋_GB2312" w:eastAsia="仿宋_GB2312" w:cs="仿宋_GB2312"/>
          <w:sz w:val="34"/>
          <w:szCs w:val="34"/>
          <w:lang w:val="en-US" w:eastAsia="zh-CN"/>
        </w:rPr>
        <w:t>，维护市容市貌，新北街道积极协调推进北塘西货场违建治理工作。</w:t>
      </w:r>
      <w:r>
        <w:rPr>
          <w:rFonts w:hint="eastAsia" w:ascii="仿宋_GB2312" w:hAnsi="仿宋_GB2312" w:eastAsia="仿宋_GB2312" w:cs="仿宋_GB2312"/>
          <w:sz w:val="34"/>
          <w:szCs w:val="34"/>
        </w:rPr>
        <w:t>2024年5月5日泽峰区长、陈波副区长于北塘西货场现场召开现场会，对相关部门和单位提出明确要求。会后我街第一时间落实区领导指示，组建违建强拆工作专班，确定了做好依法依规强制拆除准备、动员相对人主动拆除的双重工作思路，全力推进违建清除，为重点项目建设提速增效。2024年5月6日我街工作专班初步制定了《北塘西货场地块违法建设强制拆除工作实施方案》并征求有关单位意见；新北派出所主动作为开展工作，对相对人进行强拆前的普法宣教，同时查勘现场，对强拆工作予以会商指导。2024年5月7日上午我街工作专班联系新区司法局，针对北塘西货场违建执法案卷进行了法制审核，并就强制拆除执法流程进行研判指导；2024年5月7日下午我街工作专班在工委主要领导带领下，协同泰达土地整理开发有限公司负责人与相对人进行会谈，履行对相对人强拆前的告知工作，动员其主动拆除；2024年5月10日我街工作专班继续约谈相对人陈金锁开展工作，劝导其配合拆除违建并进一步告知利害关系；2024年5月13日我街工作专班前往违建现场勘察并与相对人陈金锁在现场面谈，其表示将配合我街主动清除违建。</w:t>
      </w:r>
      <w:r>
        <w:rPr>
          <w:rFonts w:hint="eastAsia" w:ascii="仿宋_GB2312" w:hAnsi="仿宋_GB2312" w:eastAsia="仿宋_GB2312" w:cs="仿宋_GB2312"/>
          <w:sz w:val="34"/>
          <w:szCs w:val="34"/>
          <w:lang w:val="en-US" w:eastAsia="zh-CN"/>
        </w:rPr>
        <w:t>2024年6月1日我街工作专班前往违建现场勘察发现相对人已将该地块基本清理完毕，仅剩部分大型设备和五处废弃临时板房；2024年6月2日我街工作专班协调属地企业帮助相对人搬迁大型设备及物品。截止目前，该地块已彻底清理完毕。</w:t>
      </w:r>
    </w:p>
    <w:p>
      <w:pPr>
        <w:ind w:firstLine="640"/>
        <w:jc w:val="left"/>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2、治理共享单车。</w:t>
      </w:r>
      <w:r>
        <w:rPr>
          <w:rFonts w:hint="eastAsia" w:ascii="仿宋_GB2312" w:hAnsi="仿宋_GB2312" w:eastAsia="仿宋_GB2312" w:cs="仿宋_GB2312"/>
          <w:sz w:val="34"/>
          <w:szCs w:val="34"/>
          <w:lang w:eastAsia="zh-CN"/>
        </w:rPr>
        <w:t>为进一步加强电动自行车道路交通安全综合治理，牢固树立电动车“事故可控可防”理念，确保全街道交通安全形势稳定，护航宜居宜业美丽滨城建设。新北街综合执法大队在街道统一部署下，按照工作要求开展电动自行车道路交通安全综合治理行动。</w:t>
      </w:r>
      <w:r>
        <w:rPr>
          <w:rFonts w:hint="eastAsia" w:ascii="仿宋_GB2312" w:hAnsi="仿宋_GB2312" w:eastAsia="仿宋_GB2312" w:cs="仿宋_GB2312"/>
          <w:sz w:val="34"/>
          <w:szCs w:val="34"/>
          <w:lang w:val="en-US" w:eastAsia="zh-CN"/>
        </w:rPr>
        <w:t>执法大队共计出动执法人员</w:t>
      </w:r>
      <w:r>
        <w:rPr>
          <w:rFonts w:hint="default" w:ascii="仿宋_GB2312" w:hAnsi="仿宋_GB2312" w:eastAsia="仿宋_GB2312" w:cs="仿宋_GB2312"/>
          <w:sz w:val="34"/>
          <w:szCs w:val="34"/>
          <w:lang w:val="en" w:eastAsia="zh-CN"/>
        </w:rPr>
        <w:t>312</w:t>
      </w:r>
      <w:r>
        <w:rPr>
          <w:rFonts w:hint="eastAsia" w:ascii="仿宋_GB2312" w:hAnsi="仿宋_GB2312" w:eastAsia="仿宋_GB2312" w:cs="仿宋_GB2312"/>
          <w:sz w:val="34"/>
          <w:szCs w:val="34"/>
          <w:lang w:val="en-US" w:eastAsia="zh-CN"/>
        </w:rPr>
        <w:t>人次、执法车辆</w:t>
      </w:r>
      <w:r>
        <w:rPr>
          <w:rFonts w:hint="default" w:ascii="仿宋_GB2312" w:hAnsi="仿宋_GB2312" w:eastAsia="仿宋_GB2312" w:cs="仿宋_GB2312"/>
          <w:sz w:val="34"/>
          <w:szCs w:val="34"/>
          <w:lang w:val="en" w:eastAsia="zh-CN"/>
        </w:rPr>
        <w:t>87</w:t>
      </w:r>
      <w:r>
        <w:rPr>
          <w:rFonts w:hint="eastAsia" w:ascii="仿宋_GB2312" w:hAnsi="仿宋_GB2312" w:eastAsia="仿宋_GB2312" w:cs="仿宋_GB2312"/>
          <w:sz w:val="34"/>
          <w:szCs w:val="34"/>
          <w:lang w:val="en-US" w:eastAsia="zh-CN"/>
        </w:rPr>
        <w:t>辆次，共有序摆放共享单车</w:t>
      </w:r>
      <w:r>
        <w:rPr>
          <w:rFonts w:hint="default" w:ascii="仿宋_GB2312" w:hAnsi="仿宋_GB2312" w:eastAsia="仿宋_GB2312" w:cs="仿宋_GB2312"/>
          <w:sz w:val="34"/>
          <w:szCs w:val="34"/>
          <w:lang w:val="en" w:eastAsia="zh-CN"/>
        </w:rPr>
        <w:t>271</w:t>
      </w:r>
      <w:r>
        <w:rPr>
          <w:rFonts w:hint="eastAsia" w:ascii="仿宋_GB2312" w:hAnsi="仿宋_GB2312" w:eastAsia="仿宋_GB2312" w:cs="仿宋_GB2312"/>
          <w:sz w:val="34"/>
          <w:szCs w:val="34"/>
          <w:lang w:val="en-US" w:eastAsia="zh-CN"/>
        </w:rPr>
        <w:t>辆，整治乱停乱放行为</w:t>
      </w:r>
      <w:r>
        <w:rPr>
          <w:rFonts w:hint="default" w:ascii="仿宋_GB2312" w:hAnsi="仿宋_GB2312" w:eastAsia="仿宋_GB2312" w:cs="仿宋_GB2312"/>
          <w:sz w:val="34"/>
          <w:szCs w:val="34"/>
          <w:lang w:val="en" w:eastAsia="zh-CN"/>
        </w:rPr>
        <w:t>41</w:t>
      </w:r>
      <w:r>
        <w:rPr>
          <w:rFonts w:hint="eastAsia" w:ascii="仿宋_GB2312" w:eastAsia="仿宋_GB2312"/>
          <w:sz w:val="34"/>
          <w:szCs w:val="34"/>
          <w:lang w:val="en-US" w:eastAsia="zh-CN"/>
        </w:rPr>
        <w:t>起，劝阻行人文明停放共享单车</w:t>
      </w:r>
      <w:r>
        <w:rPr>
          <w:rFonts w:hint="default" w:ascii="仿宋_GB2312" w:eastAsia="仿宋_GB2312"/>
          <w:sz w:val="34"/>
          <w:szCs w:val="34"/>
          <w:lang w:val="en" w:eastAsia="zh-CN"/>
        </w:rPr>
        <w:t>27</w:t>
      </w:r>
      <w:r>
        <w:rPr>
          <w:rFonts w:hint="eastAsia" w:ascii="仿宋_GB2312" w:eastAsia="仿宋_GB2312"/>
          <w:sz w:val="34"/>
          <w:szCs w:val="34"/>
          <w:lang w:val="en-US" w:eastAsia="zh-CN"/>
        </w:rPr>
        <w:t>次，处罚</w:t>
      </w:r>
      <w:r>
        <w:rPr>
          <w:rFonts w:hint="eastAsia" w:ascii="仿宋_GB2312" w:eastAsia="仿宋_GB2312"/>
          <w:sz w:val="34"/>
          <w:szCs w:val="34"/>
          <w:lang w:eastAsia="zh-CN"/>
        </w:rPr>
        <w:t>辖区内负责</w:t>
      </w:r>
      <w:r>
        <w:rPr>
          <w:rFonts w:hint="eastAsia" w:ascii="仿宋_GB2312" w:eastAsia="仿宋_GB2312"/>
          <w:sz w:val="34"/>
          <w:szCs w:val="34"/>
        </w:rPr>
        <w:t>互联网租赁自行车经营企业</w:t>
      </w:r>
      <w:r>
        <w:rPr>
          <w:rFonts w:hint="eastAsia" w:ascii="仿宋_GB2312" w:eastAsia="仿宋_GB2312"/>
          <w:sz w:val="34"/>
          <w:szCs w:val="34"/>
          <w:lang w:val="en-US" w:eastAsia="zh-CN"/>
        </w:rPr>
        <w:t>3家，罚款1500元。</w:t>
      </w:r>
      <w:r>
        <w:rPr>
          <w:rFonts w:hint="eastAsia" w:ascii="仿宋_GB2312" w:eastAsia="仿宋_GB2312"/>
          <w:b w:val="0"/>
          <w:bCs w:val="0"/>
          <w:sz w:val="34"/>
          <w:szCs w:val="34"/>
          <w:lang w:val="en-US" w:eastAsia="zh-CN"/>
        </w:rPr>
        <w:t>通过整治行动，辖区内共享电单车乱停放现象明显减少，城市环境品质进一步得到提升和改善。</w:t>
      </w:r>
    </w:p>
    <w:p>
      <w:pPr>
        <w:keepNext w:val="0"/>
        <w:keepLines w:val="0"/>
        <w:pageBreakBefore w:val="0"/>
        <w:widowControl w:val="0"/>
        <w:kinsoku/>
        <w:wordWrap/>
        <w:overflowPunct/>
        <w:topLinePunct w:val="0"/>
        <w:autoSpaceDE/>
        <w:autoSpaceDN/>
        <w:bidi w:val="0"/>
        <w:adjustRightInd/>
        <w:snapToGrid/>
        <w:spacing w:line="588" w:lineRule="exact"/>
        <w:ind w:firstLine="682" w:firstLineChars="200"/>
        <w:textAlignment w:val="auto"/>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b/>
          <w:bCs/>
          <w:sz w:val="34"/>
          <w:szCs w:val="34"/>
          <w:lang w:val="en-US" w:eastAsia="zh-CN"/>
        </w:rPr>
        <w:t>3、治理废弃汽车。</w:t>
      </w:r>
      <w:r>
        <w:rPr>
          <w:rFonts w:hint="eastAsia" w:ascii="仿宋_GB2312" w:hAnsi="仿宋_GB2312" w:eastAsia="仿宋_GB2312" w:cs="仿宋_GB2312"/>
          <w:sz w:val="34"/>
          <w:szCs w:val="34"/>
          <w:lang w:val="en-US" w:eastAsia="zh-CN"/>
        </w:rPr>
        <w:t>以建设美丽新北为总目标，依据《天津市街道综合执法暂行办法》和《天津市城市管理规定》、《天津市道路交通安全管理若干规定》等相关法律法规，对违规停放废弃汽车行为依法予以治理，规范市民行为，确保道路畅通，改善市容环境，提升城市文明形象。</w:t>
      </w:r>
      <w:r>
        <w:rPr>
          <w:rFonts w:hint="eastAsia" w:ascii="仿宋_GB2312" w:hAnsi="仿宋_GB2312" w:eastAsia="仿宋_GB2312" w:cs="仿宋_GB2312"/>
          <w:sz w:val="34"/>
          <w:szCs w:val="34"/>
          <w:lang w:eastAsia="zh-CN"/>
        </w:rPr>
        <w:t>开展专项行动以来</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共计出动</w:t>
      </w:r>
      <w:r>
        <w:rPr>
          <w:rFonts w:hint="eastAsia" w:ascii="仿宋_GB2312" w:hAnsi="仿宋_GB2312" w:eastAsia="仿宋_GB2312" w:cs="仿宋_GB2312"/>
          <w:sz w:val="34"/>
          <w:szCs w:val="34"/>
          <w:lang w:val="en-US" w:eastAsia="zh-CN"/>
        </w:rPr>
        <w:t>1500余人次，执法车辆350辆次，</w:t>
      </w:r>
      <w:r>
        <w:rPr>
          <w:rFonts w:hint="eastAsia" w:ascii="仿宋_GB2312" w:hAnsi="仿宋_GB2312" w:eastAsia="仿宋_GB2312" w:cs="仿宋_GB2312"/>
          <w:sz w:val="34"/>
          <w:szCs w:val="34"/>
        </w:rPr>
        <w:t>排查车辆总数</w:t>
      </w:r>
      <w:r>
        <w:rPr>
          <w:rFonts w:hint="eastAsia" w:ascii="仿宋_GB2312" w:hAnsi="仿宋_GB2312" w:eastAsia="仿宋_GB2312" w:cs="仿宋_GB2312"/>
          <w:sz w:val="34"/>
          <w:szCs w:val="34"/>
          <w:lang w:val="en-US" w:eastAsia="zh-CN"/>
        </w:rPr>
        <w:t>113</w:t>
      </w:r>
      <w:r>
        <w:rPr>
          <w:rFonts w:hint="eastAsia" w:ascii="仿宋_GB2312" w:hAnsi="仿宋_GB2312" w:eastAsia="仿宋_GB2312" w:cs="仿宋_GB2312"/>
          <w:sz w:val="34"/>
          <w:szCs w:val="34"/>
        </w:rPr>
        <w:t>辆，核查废弃汽车总数</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劝导车主自行清理</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辆</w:t>
      </w:r>
      <w:r>
        <w:rPr>
          <w:rFonts w:hint="eastAsia" w:ascii="仿宋_GB2312" w:hAnsi="仿宋_GB2312" w:eastAsia="仿宋_GB2312" w:cs="仿宋_GB2312"/>
          <w:sz w:val="34"/>
          <w:szCs w:val="34"/>
          <w:lang w:eastAsia="zh-CN"/>
        </w:rPr>
        <w:t>。</w:t>
      </w:r>
      <w:r>
        <w:rPr>
          <w:rFonts w:hint="eastAsia" w:ascii="仿宋_GB2312" w:eastAsia="仿宋_GB2312"/>
          <w:b w:val="0"/>
          <w:bCs w:val="0"/>
          <w:sz w:val="34"/>
          <w:szCs w:val="34"/>
          <w:lang w:val="en-US" w:eastAsia="zh-CN"/>
        </w:rPr>
        <w:t>通过整治行动，辖区内废弃汽车乱停乱放现象明显减少，城市环境品质进一步得到提升和改善。</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b/>
          <w:bCs/>
          <w:sz w:val="34"/>
          <w:szCs w:val="34"/>
          <w:lang w:val="en-US" w:eastAsia="zh-CN"/>
        </w:rPr>
        <w:t>4、治理露天烧烤、马路餐桌。</w:t>
      </w:r>
      <w:r>
        <w:rPr>
          <w:rFonts w:hint="eastAsia" w:ascii="仿宋_GB2312" w:hAnsi="仿宋_GB2312" w:eastAsia="仿宋_GB2312" w:cs="仿宋_GB2312"/>
          <w:sz w:val="34"/>
          <w:szCs w:val="34"/>
          <w:lang w:eastAsia="zh-CN"/>
        </w:rPr>
        <w:t>自</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color w:val="000000"/>
          <w:sz w:val="34"/>
          <w:szCs w:val="34"/>
          <w:lang w:val="en-US" w:eastAsia="zh-CN"/>
        </w:rPr>
        <w:t>月</w:t>
      </w:r>
      <w:r>
        <w:rPr>
          <w:rFonts w:hint="eastAsia" w:ascii="仿宋_GB2312" w:hAnsi="仿宋_GB2312" w:eastAsia="仿宋_GB2312" w:cs="仿宋_GB2312"/>
          <w:sz w:val="34"/>
          <w:szCs w:val="34"/>
          <w:lang w:val="en-US" w:eastAsia="zh-CN"/>
        </w:rPr>
        <w:t>份开始，安排执法人员与第三方辅助管理人员组成夜间执法队伍，对欧美小镇、工农村、厦门路、新北路、河北西路、谐海路等重点地区和道路以及贻成豪庭、首创国际、贻成尚北等小区附近的露天烧烤、马路餐桌加大夜间巡查力度，</w:t>
      </w:r>
      <w:r>
        <w:rPr>
          <w:rFonts w:hint="eastAsia" w:ascii="仿宋_GB2312" w:hAnsi="仿宋_GB2312" w:eastAsia="仿宋_GB2312" w:cs="仿宋_GB2312"/>
          <w:color w:val="000000"/>
          <w:sz w:val="34"/>
          <w:szCs w:val="34"/>
          <w:lang w:val="en-US" w:eastAsia="zh-CN"/>
        </w:rPr>
        <w:t>累计出动人员1200人次，治理露天烧烤、马路餐桌400余处次，清理夜间占路经营350余处次。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2" w:firstLineChars="200"/>
        <w:jc w:val="both"/>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b/>
          <w:bCs/>
          <w:sz w:val="34"/>
          <w:szCs w:val="34"/>
          <w:lang w:val="en-US" w:eastAsia="zh-CN"/>
        </w:rPr>
        <w:t>5、治理户外广告牌匾。</w:t>
      </w:r>
      <w:r>
        <w:rPr>
          <w:rFonts w:hint="eastAsia" w:ascii="仿宋_GB2312" w:hAnsi="仿宋_GB2312" w:eastAsia="仿宋_GB2312" w:cs="仿宋_GB2312"/>
          <w:kern w:val="2"/>
          <w:sz w:val="34"/>
          <w:szCs w:val="34"/>
          <w:lang w:val="en-US" w:eastAsia="zh-CN" w:bidi="ar-SA"/>
        </w:rPr>
        <w:t>为了</w:t>
      </w:r>
      <w:r>
        <w:rPr>
          <w:rFonts w:hint="eastAsia" w:ascii="仿宋_GB2312" w:hAnsi="仿宋_GB2312" w:eastAsia="仿宋_GB2312" w:cs="仿宋_GB2312"/>
          <w:sz w:val="34"/>
          <w:szCs w:val="34"/>
        </w:rPr>
        <w:t>进一步加强户外广告</w:t>
      </w:r>
      <w:r>
        <w:rPr>
          <w:rFonts w:hint="eastAsia" w:ascii="仿宋_GB2312" w:hAnsi="仿宋_GB2312" w:eastAsia="仿宋_GB2312" w:cs="仿宋_GB2312"/>
          <w:sz w:val="34"/>
          <w:szCs w:val="34"/>
          <w:lang w:eastAsia="zh-CN"/>
        </w:rPr>
        <w:t>的</w:t>
      </w:r>
      <w:r>
        <w:rPr>
          <w:rFonts w:hint="eastAsia" w:ascii="仿宋_GB2312" w:hAnsi="仿宋_GB2312" w:eastAsia="仿宋_GB2312" w:cs="仿宋_GB2312"/>
          <w:sz w:val="34"/>
          <w:szCs w:val="34"/>
        </w:rPr>
        <w:t>设置</w:t>
      </w:r>
      <w:r>
        <w:rPr>
          <w:rFonts w:hint="eastAsia" w:ascii="仿宋_GB2312" w:hAnsi="仿宋_GB2312" w:eastAsia="仿宋_GB2312" w:cs="仿宋_GB2312"/>
          <w:sz w:val="34"/>
          <w:szCs w:val="34"/>
          <w:lang w:eastAsia="zh-CN"/>
        </w:rPr>
        <w:t>和</w:t>
      </w:r>
      <w:r>
        <w:rPr>
          <w:rFonts w:hint="eastAsia" w:ascii="仿宋_GB2312" w:hAnsi="仿宋_GB2312" w:eastAsia="仿宋_GB2312" w:cs="仿宋_GB2312"/>
          <w:sz w:val="34"/>
          <w:szCs w:val="34"/>
        </w:rPr>
        <w:t>管理，提升</w:t>
      </w:r>
      <w:r>
        <w:rPr>
          <w:rFonts w:hint="eastAsia" w:ascii="仿宋_GB2312" w:hAnsi="仿宋_GB2312" w:eastAsia="仿宋_GB2312" w:cs="仿宋_GB2312"/>
          <w:sz w:val="34"/>
          <w:szCs w:val="34"/>
          <w:lang w:eastAsia="zh-CN"/>
        </w:rPr>
        <w:t>城市形象和管理水平，守护好群众“头顶上的安全”，解决</w:t>
      </w:r>
      <w:r>
        <w:rPr>
          <w:rFonts w:hint="eastAsia" w:ascii="仿宋_GB2312" w:hAnsi="仿宋_GB2312" w:eastAsia="仿宋_GB2312" w:cs="仿宋_GB2312"/>
          <w:kern w:val="2"/>
          <w:sz w:val="34"/>
          <w:szCs w:val="34"/>
          <w:lang w:val="en-US" w:eastAsia="zh-CN" w:bidi="ar-SA"/>
        </w:rPr>
        <w:t>人民群众急难愁盼问题。</w:t>
      </w:r>
      <w:r>
        <w:rPr>
          <w:rFonts w:hint="eastAsia" w:ascii="仿宋_GB2312" w:hAnsi="仿宋_GB2312" w:eastAsia="仿宋_GB2312" w:cs="仿宋_GB2312"/>
          <w:sz w:val="34"/>
          <w:szCs w:val="34"/>
          <w:lang w:eastAsia="zh-CN"/>
        </w:rPr>
        <w:t>新北街道综合执法大队</w:t>
      </w:r>
      <w:bookmarkStart w:id="0" w:name="_GoBack"/>
      <w:bookmarkEnd w:id="0"/>
      <w:r>
        <w:rPr>
          <w:rFonts w:hint="eastAsia" w:ascii="仿宋_GB2312" w:hAnsi="仿宋_GB2312" w:eastAsia="仿宋_GB2312" w:cs="仿宋_GB2312"/>
          <w:sz w:val="34"/>
          <w:szCs w:val="34"/>
          <w:lang w:val="en-US" w:eastAsia="zh-CN"/>
        </w:rPr>
        <w:t>对辖区内12条道路和2个商业广场展开拉网式分类摸查；经排查统计，我辖区范围内户外设施总量共计</w:t>
      </w:r>
      <w:r>
        <w:rPr>
          <w:rFonts w:hint="default" w:ascii="仿宋_GB2312" w:hAnsi="仿宋_GB2312" w:eastAsia="仿宋_GB2312" w:cs="仿宋_GB2312"/>
          <w:sz w:val="34"/>
          <w:szCs w:val="34"/>
          <w:lang w:val="en" w:eastAsia="zh-CN"/>
        </w:rPr>
        <w:t>650</w:t>
      </w:r>
      <w:r>
        <w:rPr>
          <w:rFonts w:hint="eastAsia" w:ascii="仿宋_GB2312" w:hAnsi="仿宋_GB2312" w:eastAsia="仿宋_GB2312" w:cs="仿宋_GB2312"/>
          <w:sz w:val="34"/>
          <w:szCs w:val="34"/>
          <w:lang w:val="en-US" w:eastAsia="zh-CN"/>
        </w:rPr>
        <w:t>处，其中违章单体字广告21处，违章单柱体广告</w:t>
      </w:r>
      <w:r>
        <w:rPr>
          <w:rFonts w:hint="default" w:ascii="仿宋_GB2312" w:hAnsi="仿宋_GB2312" w:eastAsia="仿宋_GB2312" w:cs="仿宋_GB2312"/>
          <w:sz w:val="34"/>
          <w:szCs w:val="34"/>
          <w:lang w:val="en" w:eastAsia="zh-CN"/>
        </w:rPr>
        <w:t>0</w:t>
      </w:r>
      <w:r>
        <w:rPr>
          <w:rFonts w:hint="eastAsia" w:ascii="仿宋_GB2312" w:hAnsi="仿宋_GB2312" w:eastAsia="仿宋_GB2312" w:cs="仿宋_GB2312"/>
          <w:sz w:val="34"/>
          <w:szCs w:val="34"/>
          <w:lang w:val="en-US" w:eastAsia="zh-CN"/>
        </w:rPr>
        <w:t>处，没有发现安全隐患较大户外广告设施。对于具有相关批准手续且设置期未满，但未按照审批内容进行设置的，执法队员给商户下达限期整改通知书，督促商户自行整改；对于楼顶单体字和具有安全隐患的户外广告设施，责令商户在限定期限内自行拆除，已有7家商户完成自行拆除。对逾期不拆除、逾期不整改的楼顶单体字和具有安全隐患的户外广告设施，按照城市管理执法规定，采取强制手段进行拆除，共拆除15处违章单体字楼顶广告设施。坚决把户外广告牌匾安全隐患消除在萌芽状态。</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b/>
          <w:bCs/>
          <w:sz w:val="34"/>
          <w:szCs w:val="34"/>
          <w:lang w:val="en-US" w:eastAsia="zh-CN"/>
        </w:rPr>
        <w:t>6、开展控烟专项执法活动。</w:t>
      </w:r>
      <w:r>
        <w:rPr>
          <w:rFonts w:hint="eastAsia" w:ascii="仿宋_GB2312" w:hAnsi="仿宋_GB2312" w:eastAsia="仿宋_GB2312" w:cs="仿宋_GB2312"/>
          <w:sz w:val="34"/>
          <w:szCs w:val="34"/>
          <w:lang w:val="en-US" w:eastAsia="zh-CN"/>
        </w:rPr>
        <w:t>为进一步有效落实《天津市控制吸烟条例》和《天津市文明行为促进条例》有关规定，大队将控烟工作纳入日常检查重点内容，对辖区餐馆、美容美发等禁烟公共场所进行重点排查，重点查看公共场所是否设立控烟牌、对顾客吸烟行为有无劝阻等情况。截至目前，大队</w:t>
      </w:r>
      <w:r>
        <w:rPr>
          <w:rFonts w:hint="eastAsia" w:ascii="仿宋_GB2312" w:hAnsi="仿宋_GB2312" w:eastAsia="仿宋_GB2312" w:cs="仿宋_GB2312"/>
          <w:color w:val="000000"/>
          <w:sz w:val="34"/>
          <w:szCs w:val="34"/>
          <w:lang w:val="en-US" w:eastAsia="zh-CN"/>
        </w:rPr>
        <w:t>累计出动执法人员974人次，开展控烟执法次数321次，责令改正违法行为61次，进行控烟行政处罚1次，罚款50元。</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2"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7、落实垃圾分类执法检查。</w:t>
      </w:r>
      <w:r>
        <w:rPr>
          <w:rFonts w:hint="eastAsia" w:ascii="仿宋_GB2312" w:hAnsi="仿宋_GB2312" w:eastAsia="仿宋_GB2312" w:cs="仿宋_GB2312"/>
          <w:sz w:val="34"/>
          <w:szCs w:val="34"/>
          <w:lang w:val="en-US" w:eastAsia="zh-CN"/>
        </w:rPr>
        <w:t>按照区城管委工作部署，依据《天津市生活垃圾管理条例》相关规定，积极开展垃圾分类执法检查，安排专人对各区域进行检查、指导。</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jc w:val="left"/>
        <w:textAlignment w:val="auto"/>
        <w:rPr>
          <w:rFonts w:hint="eastAsia"/>
          <w:lang w:val="en-US" w:eastAsia="zh-CN"/>
        </w:rPr>
      </w:pPr>
      <w:r>
        <w:rPr>
          <w:rFonts w:hint="eastAsia" w:ascii="仿宋_GB2312" w:hAnsi="仿宋_GB2312" w:eastAsia="仿宋_GB2312" w:cs="仿宋_GB2312"/>
          <w:b/>
          <w:bCs/>
          <w:sz w:val="34"/>
          <w:szCs w:val="34"/>
          <w:lang w:val="en-US" w:eastAsia="zh-CN"/>
        </w:rPr>
        <w:t>8、落实消防安全执法。</w:t>
      </w:r>
      <w:r>
        <w:rPr>
          <w:rFonts w:hint="eastAsia" w:ascii="仿宋_GB2312" w:hAnsi="仿宋_GB2312" w:eastAsia="仿宋_GB2312" w:cs="仿宋_GB2312"/>
          <w:sz w:val="34"/>
          <w:szCs w:val="34"/>
          <w:lang w:val="en-US" w:eastAsia="zh-CN"/>
        </w:rPr>
        <w:t>注重发挥“2+N”执法队伍的作用</w:t>
      </w:r>
      <w:r>
        <w:rPr>
          <w:rFonts w:hint="eastAsia" w:ascii="仿宋_GB2312" w:hAnsi="仿宋_GB2312" w:eastAsia="仿宋_GB2312" w:cs="仿宋_GB2312"/>
          <w:sz w:val="34"/>
          <w:szCs w:val="34"/>
        </w:rPr>
        <w:t>。</w:t>
      </w:r>
      <w:r>
        <w:rPr>
          <w:rFonts w:hint="eastAsia" w:ascii="仿宋_GB2312" w:hAnsi="仿宋_GB2312" w:eastAsia="仿宋_GB2312" w:cs="仿宋_GB2312"/>
          <w:b/>
          <w:bCs/>
          <w:sz w:val="34"/>
          <w:szCs w:val="34"/>
        </w:rPr>
        <w:t>一是</w:t>
      </w:r>
      <w:r>
        <w:rPr>
          <w:rFonts w:hint="eastAsia" w:ascii="仿宋_GB2312" w:hAnsi="仿宋_GB2312" w:eastAsia="仿宋_GB2312" w:cs="仿宋_GB2312"/>
          <w:b/>
          <w:bCs/>
          <w:sz w:val="34"/>
          <w:szCs w:val="34"/>
          <w:lang w:val="en-US" w:eastAsia="zh-CN"/>
        </w:rPr>
        <w:t>行业</w:t>
      </w:r>
      <w:r>
        <w:rPr>
          <w:rFonts w:hint="eastAsia" w:ascii="仿宋_GB2312" w:hAnsi="仿宋_GB2312" w:eastAsia="仿宋_GB2312" w:cs="仿宋_GB2312"/>
          <w:b/>
          <w:bCs/>
          <w:color w:val="auto"/>
          <w:sz w:val="34"/>
          <w:szCs w:val="34"/>
          <w:highlight w:val="none"/>
          <w:lang w:val="en-US" w:eastAsia="zh-CN"/>
        </w:rPr>
        <w:t>执法全面覆盖，</w:t>
      </w:r>
      <w:r>
        <w:rPr>
          <w:rFonts w:hint="eastAsia" w:ascii="仿宋_GB2312" w:hAnsi="仿宋_GB2312" w:eastAsia="仿宋_GB2312" w:cs="仿宋_GB2312"/>
          <w:sz w:val="34"/>
          <w:szCs w:val="34"/>
          <w:lang w:val="en-US" w:eastAsia="zh-CN"/>
        </w:rPr>
        <w:t>定期对物业是否履行消防安全职责进行日常检查，特别是在节假日、国家重大活动、上级重点要求时，进一步加大宣传、巡查、检查治理力度，同时采用随机抽查的方式对居民区内的消防设施、消防通道、电梯等进行主动执法检查，通过执法终端发送至新区执法监督平台，对检查发现的相关消防安全隐患督促物业及时进行整改。截至目前，已对未及时整改的物业公司约谈18次，下达责令整改通知书16次，对物业公司未履行消防安全职责的立案9起，下达行政处罚决定书9次，并予以警告处罚。</w:t>
      </w:r>
      <w:r>
        <w:rPr>
          <w:rFonts w:hint="eastAsia" w:ascii="仿宋_GB2312" w:hAnsi="仿宋_GB2312" w:eastAsia="仿宋_GB2312" w:cs="仿宋_GB2312"/>
          <w:b/>
          <w:bCs/>
          <w:sz w:val="34"/>
          <w:szCs w:val="34"/>
        </w:rPr>
        <w:t>二是</w:t>
      </w:r>
      <w:r>
        <w:rPr>
          <w:rFonts w:hint="eastAsia" w:ascii="仿宋_GB2312" w:hAnsi="仿宋_GB2312" w:eastAsia="仿宋_GB2312" w:cs="仿宋_GB2312"/>
          <w:b/>
          <w:bCs/>
          <w:sz w:val="34"/>
          <w:szCs w:val="34"/>
          <w:lang w:val="en-US" w:eastAsia="zh-CN"/>
        </w:rPr>
        <w:t>专项执法以点带面，</w:t>
      </w:r>
      <w:r>
        <w:rPr>
          <w:rFonts w:hint="eastAsia" w:ascii="仿宋_GB2312" w:hAnsi="仿宋_GB2312" w:eastAsia="仿宋_GB2312" w:cs="仿宋_GB2312"/>
          <w:sz w:val="34"/>
          <w:szCs w:val="34"/>
          <w:lang w:val="en-US" w:eastAsia="zh-CN"/>
        </w:rPr>
        <w:t>对居民在公共区域停放电动车、在禁停区域充电、电动车充电等不符合用电安全要求、携带电动车或电动车电池进入电梯轿厢及“飞线充电”等问题展开重拳出击，排查梳理建立专项整治工作台账，通过上账销号、挂牌督办、限期整改，确保排查出的消防隐患问题点位整治全覆盖。自专项治理工作开展以来，我街共进行3次集中整治行动，整改24处问题点位，对居民私自在楼道内为电动车充电的立案2起，处罚2起。</w:t>
      </w:r>
      <w:r>
        <w:rPr>
          <w:rFonts w:hint="eastAsia" w:ascii="仿宋_GB2312" w:hAnsi="仿宋_GB2312" w:eastAsia="仿宋_GB2312" w:cs="仿宋_GB2312"/>
          <w:b/>
          <w:bCs/>
          <w:color w:val="auto"/>
          <w:sz w:val="34"/>
          <w:szCs w:val="34"/>
          <w:highlight w:val="none"/>
          <w:lang w:val="en-US" w:eastAsia="zh-CN"/>
        </w:rPr>
        <w:t>三是</w:t>
      </w:r>
      <w:r>
        <w:rPr>
          <w:rFonts w:hint="eastAsia" w:ascii="仿宋_GB2312" w:hAnsi="仿宋_GB2312" w:eastAsia="仿宋_GB2312" w:cs="仿宋_GB2312"/>
          <w:b/>
          <w:bCs/>
          <w:sz w:val="34"/>
          <w:szCs w:val="34"/>
          <w:lang w:val="en-US" w:eastAsia="zh-CN"/>
        </w:rPr>
        <w:t>联动执法统筹有序，</w:t>
      </w:r>
      <w:r>
        <w:rPr>
          <w:rFonts w:hint="eastAsia" w:ascii="仿宋_GB2312" w:hAnsi="仿宋_GB2312" w:eastAsia="仿宋_GB2312" w:cs="仿宋_GB2312"/>
          <w:sz w:val="34"/>
          <w:szCs w:val="34"/>
          <w:lang w:val="en-US" w:eastAsia="zh-CN"/>
        </w:rPr>
        <w:t>强化联动督导，与应急管理、消防救援、社区、物业等相关部门开展“并肩行动”，对于日常工作中发现的问题，由物业管理人员、社区网格员及时在微信群中反馈，大队派人现场调查处置。</w:t>
      </w:r>
      <w:r>
        <w:rPr>
          <w:rFonts w:hint="eastAsia" w:ascii="仿宋_GB2312" w:hAnsi="仿宋_GB2312" w:eastAsia="仿宋_GB2312" w:cs="仿宋_GB2312"/>
          <w:b w:val="0"/>
          <w:bCs w:val="0"/>
          <w:color w:val="auto"/>
          <w:sz w:val="34"/>
          <w:szCs w:val="34"/>
          <w:highlight w:val="none"/>
          <w:lang w:val="en-US" w:eastAsia="zh-CN"/>
        </w:rPr>
        <w:t>街道消安委发挥协调推动作用，</w:t>
      </w:r>
      <w:r>
        <w:rPr>
          <w:rFonts w:hint="eastAsia" w:ascii="仿宋_GB2312" w:hAnsi="仿宋_GB2312" w:eastAsia="仿宋_GB2312" w:cs="仿宋_GB2312"/>
          <w:sz w:val="34"/>
          <w:szCs w:val="34"/>
          <w:lang w:val="en-US" w:eastAsia="zh-CN"/>
        </w:rPr>
        <w:t>对检查发现的相关消防安全隐患及时移交相关主管部门进行处罚，通过资源信息共享、合作细化，共筑联防联控、群防群治的“社会大消防”格局基本形成。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楷体_GB2312" w:hAnsi="宋体" w:eastAsia="楷体_GB2312" w:cs="Times New Roman"/>
          <w:b/>
          <w:color w:val="000000"/>
          <w:kern w:val="2"/>
          <w:sz w:val="34"/>
          <w:szCs w:val="34"/>
          <w:lang w:val="en-US" w:eastAsia="zh-CN" w:bidi="ar-SA"/>
        </w:rPr>
      </w:pPr>
      <w:r>
        <w:rPr>
          <w:rFonts w:hint="eastAsia" w:ascii="楷体_GB2312" w:hAnsi="楷体_GB2312" w:eastAsia="楷体_GB2312" w:cs="楷体_GB2312"/>
          <w:b/>
          <w:bCs/>
          <w:sz w:val="32"/>
          <w:szCs w:val="32"/>
          <w:lang w:val="en-US" w:eastAsia="zh-CN"/>
        </w:rPr>
        <w:t xml:space="preserve">    </w:t>
      </w:r>
      <w:r>
        <w:rPr>
          <w:rFonts w:hint="eastAsia" w:ascii="楷体_GB2312" w:hAnsi="宋体" w:eastAsia="楷体_GB2312" w:cs="Times New Roman"/>
          <w:b/>
          <w:color w:val="000000"/>
          <w:kern w:val="2"/>
          <w:sz w:val="34"/>
          <w:szCs w:val="34"/>
          <w:lang w:val="en-US" w:eastAsia="zh-CN" w:bidi="ar-SA"/>
        </w:rPr>
        <w:t>（四）抓好队伍建设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抓好队伍管理，建设一支有凝聚力、有战斗力的执法队伍是提高执法工作效能、有力做好辖区综合执法管理的可靠保证。为此建立健全了各项规章制度，规范整理了执法大队《制度汇编》，完善了“行政执法案卷归档制度”、“行政执法处罚规范”等12项依法行政规定。实施了执法工作日常考核，年初重新划分规范了管理区域、人员、车辆配置，购置了部分执法装备，落实了岗位责任制。对重大治理工作提前召开会议，制定实施方案，对阶段性工作制定工作计划。按照执法任务清单，对13大类119项执法权限进行培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textAlignment w:val="auto"/>
        <w:rPr>
          <w:rFonts w:hint="eastAsia" w:ascii="楷体_GB2312" w:hAnsi="宋体" w:eastAsia="楷体_GB2312" w:cs="Times New Roman"/>
          <w:b/>
          <w:color w:val="000000"/>
          <w:kern w:val="2"/>
          <w:sz w:val="34"/>
          <w:szCs w:val="34"/>
          <w:lang w:val="en-US" w:eastAsia="zh-CN" w:bidi="ar-SA"/>
        </w:rPr>
      </w:pPr>
      <w:r>
        <w:rPr>
          <w:rFonts w:hint="eastAsia" w:ascii="楷体_GB2312" w:hAnsi="宋体" w:eastAsia="楷体_GB2312" w:cs="Times New Roman"/>
          <w:b/>
          <w:color w:val="000000"/>
          <w:kern w:val="2"/>
          <w:sz w:val="34"/>
          <w:szCs w:val="34"/>
          <w:lang w:val="en-US" w:eastAsia="zh-CN" w:bidi="ar-SA"/>
        </w:rPr>
        <w:t>进行第四季度案卷评查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推进严格规范公正文明执法，进一步提升执法效能和服务水平，按照市、区司法局每季度开展案卷评查工作的要求，新北街道第四季度执法案卷评审工作已完成。评查案卷均主体适格、事实清楚，证据充分确凿、适用法律正确、程序合法，均符合天津市滨海新区行政执法案卷评查标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right="0" w:rightChars="0"/>
        <w:textAlignment w:val="auto"/>
        <w:rPr>
          <w:rFonts w:hint="eastAsia" w:ascii="黑体" w:hAnsi="黑体" w:eastAsia="黑体" w:cstheme="minorBidi"/>
          <w:color w:val="000000"/>
          <w:kern w:val="2"/>
          <w:sz w:val="34"/>
          <w:szCs w:val="34"/>
          <w:lang w:val="en-US" w:eastAsia="zh-CN" w:bidi="ar-SA"/>
        </w:rPr>
      </w:pPr>
      <w:r>
        <w:rPr>
          <w:rFonts w:hint="eastAsia" w:ascii="黑体" w:hAnsi="黑体" w:eastAsia="黑体" w:cstheme="minorBidi"/>
          <w:color w:val="000000"/>
          <w:kern w:val="2"/>
          <w:sz w:val="34"/>
          <w:szCs w:val="34"/>
          <w:lang w:val="en-US" w:eastAsia="zh-CN" w:bidi="ar-SA"/>
        </w:rPr>
        <w:t>存在问题</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在取得工作成绩的同时，我们看到工作中还存在着一些问题：</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执法队伍管理还需要进一步加强，队员业务能力还需进一步提高，缺乏建立完善的长期性计划，要建章立制，履职担当，开拓创新，打造一支政治坚定、业务精通、工作扎实、执法严明的综合执法队伍，面对新形势，迎接新挑战，适应城市管理需要。</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随着创文常效化建设工作的开展，市容环境秩序整治的标准要求越来越高，任务越来越重，而执法工作中存在不够深入、不够细致、不够全面的实际情况，群众信访问题突出，一些重点、难点问题一时难以解决，执法效果还需进一步提升。</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黑体" w:hAnsi="黑体" w:eastAsia="黑体" w:cstheme="minorBidi"/>
          <w:color w:val="000000"/>
          <w:kern w:val="2"/>
          <w:sz w:val="34"/>
          <w:szCs w:val="34"/>
          <w:lang w:val="en-US" w:eastAsia="zh-CN" w:bidi="ar-SA"/>
        </w:rPr>
      </w:pPr>
      <w:r>
        <w:rPr>
          <w:rFonts w:hint="eastAsia" w:ascii="仿宋_GB2312" w:hAnsi="仿宋_GB2312" w:eastAsia="仿宋_GB2312" w:cs="仿宋_GB2312"/>
          <w:sz w:val="34"/>
          <w:szCs w:val="34"/>
          <w:lang w:val="en-US" w:eastAsia="zh-CN"/>
        </w:rPr>
        <w:t>（三）面对执法任务重、人员少的实际情况，目前大队解决重难问题的招法还不够灵活，人员配置还不够合理，集体作用发挥还不够高。我们要从实际出发，因地制宜，明确工作重难点，合理调配执法队员，实行科学化、精细化管理，克服困难，完成各项执法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rPr>
          <w:rFonts w:hint="eastAsia" w:ascii="黑体" w:hAnsi="黑体" w:eastAsia="黑体" w:cstheme="minorBidi"/>
          <w:color w:val="000000"/>
          <w:kern w:val="2"/>
          <w:sz w:val="34"/>
          <w:szCs w:val="34"/>
          <w:lang w:val="en-US" w:eastAsia="zh-CN" w:bidi="ar-SA"/>
        </w:rPr>
      </w:pPr>
      <w:r>
        <w:rPr>
          <w:rFonts w:hint="eastAsia" w:ascii="黑体" w:hAnsi="黑体" w:eastAsia="黑体" w:cstheme="minorBidi"/>
          <w:color w:val="000000"/>
          <w:kern w:val="2"/>
          <w:sz w:val="34"/>
          <w:szCs w:val="34"/>
          <w:lang w:val="en-US" w:eastAsia="zh-CN" w:bidi="ar-SA"/>
        </w:rPr>
        <w:t>四、下一步工作</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（一）加强学习教育，完善管理机制。以学习习近平新时代中国特色社会主义思想为指引，在扎实推进党史学习教育的基础上，</w:t>
      </w:r>
      <w:r>
        <w:rPr>
          <w:rFonts w:hint="eastAsia" w:ascii="仿宋_GB2312" w:hAnsi="仿宋_GB2312" w:eastAsia="仿宋_GB2312" w:cs="仿宋_GB2312"/>
          <w:sz w:val="34"/>
          <w:szCs w:val="34"/>
          <w:lang w:eastAsia="zh-CN"/>
        </w:rPr>
        <w:t>深入贯彻落实</w:t>
      </w:r>
      <w:r>
        <w:rPr>
          <w:rFonts w:hint="eastAsia" w:ascii="仿宋_GB2312" w:hAnsi="仿宋_GB2312" w:eastAsia="仿宋_GB2312" w:cs="仿宋_GB2312"/>
          <w:sz w:val="34"/>
          <w:szCs w:val="34"/>
          <w:lang w:val="en-US" w:eastAsia="zh-CN"/>
        </w:rPr>
        <w:t>“迎盛会 铸忠诚 强担当 创业绩”主题教育</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围绕“我为群众办实事”，践行初心使命。要将理论知识紧密联系工作实际，健全各项规章制度，完善长效管理机制，认真落实上级部署要求，坚持问题导向，深入剖析，任务到人、责任到人、措施到人，扎实推进各项工作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lang w:val="en-US" w:eastAsia="zh-CN"/>
        </w:rPr>
        <w:t>开展市容环境整治，助力建设美丽新北。继续按照创文、创卫复审工作要求和标准，承担大队职能，精细管理，严格落实新北街市容环境长效辅助管理考核制度，加强对第三方辅助管理人员的培训、考核，充分发挥第三方辅助管理作用，力争高起点、高标准、全方位推进各项市容环境治理工作，长效、有序、规范开展，做到无遗漏、全方位、多层次、常效化，以营造更加靓丽、整洁、宜居的辖区环境。</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（三）提升服务意识，做好信访工作。从思想上不断增强执法队员的服务意识，提升解决问题的招法与能力，认真解决落实群众的信访事项，不断提高群众满意度，做到高度负责，严格办理，及时回复。</w:t>
      </w:r>
    </w:p>
    <w:p>
      <w:pPr>
        <w:keepNext w:val="0"/>
        <w:keepLines w:val="0"/>
        <w:pageBreakBefore w:val="0"/>
        <w:widowControl w:val="0"/>
        <w:numPr>
          <w:ilvl w:val="0"/>
          <w:numId w:val="0"/>
        </w:numPr>
        <w:kinsoku/>
        <w:wordWrap/>
        <w:overflowPunct/>
        <w:topLinePunct w:val="0"/>
        <w:autoSpaceDE/>
        <w:autoSpaceDN/>
        <w:bidi w:val="0"/>
        <w:spacing w:after="0" w:afterAutospacing="0" w:line="588" w:lineRule="exact"/>
        <w:ind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（四）提升执法技能，做好平台工作。按照智慧执法、网格平台要求做好日常任务办理，使用好各类执法终端设备，及时处理、按时反馈，按照司法局最新执法考核改革方案做好各项指标任务的高质量完成。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5440" w:leftChars="0" w:right="0" w:rightChars="0" w:hanging="5440" w:hangingChars="17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天津市滨海新区人民政府</w:t>
      </w:r>
    </w:p>
    <w:p>
      <w:pPr>
        <w:keepNext w:val="0"/>
        <w:keepLines w:val="0"/>
        <w:pageBreakBefore w:val="0"/>
        <w:widowControl w:val="0"/>
        <w:kinsoku/>
        <w:wordWrap/>
        <w:overflowPunct/>
        <w:topLinePunct w:val="0"/>
        <w:autoSpaceDE/>
        <w:autoSpaceDN/>
        <w:bidi w:val="0"/>
        <w:adjustRightInd/>
        <w:snapToGrid/>
        <w:spacing w:line="600" w:lineRule="exact"/>
        <w:ind w:left="5427" w:leftChars="2432" w:right="0" w:rightChars="0" w:hanging="320" w:hangingChars="10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新北街道办事处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2024年12月13日</w:t>
      </w:r>
    </w:p>
    <w:p>
      <w:pPr>
        <w:numPr>
          <w:ilvl w:val="0"/>
          <w:numId w:val="0"/>
        </w:num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B960"/>
    <w:multiLevelType w:val="singleLevel"/>
    <w:tmpl w:val="839EB960"/>
    <w:lvl w:ilvl="0" w:tentative="0">
      <w:start w:val="3"/>
      <w:numFmt w:val="chineseCounting"/>
      <w:suff w:val="nothing"/>
      <w:lvlText w:val="%1、"/>
      <w:lvlJc w:val="left"/>
      <w:rPr>
        <w:rFonts w:hint="eastAsia"/>
      </w:rPr>
    </w:lvl>
  </w:abstractNum>
  <w:abstractNum w:abstractNumId="1">
    <w:nsid w:val="F4A0D193"/>
    <w:multiLevelType w:val="singleLevel"/>
    <w:tmpl w:val="F4A0D19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kwY2JmZWY3MDk1Y2YwNzM2MTgwZThkYTNkNzgifQ=="/>
  </w:docVars>
  <w:rsids>
    <w:rsidRoot w:val="7B4D60A9"/>
    <w:rsid w:val="13135489"/>
    <w:rsid w:val="28347859"/>
    <w:rsid w:val="342E31EE"/>
    <w:rsid w:val="36B45561"/>
    <w:rsid w:val="3C4625C7"/>
    <w:rsid w:val="45BE0495"/>
    <w:rsid w:val="479C2B70"/>
    <w:rsid w:val="53316D5D"/>
    <w:rsid w:val="635C6A97"/>
    <w:rsid w:val="67056AAF"/>
    <w:rsid w:val="6A61232A"/>
    <w:rsid w:val="6EE32E18"/>
    <w:rsid w:val="718B01ED"/>
    <w:rsid w:val="757A9A52"/>
    <w:rsid w:val="76551279"/>
    <w:rsid w:val="7B4D60A9"/>
    <w:rsid w:val="7CB80791"/>
    <w:rsid w:val="7D1C7276"/>
    <w:rsid w:val="7D292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3465</Words>
  <Characters>3544</Characters>
  <Lines>0</Lines>
  <Paragraphs>0</Paragraphs>
  <TotalTime>49</TotalTime>
  <ScaleCrop>false</ScaleCrop>
  <LinksUpToDate>false</LinksUpToDate>
  <CharactersWithSpaces>3555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2016-10-21T10:51:00Z</dcterms:created>
  <dc:creator>user</dc:creator>
  <cp:lastModifiedBy>kylin</cp:lastModifiedBy>
  <cp:lastPrinted>2024-12-13T15:22:00Z</cp:lastPrinted>
  <dcterms:modified xsi:type="dcterms:W3CDTF">2025-01-14T09:27:52Z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2794F13A7B5F4DE1B00B92BED2BE296C_13</vt:lpwstr>
  </property>
</Properties>
</file>