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3ECC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14:paraId="282AC05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天津市</w:t>
      </w:r>
      <w:r>
        <w:rPr>
          <w:rFonts w:hint="eastAsia" w:ascii="方正小标宋简体" w:hAnsi="方正小标宋简体" w:eastAsia="方正小标宋简体" w:cs="方正小标宋简体"/>
          <w:sz w:val="44"/>
          <w:szCs w:val="44"/>
          <w:lang w:eastAsia="zh-CN"/>
        </w:rPr>
        <w:t>滨海新区</w:t>
      </w:r>
      <w:r>
        <w:rPr>
          <w:rFonts w:hint="eastAsia" w:ascii="方正小标宋简体" w:hAnsi="方正小标宋简体" w:eastAsia="方正小标宋简体" w:cs="方正小标宋简体"/>
          <w:sz w:val="44"/>
          <w:szCs w:val="44"/>
          <w:lang w:val="en-US" w:eastAsia="zh-CN"/>
        </w:rPr>
        <w:t>太平镇人民政府</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年度法治政府建设情况报告</w:t>
      </w:r>
    </w:p>
    <w:p w14:paraId="02662A25">
      <w:pPr>
        <w:rPr>
          <w:rFonts w:hint="eastAsia" w:ascii="仿宋" w:hAnsi="仿宋" w:eastAsia="仿宋" w:cs="仿宋"/>
          <w:sz w:val="32"/>
          <w:szCs w:val="32"/>
        </w:rPr>
      </w:pPr>
    </w:p>
    <w:p w14:paraId="077396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eastAsia="zh-CN"/>
        </w:rPr>
        <w:t>2025</w:t>
      </w:r>
      <w:r>
        <w:rPr>
          <w:rFonts w:hint="eastAsia" w:ascii="仿宋_GB2312" w:hAnsi="仿宋_GB2312" w:eastAsia="仿宋_GB2312" w:cs="仿宋_GB2312"/>
          <w:color w:val="auto"/>
          <w:sz w:val="32"/>
          <w:szCs w:val="32"/>
          <w:lang w:eastAsia="zh-CN"/>
        </w:rPr>
        <w:t>年，太平镇坚持以习近平新时代中国特色社会主义思想为指导，全面贯彻党的二十大</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二十届历次全会精神，深入学习贯彻习近平法治思想，紧紧围绕区委、区政府法治建设工作部署，将法治政府建设与全镇中心工作深度融合，以法治化手段赋能高质量发展、保障民生福祉、维护社会稳定，各项工作取得阶段性成效。现将本年度法治政府建设情况报告如下：</w:t>
      </w:r>
    </w:p>
    <w:p w14:paraId="5A1912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一、主要举措和成效</w:t>
      </w:r>
    </w:p>
    <w:p w14:paraId="4E9613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一是强化法治引领，筑牢思想根基。</w:t>
      </w:r>
      <w:r>
        <w:rPr>
          <w:rFonts w:hint="eastAsia" w:ascii="仿宋_GB2312" w:hAnsi="仿宋_GB2312" w:eastAsia="仿宋_GB2312" w:cs="仿宋_GB2312"/>
          <w:color w:val="auto"/>
          <w:sz w:val="32"/>
          <w:szCs w:val="32"/>
          <w:lang w:eastAsia="zh-CN"/>
        </w:rPr>
        <w:t>建立法治政府建设联动机制，综合办公室、公共安全办公室、综合执法大队、太平司法所等职能部门协同推进落实各项宣传内容，推进太平镇学习宣传习近平法治思想有序进行。将习近平法治思想列入党委理论</w:t>
      </w:r>
      <w:r>
        <w:rPr>
          <w:rFonts w:hint="eastAsia" w:ascii="仿宋_GB2312" w:hAnsi="仿宋_GB2312" w:eastAsia="仿宋_GB2312" w:cs="仿宋_GB2312"/>
          <w:color w:val="auto"/>
          <w:sz w:val="32"/>
          <w:szCs w:val="32"/>
          <w:lang w:val="en-US" w:eastAsia="zh-CN"/>
        </w:rPr>
        <w:t>学习</w:t>
      </w:r>
      <w:r>
        <w:rPr>
          <w:rFonts w:hint="eastAsia" w:ascii="仿宋_GB2312" w:hAnsi="仿宋_GB2312" w:eastAsia="仿宋_GB2312" w:cs="仿宋_GB2312"/>
          <w:color w:val="auto"/>
          <w:sz w:val="32"/>
          <w:szCs w:val="32"/>
          <w:lang w:eastAsia="zh-CN"/>
        </w:rPr>
        <w:t>中心组学习内容，同时通过法律讲座、以案释法、竞赛答题等方式强化学习宣传。</w:t>
      </w:r>
    </w:p>
    <w:p w14:paraId="10A26CE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二是深化法治宣传教育，营造良好法治氛围。</w:t>
      </w:r>
      <w:r>
        <w:rPr>
          <w:rFonts w:hint="eastAsia" w:ascii="仿宋_GB2312" w:hAnsi="仿宋_GB2312" w:eastAsia="仿宋_GB2312" w:cs="仿宋_GB2312"/>
          <w:color w:val="auto"/>
          <w:sz w:val="32"/>
          <w:szCs w:val="32"/>
          <w:lang w:val="en-US" w:eastAsia="zh-CN"/>
        </w:rPr>
        <w:t>围绕宪法、民法典等法律组织开展形式多样的法治宣传活动，结合“</w:t>
      </w:r>
      <w:r>
        <w:rPr>
          <w:rFonts w:hint="eastAsia" w:ascii="Times New Roman" w:hAnsi="Times New Roman" w:eastAsia="仿宋_GB2312" w:cs="Times New Roman"/>
          <w:color w:val="auto"/>
          <w:sz w:val="32"/>
          <w:szCs w:val="32"/>
          <w:lang w:val="en-US" w:eastAsia="zh-CN"/>
        </w:rPr>
        <w:t>4·15</w:t>
      </w:r>
      <w:r>
        <w:rPr>
          <w:rFonts w:hint="eastAsia" w:ascii="仿宋_GB2312" w:hAnsi="仿宋_GB2312" w:eastAsia="仿宋_GB2312" w:cs="仿宋_GB2312"/>
          <w:color w:val="auto"/>
          <w:sz w:val="32"/>
          <w:szCs w:val="32"/>
          <w:lang w:val="en-US" w:eastAsia="zh-CN"/>
        </w:rPr>
        <w:t>”全民国家安全教育日、“</w:t>
      </w:r>
      <w:r>
        <w:rPr>
          <w:rFonts w:hint="eastAsia" w:ascii="Times New Roman" w:hAnsi="Times New Roman" w:eastAsia="仿宋_GB2312" w:cs="Times New Roman"/>
          <w:color w:val="auto"/>
          <w:sz w:val="32"/>
          <w:szCs w:val="32"/>
          <w:lang w:val="en-US" w:eastAsia="zh-CN"/>
        </w:rPr>
        <w:t>12·4</w:t>
      </w:r>
      <w:r>
        <w:rPr>
          <w:rFonts w:hint="eastAsia" w:ascii="仿宋_GB2312" w:hAnsi="仿宋_GB2312" w:eastAsia="仿宋_GB2312" w:cs="仿宋_GB2312"/>
          <w:color w:val="auto"/>
          <w:sz w:val="32"/>
          <w:szCs w:val="32"/>
          <w:lang w:val="en-US" w:eastAsia="zh-CN"/>
        </w:rPr>
        <w:t>”国家宪法日等重要节点，开展主题宣传周（月）活动，提升普法针对性和实效性。截至目前开展各类普法活动</w:t>
      </w:r>
      <w:r>
        <w:rPr>
          <w:rFonts w:hint="eastAsia"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lang w:val="en-US" w:eastAsia="zh-CN"/>
        </w:rPr>
        <w:t>余场，惠及群众</w:t>
      </w:r>
      <w:r>
        <w:rPr>
          <w:rFonts w:hint="eastAsia" w:ascii="Times New Roman" w:hAnsi="Times New Roman" w:eastAsia="仿宋_GB2312" w:cs="Times New Roman"/>
          <w:color w:val="auto"/>
          <w:sz w:val="32"/>
          <w:szCs w:val="32"/>
          <w:lang w:val="en-US" w:eastAsia="zh-CN"/>
        </w:rPr>
        <w:t>10000</w:t>
      </w:r>
      <w:r>
        <w:rPr>
          <w:rFonts w:hint="eastAsia" w:ascii="仿宋_GB2312" w:hAnsi="仿宋_GB2312" w:eastAsia="仿宋_GB2312" w:cs="仿宋_GB2312"/>
          <w:color w:val="auto"/>
          <w:sz w:val="32"/>
          <w:szCs w:val="32"/>
          <w:lang w:val="en-US" w:eastAsia="zh-CN"/>
        </w:rPr>
        <w:t>余人。定期组织机关干部开展公共法律知识和学法用法考试等专题学习培训，将学法用法作为干部教育管理重要内容，</w:t>
      </w:r>
      <w:r>
        <w:rPr>
          <w:rFonts w:hint="default" w:ascii="仿宋_GB2312" w:hAnsi="仿宋_GB2312" w:eastAsia="仿宋_GB2312" w:cs="仿宋_GB2312"/>
          <w:color w:val="auto"/>
          <w:sz w:val="32"/>
          <w:szCs w:val="32"/>
          <w:lang w:val="en-US" w:eastAsia="zh-CN"/>
        </w:rPr>
        <w:t>推动将法治教育纳入干部教育培训总体规划。深入学校、企业、村（社区）开展</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法律六进</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活动，针对青少年、企业经营管理人员、农民工、老年人等群体提供精准法律知识普及。</w:t>
      </w:r>
      <w:r>
        <w:rPr>
          <w:rFonts w:hint="eastAsia" w:ascii="仿宋_GB2312" w:hAnsi="仿宋_GB2312" w:eastAsia="仿宋_GB2312" w:cs="仿宋_GB2312"/>
          <w:color w:val="auto"/>
          <w:sz w:val="32"/>
          <w:szCs w:val="32"/>
          <w:lang w:val="en-US" w:eastAsia="zh-CN"/>
        </w:rPr>
        <w:t>充分利用微信公众号、村民法律服务群、电子显示屏、法治宣传栏等线上线下阵地，推送法律知识、典型案例。在太平镇红星村法治文化长廊、郭庄子村法治文化公园不定期举办法治文艺演出，增强普法吸引力和覆盖面。全年累计开展各类法治讲座</w:t>
      </w:r>
      <w:r>
        <w:rPr>
          <w:rFonts w:hint="eastAsia" w:ascii="Times New Roman" w:hAnsi="Times New Roman" w:eastAsia="仿宋_GB2312" w:cs="Times New Roman"/>
          <w:color w:val="auto"/>
          <w:sz w:val="32"/>
          <w:szCs w:val="32"/>
          <w:lang w:val="en-US" w:eastAsia="zh-CN"/>
        </w:rPr>
        <w:t>10</w:t>
      </w:r>
      <w:r>
        <w:rPr>
          <w:rFonts w:hint="eastAsia" w:ascii="仿宋_GB2312" w:hAnsi="仿宋_GB2312" w:eastAsia="仿宋_GB2312" w:cs="仿宋_GB2312"/>
          <w:color w:val="auto"/>
          <w:sz w:val="32"/>
          <w:szCs w:val="32"/>
          <w:lang w:val="en-US" w:eastAsia="zh-CN"/>
        </w:rPr>
        <w:t>余场，发放宣传资料</w:t>
      </w:r>
      <w:r>
        <w:rPr>
          <w:rFonts w:hint="eastAsia" w:ascii="Times New Roman" w:hAnsi="Times New Roman" w:eastAsia="仿宋_GB2312" w:cs="Times New Roman"/>
          <w:color w:val="auto"/>
          <w:sz w:val="32"/>
          <w:szCs w:val="32"/>
          <w:lang w:val="en-US" w:eastAsia="zh-CN"/>
        </w:rPr>
        <w:t>1000</w:t>
      </w:r>
      <w:r>
        <w:rPr>
          <w:rFonts w:hint="eastAsia" w:ascii="仿宋_GB2312" w:hAnsi="仿宋_GB2312" w:eastAsia="仿宋_GB2312" w:cs="仿宋_GB2312"/>
          <w:color w:val="auto"/>
          <w:sz w:val="32"/>
          <w:szCs w:val="32"/>
          <w:lang w:val="en-US" w:eastAsia="zh-CN"/>
        </w:rPr>
        <w:t>份。</w:t>
      </w:r>
    </w:p>
    <w:p w14:paraId="6116CD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b/>
          <w:bCs/>
          <w:color w:val="auto"/>
          <w:sz w:val="32"/>
          <w:szCs w:val="32"/>
          <w:lang w:val="en-US" w:eastAsia="zh-CN"/>
        </w:rPr>
        <w:t>推进严格规范公正文明执法，营造良好法治环境。</w:t>
      </w:r>
      <w:r>
        <w:rPr>
          <w:rFonts w:hint="eastAsia" w:ascii="仿宋_GB2312" w:hAnsi="仿宋_GB2312" w:eastAsia="仿宋_GB2312" w:cs="仿宋_GB2312"/>
          <w:color w:val="auto"/>
          <w:sz w:val="32"/>
          <w:szCs w:val="32"/>
          <w:lang w:val="en-US" w:eastAsia="zh-CN"/>
        </w:rPr>
        <w:t>我镇严格落实行政裁量权基准制度，未发现存在过度执法现象。</w:t>
      </w:r>
      <w:r>
        <w:rPr>
          <w:rFonts w:hint="eastAsia" w:ascii="仿宋_GB2312" w:hAnsi="仿宋_GB2312" w:eastAsia="仿宋_GB2312" w:cs="仿宋_GB2312"/>
          <w:color w:val="auto"/>
          <w:sz w:val="32"/>
          <w:szCs w:val="32"/>
          <w:lang w:eastAsia="zh-CN"/>
        </w:rPr>
        <w:t>整治运动式执法、“一刀切”执法等突出问题，杜绝乱收费、乱罚款等行为。全面推行行政执法“三项制度”，行政处罚公示与政府信息公开、信用信息公示、“双随机、一公开”及司法局网站公开等工作统筹推进。落实行政执法全过程记录制度与重大行政执法决定法制审核制度。我镇行政处罚执法主体适格、程序合法、法律依据明确、事实证据确凿。截止</w:t>
      </w:r>
      <w:r>
        <w:rPr>
          <w:rFonts w:hint="eastAsia"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eastAsia="zh-CN"/>
        </w:rPr>
        <w:t>年</w:t>
      </w:r>
      <w:r>
        <w:rPr>
          <w:rFonts w:hint="eastAsia" w:ascii="Times New Roman" w:hAnsi="Times New Roman" w:eastAsia="仿宋_GB2312" w:cs="Times New Roman"/>
          <w:color w:val="auto"/>
          <w:sz w:val="32"/>
          <w:szCs w:val="32"/>
          <w:lang w:val="en-US" w:eastAsia="zh-CN"/>
        </w:rPr>
        <w:t>11</w:t>
      </w:r>
      <w:r>
        <w:rPr>
          <w:rFonts w:hint="eastAsia" w:ascii="仿宋_GB2312" w:hAnsi="仿宋_GB2312" w:eastAsia="仿宋_GB2312" w:cs="仿宋_GB2312"/>
          <w:color w:val="auto"/>
          <w:sz w:val="32"/>
          <w:szCs w:val="32"/>
          <w:lang w:eastAsia="zh-CN"/>
        </w:rPr>
        <w:t>月</w:t>
      </w:r>
      <w:r>
        <w:rPr>
          <w:rFonts w:hint="eastAsia"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color w:val="auto"/>
          <w:sz w:val="32"/>
          <w:szCs w:val="32"/>
          <w:lang w:eastAsia="zh-CN"/>
        </w:rPr>
        <w:t>日，共计办理行政执法案卷</w:t>
      </w:r>
      <w:r>
        <w:rPr>
          <w:rFonts w:hint="eastAsia" w:ascii="Times New Roman" w:hAnsi="Times New Roman" w:eastAsia="仿宋_GB2312" w:cs="Times New Roman"/>
          <w:color w:val="auto"/>
          <w:sz w:val="32"/>
          <w:szCs w:val="32"/>
          <w:lang w:val="en-US" w:eastAsia="zh-CN"/>
        </w:rPr>
        <w:t>157</w:t>
      </w:r>
      <w:r>
        <w:rPr>
          <w:rFonts w:hint="eastAsia" w:ascii="仿宋_GB2312" w:hAnsi="仿宋_GB2312" w:eastAsia="仿宋_GB2312" w:cs="仿宋_GB2312"/>
          <w:color w:val="auto"/>
          <w:sz w:val="32"/>
          <w:szCs w:val="32"/>
          <w:lang w:eastAsia="zh-CN"/>
        </w:rPr>
        <w:t>件，其中行政检查</w:t>
      </w:r>
      <w:r>
        <w:rPr>
          <w:rFonts w:hint="eastAsia" w:ascii="Times New Roman" w:hAnsi="Times New Roman" w:eastAsia="仿宋_GB2312" w:cs="Times New Roman"/>
          <w:color w:val="auto"/>
          <w:sz w:val="32"/>
          <w:szCs w:val="32"/>
          <w:lang w:val="en-US" w:eastAsia="zh-CN"/>
        </w:rPr>
        <w:t>144</w:t>
      </w:r>
      <w:r>
        <w:rPr>
          <w:rFonts w:hint="eastAsia" w:ascii="仿宋_GB2312" w:hAnsi="仿宋_GB2312" w:eastAsia="仿宋_GB2312" w:cs="仿宋_GB2312"/>
          <w:color w:val="auto"/>
          <w:sz w:val="32"/>
          <w:szCs w:val="32"/>
          <w:lang w:eastAsia="zh-CN"/>
        </w:rPr>
        <w:t>件，行政处罚</w:t>
      </w:r>
      <w:r>
        <w:rPr>
          <w:rFonts w:hint="eastAsia" w:ascii="Times New Roman" w:hAnsi="Times New Roman" w:eastAsia="仿宋_GB2312" w:cs="Times New Roman"/>
          <w:color w:val="auto"/>
          <w:sz w:val="32"/>
          <w:szCs w:val="32"/>
          <w:lang w:val="en-US" w:eastAsia="zh-CN"/>
        </w:rPr>
        <w:t>14</w:t>
      </w:r>
      <w:r>
        <w:rPr>
          <w:rFonts w:hint="eastAsia" w:ascii="仿宋_GB2312" w:hAnsi="仿宋_GB2312" w:eastAsia="仿宋_GB2312" w:cs="仿宋_GB2312"/>
          <w:color w:val="auto"/>
          <w:sz w:val="32"/>
          <w:szCs w:val="32"/>
          <w:lang w:eastAsia="zh-CN"/>
        </w:rPr>
        <w:t>件，行政处罚案件中简易程序</w:t>
      </w:r>
      <w:r>
        <w:rPr>
          <w:rFonts w:hint="eastAsia" w:ascii="Times New Roman" w:hAnsi="Times New Roman" w:eastAsia="仿宋_GB2312" w:cs="Times New Roman"/>
          <w:color w:val="auto"/>
          <w:sz w:val="32"/>
          <w:szCs w:val="32"/>
          <w:lang w:val="en-US" w:eastAsia="zh-CN"/>
        </w:rPr>
        <w:t>8</w:t>
      </w:r>
      <w:r>
        <w:rPr>
          <w:rFonts w:hint="eastAsia" w:ascii="仿宋_GB2312" w:hAnsi="仿宋_GB2312" w:eastAsia="仿宋_GB2312" w:cs="仿宋_GB2312"/>
          <w:color w:val="auto"/>
          <w:sz w:val="32"/>
          <w:szCs w:val="32"/>
          <w:lang w:eastAsia="zh-CN"/>
        </w:rPr>
        <w:t>件，普通程序</w:t>
      </w: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eastAsia="zh-CN"/>
        </w:rPr>
        <w:t>件，涉及罚款案件</w:t>
      </w:r>
      <w:r>
        <w:rPr>
          <w:rFonts w:hint="eastAsia" w:ascii="Times New Roman" w:hAnsi="Times New Roman" w:eastAsia="仿宋_GB2312" w:cs="Times New Roman"/>
          <w:color w:val="auto"/>
          <w:sz w:val="32"/>
          <w:szCs w:val="32"/>
          <w:lang w:val="en-US" w:eastAsia="zh-CN"/>
        </w:rPr>
        <w:t>14</w:t>
      </w:r>
      <w:r>
        <w:rPr>
          <w:rFonts w:hint="eastAsia" w:ascii="仿宋_GB2312" w:hAnsi="仿宋_GB2312" w:eastAsia="仿宋_GB2312" w:cs="仿宋_GB2312"/>
          <w:color w:val="auto"/>
          <w:sz w:val="32"/>
          <w:szCs w:val="32"/>
          <w:lang w:eastAsia="zh-CN"/>
        </w:rPr>
        <w:t>件，共处罚款</w:t>
      </w:r>
      <w:r>
        <w:rPr>
          <w:rFonts w:hint="eastAsia" w:ascii="Times New Roman" w:hAnsi="Times New Roman" w:eastAsia="仿宋_GB2312" w:cs="Times New Roman"/>
          <w:color w:val="auto"/>
          <w:sz w:val="32"/>
          <w:szCs w:val="32"/>
          <w:lang w:val="en-US" w:eastAsia="zh-CN"/>
        </w:rPr>
        <w:t>16082.5</w:t>
      </w:r>
      <w:r>
        <w:rPr>
          <w:rFonts w:hint="eastAsia" w:ascii="仿宋_GB2312" w:hAnsi="仿宋_GB2312" w:eastAsia="仿宋_GB2312" w:cs="仿宋_GB2312"/>
          <w:color w:val="auto"/>
          <w:sz w:val="32"/>
          <w:szCs w:val="32"/>
          <w:lang w:eastAsia="zh-CN"/>
        </w:rPr>
        <w:t>元。</w:t>
      </w:r>
    </w:p>
    <w:p w14:paraId="278338B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b/>
          <w:bCs/>
          <w:color w:val="auto"/>
          <w:sz w:val="32"/>
          <w:szCs w:val="32"/>
          <w:rtl w:val="0"/>
          <w:lang w:val="en-US" w:eastAsia="zh-CN"/>
        </w:rPr>
        <w:t>四是深化矛盾化解，筑牢平安根基。</w:t>
      </w:r>
      <w:r>
        <w:rPr>
          <w:rFonts w:hint="eastAsia" w:ascii="仿宋_GB2312" w:hAnsi="仿宋_GB2312" w:eastAsia="仿宋_GB2312" w:cs="仿宋_GB2312"/>
          <w:color w:val="auto"/>
          <w:sz w:val="32"/>
          <w:szCs w:val="32"/>
          <w:rtl w:val="0"/>
          <w:lang w:val="en-US" w:eastAsia="zh-CN"/>
        </w:rPr>
        <w:t>构建</w:t>
      </w:r>
      <w:r>
        <w:rPr>
          <w:rFonts w:hint="default" w:ascii="仿宋_GB2312" w:hAnsi="仿宋_GB2312" w:eastAsia="仿宋_GB2312" w:cs="仿宋_GB2312"/>
          <w:color w:val="auto"/>
          <w:sz w:val="32"/>
          <w:szCs w:val="32"/>
          <w:rtl w:val="0"/>
          <w:lang w:val="en-US" w:eastAsia="zh-CN"/>
        </w:rPr>
        <w:t>三所一庭+多元</w:t>
      </w:r>
      <w:r>
        <w:rPr>
          <w:rFonts w:hint="eastAsia" w:ascii="仿宋_GB2312" w:hAnsi="仿宋_GB2312" w:eastAsia="仿宋_GB2312" w:cs="仿宋_GB2312"/>
          <w:color w:val="auto"/>
          <w:sz w:val="32"/>
          <w:szCs w:val="32"/>
          <w:rtl w:val="0"/>
          <w:lang w:val="en-US" w:eastAsia="zh-CN"/>
        </w:rPr>
        <w:t>化解新</w:t>
      </w:r>
      <w:r>
        <w:rPr>
          <w:rFonts w:hint="default" w:ascii="仿宋_GB2312" w:hAnsi="仿宋_GB2312" w:eastAsia="仿宋_GB2312" w:cs="仿宋_GB2312"/>
          <w:color w:val="auto"/>
          <w:sz w:val="32"/>
          <w:szCs w:val="32"/>
          <w:rtl w:val="0"/>
          <w:lang w:val="en-US" w:eastAsia="zh-CN"/>
        </w:rPr>
        <w:t>体系</w:t>
      </w:r>
      <w:r>
        <w:rPr>
          <w:rFonts w:hint="eastAsia" w:ascii="仿宋_GB2312" w:hAnsi="仿宋_GB2312" w:eastAsia="仿宋_GB2312" w:cs="仿宋_GB2312"/>
          <w:color w:val="auto"/>
          <w:sz w:val="32"/>
          <w:szCs w:val="32"/>
          <w:rtl w:val="0"/>
          <w:lang w:val="en-US" w:eastAsia="zh-CN"/>
        </w:rPr>
        <w:t>，高标准建设综治中心，按照新区政法委要求，太平镇综治中心于</w:t>
      </w:r>
      <w:r>
        <w:rPr>
          <w:rFonts w:hint="eastAsia" w:ascii="Times New Roman" w:hAnsi="Times New Roman" w:eastAsia="仿宋_GB2312" w:cs="Times New Roman"/>
          <w:color w:val="auto"/>
          <w:sz w:val="32"/>
          <w:szCs w:val="32"/>
          <w:rtl w:val="0"/>
          <w:lang w:val="en-US" w:eastAsia="zh-CN"/>
        </w:rPr>
        <w:t>2025</w:t>
      </w:r>
      <w:r>
        <w:rPr>
          <w:rFonts w:hint="eastAsia" w:ascii="仿宋_GB2312" w:hAnsi="仿宋_GB2312" w:eastAsia="仿宋_GB2312" w:cs="仿宋_GB2312"/>
          <w:color w:val="auto"/>
          <w:sz w:val="32"/>
          <w:szCs w:val="32"/>
          <w:rtl w:val="0"/>
          <w:lang w:val="en-US" w:eastAsia="zh-CN"/>
        </w:rPr>
        <w:t>年</w:t>
      </w:r>
      <w:r>
        <w:rPr>
          <w:rFonts w:hint="eastAsia" w:ascii="Times New Roman" w:hAnsi="Times New Roman" w:eastAsia="仿宋_GB2312" w:cs="Times New Roman"/>
          <w:color w:val="auto"/>
          <w:sz w:val="32"/>
          <w:szCs w:val="32"/>
          <w:rtl w:val="0"/>
          <w:lang w:val="en-US" w:eastAsia="zh-CN"/>
        </w:rPr>
        <w:t>10</w:t>
      </w:r>
      <w:r>
        <w:rPr>
          <w:rFonts w:hint="eastAsia" w:ascii="仿宋_GB2312" w:hAnsi="仿宋_GB2312" w:eastAsia="仿宋_GB2312" w:cs="仿宋_GB2312"/>
          <w:color w:val="auto"/>
          <w:sz w:val="32"/>
          <w:szCs w:val="32"/>
          <w:rtl w:val="0"/>
          <w:lang w:val="en-US" w:eastAsia="zh-CN"/>
        </w:rPr>
        <w:t>月建成并通过验收，中心位于镇党群服务中心一楼西侧，办公面积约</w:t>
      </w:r>
      <w:r>
        <w:rPr>
          <w:rFonts w:hint="eastAsia" w:ascii="Times New Roman" w:hAnsi="Times New Roman" w:eastAsia="仿宋_GB2312" w:cs="Times New Roman"/>
          <w:color w:val="auto"/>
          <w:sz w:val="32"/>
          <w:szCs w:val="32"/>
          <w:rtl w:val="0"/>
          <w:lang w:val="en-US" w:eastAsia="zh-CN"/>
        </w:rPr>
        <w:t>500</w:t>
      </w:r>
      <w:r>
        <w:rPr>
          <w:rFonts w:hint="eastAsia" w:ascii="仿宋_GB2312" w:hAnsi="仿宋_GB2312" w:eastAsia="仿宋_GB2312" w:cs="仿宋_GB2312"/>
          <w:color w:val="auto"/>
          <w:sz w:val="32"/>
          <w:szCs w:val="32"/>
          <w:rtl w:val="0"/>
          <w:lang w:val="en-US" w:eastAsia="zh-CN"/>
        </w:rPr>
        <w:t>平方米，内设引导受理、多元化解、指挥调度三个功能区，配备接待引导室、法学会法律服务站、矛盾调解室、指挥调度室及心灵驿站室。中心实行“常驻+轮驻+随驻”运行模式，有效整合多方力量，涵盖公共安全办、网格中心、司法所、派出所、律师事务所等。在此基础上，设置信访服务、警务服务、法律服务、司法服务、劳动争议调解等服务窗口，高效开展矛盾纠纷调处化解工作</w:t>
      </w:r>
      <w:r>
        <w:rPr>
          <w:rFonts w:hint="eastAsia" w:ascii="Times New Roman" w:hAnsi="Times New Roman" w:eastAsia="仿宋_GB2312" w:cs="Times New Roman"/>
          <w:color w:val="auto"/>
          <w:sz w:val="32"/>
          <w:szCs w:val="32"/>
          <w:rtl w:val="0"/>
          <w:lang w:val="en-US" w:eastAsia="zh-CN"/>
        </w:rPr>
        <w:t>。</w:t>
      </w:r>
      <w:r>
        <w:rPr>
          <w:rFonts w:hint="default" w:ascii="Times New Roman" w:hAnsi="Times New Roman" w:eastAsia="仿宋_GB2312" w:cs="Times New Roman"/>
          <w:color w:val="auto"/>
          <w:sz w:val="32"/>
          <w:szCs w:val="32"/>
          <w:rtl w:val="0"/>
          <w:lang w:val="en-US" w:eastAsia="zh-CN"/>
        </w:rPr>
        <w:t>2025</w:t>
      </w:r>
      <w:r>
        <w:rPr>
          <w:rFonts w:hint="default" w:ascii="仿宋_GB2312" w:hAnsi="仿宋_GB2312" w:eastAsia="仿宋_GB2312" w:cs="仿宋_GB2312"/>
          <w:color w:val="auto"/>
          <w:sz w:val="32"/>
          <w:szCs w:val="32"/>
          <w:rtl w:val="0"/>
          <w:lang w:val="en-US" w:eastAsia="zh-CN"/>
        </w:rPr>
        <w:t>年共排查此类纠纷</w:t>
      </w:r>
      <w:r>
        <w:rPr>
          <w:rFonts w:hint="eastAsia" w:ascii="Times New Roman" w:hAnsi="Times New Roman" w:eastAsia="仿宋_GB2312" w:cs="Times New Roman"/>
          <w:color w:val="auto"/>
          <w:sz w:val="32"/>
          <w:szCs w:val="32"/>
          <w:rtl w:val="0"/>
          <w:lang w:val="en-US" w:eastAsia="zh-CN"/>
        </w:rPr>
        <w:t>104</w:t>
      </w:r>
      <w:r>
        <w:rPr>
          <w:rFonts w:hint="default" w:ascii="仿宋_GB2312" w:hAnsi="仿宋_GB2312" w:eastAsia="仿宋_GB2312" w:cs="仿宋_GB2312"/>
          <w:color w:val="auto"/>
          <w:sz w:val="32"/>
          <w:szCs w:val="32"/>
          <w:rtl w:val="0"/>
          <w:lang w:val="en-US" w:eastAsia="zh-CN"/>
        </w:rPr>
        <w:t>件，化解率达</w:t>
      </w:r>
      <w:r>
        <w:rPr>
          <w:rFonts w:hint="default" w:ascii="Times New Roman" w:hAnsi="Times New Roman" w:eastAsia="仿宋_GB2312" w:cs="Times New Roman"/>
          <w:color w:val="auto"/>
          <w:sz w:val="32"/>
          <w:szCs w:val="32"/>
          <w:rtl w:val="0"/>
          <w:lang w:val="en-US" w:eastAsia="zh-CN"/>
        </w:rPr>
        <w:t>98</w:t>
      </w:r>
      <w:r>
        <w:rPr>
          <w:rFonts w:hint="default" w:ascii="仿宋_GB2312" w:hAnsi="仿宋_GB2312" w:eastAsia="仿宋_GB2312" w:cs="仿宋_GB2312"/>
          <w:color w:val="auto"/>
          <w:sz w:val="32"/>
          <w:szCs w:val="32"/>
          <w:rtl w:val="0"/>
          <w:lang w:val="en-US" w:eastAsia="zh-CN"/>
        </w:rPr>
        <w:t>%；对涉企、征地拆迁等复杂纠纷启动</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多部门联调</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，全年成功化解企业员工意外死亡补偿、</w:t>
      </w:r>
      <w:r>
        <w:rPr>
          <w:rFonts w:hint="eastAsia" w:ascii="仿宋_GB2312" w:hAnsi="仿宋_GB2312" w:eastAsia="仿宋_GB2312" w:cs="仿宋_GB2312"/>
          <w:color w:val="auto"/>
          <w:sz w:val="32"/>
          <w:szCs w:val="32"/>
          <w:rtl w:val="0"/>
          <w:lang w:val="en-US" w:eastAsia="zh-CN"/>
        </w:rPr>
        <w:t>土地争议纠纷</w:t>
      </w:r>
      <w:r>
        <w:rPr>
          <w:rFonts w:hint="default" w:ascii="仿宋_GB2312" w:hAnsi="仿宋_GB2312" w:eastAsia="仿宋_GB2312" w:cs="仿宋_GB2312"/>
          <w:color w:val="auto"/>
          <w:sz w:val="32"/>
          <w:szCs w:val="32"/>
          <w:rtl w:val="0"/>
          <w:lang w:val="en-US" w:eastAsia="zh-CN"/>
        </w:rPr>
        <w:t>等重大</w:t>
      </w:r>
      <w:r>
        <w:rPr>
          <w:rFonts w:hint="eastAsia" w:ascii="仿宋_GB2312" w:hAnsi="仿宋_GB2312" w:eastAsia="仿宋_GB2312" w:cs="仿宋_GB2312"/>
          <w:color w:val="auto"/>
          <w:sz w:val="32"/>
          <w:szCs w:val="32"/>
          <w:rtl w:val="0"/>
          <w:lang w:val="en-US" w:eastAsia="zh-CN"/>
        </w:rPr>
        <w:t>事项</w:t>
      </w:r>
      <w:r>
        <w:rPr>
          <w:rFonts w:hint="eastAsia" w:ascii="Times New Roman" w:hAnsi="Times New Roman" w:eastAsia="仿宋_GB2312" w:cs="Times New Roman"/>
          <w:color w:val="auto"/>
          <w:sz w:val="32"/>
          <w:szCs w:val="32"/>
          <w:rtl w:val="0"/>
          <w:lang w:val="en-US" w:eastAsia="zh-CN"/>
        </w:rPr>
        <w:t>6</w:t>
      </w:r>
      <w:r>
        <w:rPr>
          <w:rFonts w:hint="default" w:ascii="仿宋_GB2312" w:hAnsi="仿宋_GB2312" w:eastAsia="仿宋_GB2312" w:cs="仿宋_GB2312"/>
          <w:color w:val="auto"/>
          <w:sz w:val="32"/>
          <w:szCs w:val="32"/>
          <w:rtl w:val="0"/>
          <w:lang w:val="en-US" w:eastAsia="zh-CN"/>
        </w:rPr>
        <w:t>件，其中某企业员工家属与企业的补偿纠纷通过联调机制达成</w:t>
      </w:r>
      <w:r>
        <w:rPr>
          <w:rFonts w:hint="eastAsia" w:ascii="Times New Roman" w:hAnsi="Times New Roman" w:eastAsia="仿宋_GB2312" w:cs="Times New Roman"/>
          <w:color w:val="auto"/>
          <w:sz w:val="32"/>
          <w:szCs w:val="32"/>
          <w:rtl w:val="0"/>
          <w:lang w:val="en-US" w:eastAsia="zh-CN"/>
        </w:rPr>
        <w:t>140</w:t>
      </w:r>
      <w:r>
        <w:rPr>
          <w:rFonts w:hint="default" w:ascii="仿宋_GB2312" w:hAnsi="仿宋_GB2312" w:eastAsia="仿宋_GB2312" w:cs="仿宋_GB2312"/>
          <w:color w:val="auto"/>
          <w:sz w:val="32"/>
          <w:szCs w:val="32"/>
          <w:rtl w:val="0"/>
          <w:lang w:val="en-US" w:eastAsia="zh-CN"/>
        </w:rPr>
        <w:t>万元补偿协议，实现</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案结事了</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w:t>
      </w:r>
    </w:p>
    <w:p w14:paraId="7B0988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二、履行推进法治建设第一责任人职责情况</w:t>
      </w:r>
    </w:p>
    <w:p w14:paraId="07A672B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b/>
          <w:bCs/>
          <w:color w:val="auto"/>
          <w:sz w:val="32"/>
          <w:szCs w:val="32"/>
          <w:rtl w:val="0"/>
          <w:lang w:val="en-US" w:eastAsia="zh-CN"/>
        </w:rPr>
        <w:t>一是</w:t>
      </w:r>
      <w:r>
        <w:rPr>
          <w:rFonts w:hint="default" w:ascii="仿宋_GB2312" w:hAnsi="仿宋_GB2312" w:eastAsia="仿宋_GB2312" w:cs="仿宋_GB2312"/>
          <w:b/>
          <w:bCs/>
          <w:color w:val="auto"/>
          <w:sz w:val="32"/>
          <w:szCs w:val="32"/>
          <w:rtl w:val="0"/>
          <w:lang w:val="en-US" w:eastAsia="zh-CN"/>
        </w:rPr>
        <w:t>镇党委书记、镇长切实履行第一责任人职责</w:t>
      </w:r>
      <w:r>
        <w:rPr>
          <w:rFonts w:hint="eastAsia" w:ascii="仿宋_GB2312" w:hAnsi="仿宋_GB2312" w:eastAsia="仿宋_GB2312" w:cs="仿宋_GB2312"/>
          <w:b/>
          <w:bCs/>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将法治政府建设纳入镇发展总体规划</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镇主要领导带头参与重大纠纷调解，全年牵头化解涉企、</w:t>
      </w:r>
      <w:r>
        <w:rPr>
          <w:rFonts w:hint="eastAsia" w:ascii="仿宋_GB2312" w:hAnsi="仿宋_GB2312" w:eastAsia="仿宋_GB2312" w:cs="仿宋_GB2312"/>
          <w:color w:val="auto"/>
          <w:sz w:val="32"/>
          <w:szCs w:val="32"/>
          <w:rtl w:val="0"/>
          <w:lang w:val="en-US" w:eastAsia="zh-CN"/>
        </w:rPr>
        <w:t>土地纠纷</w:t>
      </w:r>
      <w:r>
        <w:rPr>
          <w:rFonts w:hint="default" w:ascii="仿宋_GB2312" w:hAnsi="仿宋_GB2312" w:eastAsia="仿宋_GB2312" w:cs="仿宋_GB2312"/>
          <w:color w:val="auto"/>
          <w:sz w:val="32"/>
          <w:szCs w:val="32"/>
          <w:rtl w:val="0"/>
          <w:lang w:val="en-US" w:eastAsia="zh-CN"/>
        </w:rPr>
        <w:t>等复杂</w:t>
      </w:r>
      <w:r>
        <w:rPr>
          <w:rFonts w:hint="eastAsia" w:ascii="仿宋_GB2312" w:hAnsi="仿宋_GB2312" w:eastAsia="仿宋_GB2312" w:cs="仿宋_GB2312"/>
          <w:color w:val="auto"/>
          <w:sz w:val="32"/>
          <w:szCs w:val="32"/>
          <w:rtl w:val="0"/>
          <w:lang w:val="en-US" w:eastAsia="zh-CN"/>
        </w:rPr>
        <w:t>矛盾隐患</w:t>
      </w:r>
      <w:r>
        <w:rPr>
          <w:rFonts w:hint="eastAsia" w:ascii="Times New Roman" w:hAnsi="Times New Roman" w:eastAsia="仿宋_GB2312" w:cs="Times New Roman"/>
          <w:color w:val="auto"/>
          <w:sz w:val="32"/>
          <w:szCs w:val="32"/>
          <w:rtl w:val="0"/>
          <w:lang w:val="en-US" w:eastAsia="zh-CN"/>
        </w:rPr>
        <w:t>6</w:t>
      </w:r>
      <w:r>
        <w:rPr>
          <w:rFonts w:hint="default" w:ascii="仿宋_GB2312" w:hAnsi="仿宋_GB2312" w:eastAsia="仿宋_GB2312" w:cs="仿宋_GB2312"/>
          <w:color w:val="auto"/>
          <w:sz w:val="32"/>
          <w:szCs w:val="32"/>
          <w:rtl w:val="0"/>
          <w:lang w:val="en-US" w:eastAsia="zh-CN"/>
        </w:rPr>
        <w:t>件，推动形成</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一把手抓调解、全员抓治理</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的工作氛围。</w:t>
      </w:r>
    </w:p>
    <w:p w14:paraId="05C533F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二是狠抓推动落实。</w:t>
      </w:r>
      <w:r>
        <w:rPr>
          <w:rFonts w:hint="eastAsia" w:ascii="仿宋_GB2312" w:hAnsi="仿宋_GB2312" w:eastAsia="仿宋_GB2312" w:cs="仿宋_GB2312"/>
          <w:color w:val="auto"/>
          <w:sz w:val="32"/>
          <w:szCs w:val="32"/>
          <w:lang w:val="en-US" w:eastAsia="zh-CN"/>
        </w:rPr>
        <w:t>坚持把法治政府建设工作列入重要议事日程，将法治政府建设纳入年度党委政府工作要点，写入政府工作报告，与经济社会发展同部署、同推进、同督促、同考核、同奖惩。严格落实报告制度，按时报送和公示法治政府建设情况。</w:t>
      </w:r>
    </w:p>
    <w:p w14:paraId="571DF5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三、存在的不足和原因</w:t>
      </w:r>
    </w:p>
    <w:p w14:paraId="1D5DBD1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一是需要进一步提升全民法治观念</w:t>
      </w:r>
      <w:r>
        <w:rPr>
          <w:rFonts w:hint="default" w:ascii="仿宋_GB2312" w:hAnsi="仿宋_GB2312" w:eastAsia="仿宋_GB2312" w:cs="仿宋_GB2312"/>
          <w:b/>
          <w:bCs/>
          <w:color w:val="auto"/>
          <w:sz w:val="32"/>
          <w:szCs w:val="32"/>
          <w:lang w:val="en-US" w:eastAsia="zh-CN"/>
        </w:rPr>
        <w:t>。</w:t>
      </w:r>
      <w:r>
        <w:rPr>
          <w:rFonts w:hint="default" w:ascii="仿宋_GB2312" w:hAnsi="仿宋_GB2312" w:eastAsia="仿宋_GB2312" w:cs="仿宋_GB2312"/>
          <w:color w:val="auto"/>
          <w:sz w:val="32"/>
          <w:szCs w:val="32"/>
          <w:lang w:val="en-US" w:eastAsia="zh-CN"/>
        </w:rPr>
        <w:t>通过多年</w:t>
      </w:r>
      <w:r>
        <w:rPr>
          <w:rFonts w:hint="eastAsia" w:ascii="仿宋_GB2312" w:hAnsi="仿宋_GB2312" w:eastAsia="仿宋_GB2312" w:cs="仿宋_GB2312"/>
          <w:color w:val="auto"/>
          <w:sz w:val="32"/>
          <w:szCs w:val="32"/>
          <w:lang w:val="en-US" w:eastAsia="zh-CN"/>
        </w:rPr>
        <w:t>法治教育</w:t>
      </w:r>
      <w:r>
        <w:rPr>
          <w:rFonts w:hint="default" w:ascii="仿宋_GB2312" w:hAnsi="仿宋_GB2312" w:eastAsia="仿宋_GB2312" w:cs="仿宋_GB2312"/>
          <w:color w:val="auto"/>
          <w:sz w:val="32"/>
          <w:szCs w:val="32"/>
          <w:lang w:val="en-US" w:eastAsia="zh-CN"/>
        </w:rPr>
        <w:t>活动，全民的法治</w:t>
      </w:r>
      <w:r>
        <w:rPr>
          <w:rFonts w:hint="eastAsia" w:ascii="仿宋_GB2312" w:hAnsi="仿宋_GB2312" w:eastAsia="仿宋_GB2312" w:cs="仿宋_GB2312"/>
          <w:color w:val="auto"/>
          <w:sz w:val="32"/>
          <w:szCs w:val="32"/>
          <w:lang w:val="en-US" w:eastAsia="zh-CN"/>
        </w:rPr>
        <w:t>观念</w:t>
      </w:r>
      <w:r>
        <w:rPr>
          <w:rFonts w:hint="default" w:ascii="仿宋_GB2312" w:hAnsi="仿宋_GB2312" w:eastAsia="仿宋_GB2312" w:cs="仿宋_GB2312"/>
          <w:color w:val="auto"/>
          <w:sz w:val="32"/>
          <w:szCs w:val="32"/>
          <w:lang w:val="en-US" w:eastAsia="zh-CN"/>
        </w:rPr>
        <w:t>有了很大程度的</w:t>
      </w:r>
      <w:r>
        <w:rPr>
          <w:rFonts w:hint="eastAsia" w:ascii="仿宋_GB2312" w:hAnsi="仿宋_GB2312" w:eastAsia="仿宋_GB2312" w:cs="仿宋_GB2312"/>
          <w:color w:val="auto"/>
          <w:sz w:val="32"/>
          <w:szCs w:val="32"/>
          <w:lang w:val="en-US" w:eastAsia="zh-CN"/>
        </w:rPr>
        <w:t>改变</w:t>
      </w:r>
      <w:r>
        <w:rPr>
          <w:rFonts w:hint="default" w:ascii="仿宋_GB2312" w:hAnsi="仿宋_GB2312" w:eastAsia="仿宋_GB2312" w:cs="仿宋_GB2312"/>
          <w:color w:val="auto"/>
          <w:sz w:val="32"/>
          <w:szCs w:val="32"/>
          <w:lang w:val="en-US" w:eastAsia="zh-CN"/>
        </w:rPr>
        <w:t>，但</w:t>
      </w:r>
      <w:r>
        <w:rPr>
          <w:rFonts w:hint="eastAsia" w:ascii="仿宋_GB2312" w:hAnsi="仿宋_GB2312" w:eastAsia="仿宋_GB2312" w:cs="仿宋_GB2312"/>
          <w:color w:val="auto"/>
          <w:sz w:val="32"/>
          <w:szCs w:val="32"/>
          <w:lang w:val="en-US" w:eastAsia="zh-CN"/>
        </w:rPr>
        <w:t>受限于农业乡镇社会环境的复杂性，</w:t>
      </w:r>
      <w:r>
        <w:rPr>
          <w:rFonts w:hint="default" w:ascii="仿宋_GB2312" w:hAnsi="仿宋_GB2312" w:eastAsia="仿宋_GB2312" w:cs="仿宋_GB2312"/>
          <w:color w:val="auto"/>
          <w:sz w:val="32"/>
          <w:szCs w:val="32"/>
          <w:lang w:val="en-US" w:eastAsia="zh-CN"/>
        </w:rPr>
        <w:t>法治观念淡薄、有法不依、知法犯法的现象还时有发生，</w:t>
      </w:r>
      <w:r>
        <w:rPr>
          <w:rFonts w:hint="eastAsia" w:ascii="仿宋_GB2312" w:hAnsi="仿宋_GB2312" w:eastAsia="仿宋_GB2312" w:cs="仿宋_GB2312"/>
          <w:color w:val="auto"/>
          <w:sz w:val="32"/>
          <w:szCs w:val="32"/>
          <w:lang w:val="en-US" w:eastAsia="zh-CN"/>
        </w:rPr>
        <w:t>还需要在基层社会治理中进一步强化法治建设，努力营造“人人学法、人人懂法、人人用法”的良好法治氛围</w:t>
      </w:r>
      <w:r>
        <w:rPr>
          <w:rFonts w:hint="default" w:ascii="仿宋_GB2312" w:hAnsi="仿宋_GB2312" w:eastAsia="仿宋_GB2312" w:cs="仿宋_GB2312"/>
          <w:color w:val="auto"/>
          <w:sz w:val="32"/>
          <w:szCs w:val="32"/>
          <w:lang w:val="en-US" w:eastAsia="zh-CN"/>
        </w:rPr>
        <w:t>。</w:t>
      </w:r>
    </w:p>
    <w:p w14:paraId="3E95DA0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二是缺少</w:t>
      </w:r>
      <w:r>
        <w:rPr>
          <w:rFonts w:hint="default" w:ascii="仿宋_GB2312" w:hAnsi="仿宋_GB2312" w:eastAsia="仿宋_GB2312" w:cs="仿宋_GB2312"/>
          <w:b/>
          <w:bCs/>
          <w:color w:val="auto"/>
          <w:sz w:val="32"/>
          <w:szCs w:val="32"/>
          <w:lang w:val="en-US" w:eastAsia="zh-CN"/>
        </w:rPr>
        <w:t>法</w:t>
      </w:r>
      <w:r>
        <w:rPr>
          <w:rFonts w:hint="eastAsia" w:ascii="仿宋_GB2312" w:hAnsi="仿宋_GB2312" w:eastAsia="仿宋_GB2312" w:cs="仿宋_GB2312"/>
          <w:b/>
          <w:bCs/>
          <w:color w:val="auto"/>
          <w:sz w:val="32"/>
          <w:szCs w:val="32"/>
          <w:lang w:val="en-US" w:eastAsia="zh-CN"/>
        </w:rPr>
        <w:t>治</w:t>
      </w:r>
      <w:r>
        <w:rPr>
          <w:rFonts w:hint="default" w:ascii="仿宋_GB2312" w:hAnsi="仿宋_GB2312" w:eastAsia="仿宋_GB2312" w:cs="仿宋_GB2312"/>
          <w:b/>
          <w:bCs/>
          <w:color w:val="auto"/>
          <w:sz w:val="32"/>
          <w:szCs w:val="32"/>
          <w:lang w:val="en-US" w:eastAsia="zh-CN"/>
        </w:rPr>
        <w:t>宣传教育</w:t>
      </w:r>
      <w:r>
        <w:rPr>
          <w:rFonts w:hint="eastAsia" w:ascii="仿宋_GB2312" w:hAnsi="仿宋_GB2312" w:eastAsia="仿宋_GB2312" w:cs="仿宋_GB2312"/>
          <w:b/>
          <w:bCs/>
          <w:color w:val="auto"/>
          <w:sz w:val="32"/>
          <w:szCs w:val="32"/>
          <w:lang w:val="en-US" w:eastAsia="zh-CN"/>
        </w:rPr>
        <w:t>的骨干力量。</w:t>
      </w:r>
      <w:r>
        <w:rPr>
          <w:rFonts w:hint="eastAsia" w:ascii="仿宋_GB2312" w:hAnsi="仿宋_GB2312" w:eastAsia="仿宋_GB2312" w:cs="仿宋_GB2312"/>
          <w:color w:val="auto"/>
          <w:sz w:val="32"/>
          <w:szCs w:val="32"/>
          <w:lang w:eastAsia="zh-CN"/>
        </w:rPr>
        <w:t>“法律明白人”队伍能力参差不齐，难以完全满足群众多样化法律服务需求。</w:t>
      </w:r>
    </w:p>
    <w:p w14:paraId="639E56A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缺少基层法治教育的核心骨干</w:t>
      </w:r>
      <w:r>
        <w:rPr>
          <w:rFonts w:hint="default" w:ascii="仿宋_GB2312" w:hAnsi="仿宋_GB2312" w:eastAsia="仿宋_GB2312" w:cs="仿宋_GB2312"/>
          <w:color w:val="auto"/>
          <w:sz w:val="32"/>
          <w:szCs w:val="32"/>
          <w:lang w:val="en-US" w:eastAsia="zh-CN"/>
        </w:rPr>
        <w:t>，导致普法宣传效果</w:t>
      </w:r>
      <w:r>
        <w:rPr>
          <w:rFonts w:hint="eastAsia" w:ascii="仿宋_GB2312" w:hAnsi="仿宋_GB2312" w:eastAsia="仿宋_GB2312" w:cs="仿宋_GB2312"/>
          <w:color w:val="auto"/>
          <w:sz w:val="32"/>
          <w:szCs w:val="32"/>
          <w:lang w:val="en-US" w:eastAsia="zh-CN"/>
        </w:rPr>
        <w:t>难以深入</w:t>
      </w:r>
      <w:r>
        <w:rPr>
          <w:rFonts w:hint="default" w:ascii="仿宋_GB2312" w:hAnsi="仿宋_GB2312" w:eastAsia="仿宋_GB2312" w:cs="仿宋_GB2312"/>
          <w:color w:val="auto"/>
          <w:sz w:val="32"/>
          <w:szCs w:val="32"/>
          <w:lang w:val="en-US" w:eastAsia="zh-CN"/>
        </w:rPr>
        <w:t>。</w:t>
      </w:r>
    </w:p>
    <w:p w14:paraId="384C4B3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三是法治宣传的精准性和渗透力有待加强。</w:t>
      </w:r>
      <w:r>
        <w:rPr>
          <w:rFonts w:hint="eastAsia" w:ascii="仿宋_GB2312" w:hAnsi="仿宋_GB2312" w:eastAsia="仿宋_GB2312" w:cs="仿宋_GB2312"/>
          <w:color w:val="auto"/>
          <w:sz w:val="32"/>
          <w:szCs w:val="32"/>
          <w:lang w:val="en-US" w:eastAsia="zh-CN"/>
        </w:rPr>
        <w:t>普法形式有时仍显传统，运用新媒体普法的深度和广度不足，针对不同群体的个性化、差异化普法需求响应不够及时充分。原因在于创新意识和能力有待提升，资源整合利用效率不高。</w:t>
      </w:r>
    </w:p>
    <w:p w14:paraId="116DAD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四、下一年度主要工作安排</w:t>
      </w:r>
    </w:p>
    <w:p w14:paraId="6887299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b/>
          <w:bCs/>
          <w:color w:val="auto"/>
          <w:sz w:val="32"/>
          <w:szCs w:val="32"/>
          <w:lang w:val="en-US" w:eastAsia="zh-CN"/>
        </w:rPr>
        <w:t>一是在实践中推进法治建设。</w:t>
      </w:r>
      <w:r>
        <w:rPr>
          <w:rFonts w:hint="eastAsia" w:ascii="仿宋_GB2312" w:hAnsi="仿宋_GB2312" w:eastAsia="仿宋_GB2312" w:cs="仿宋_GB2312"/>
          <w:color w:val="auto"/>
          <w:sz w:val="32"/>
          <w:szCs w:val="32"/>
          <w:lang w:val="en-US" w:eastAsia="zh-CN"/>
        </w:rPr>
        <w:t>强化法治在基层治理、构建和谐社会中的重要作用，在解决居民实际矛盾的实践中，提高乡镇干部和居民的法律意识和法治素养。通过实践教育和案例讲解的方式普及法律知识，让法治理念深入人心。</w:t>
      </w:r>
    </w:p>
    <w:p w14:paraId="3C69E3E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二是持续加强农村法治教育骨干建设。</w:t>
      </w:r>
      <w:r>
        <w:rPr>
          <w:rFonts w:hint="eastAsia" w:ascii="仿宋_GB2312" w:hAnsi="仿宋_GB2312" w:eastAsia="仿宋_GB2312" w:cs="仿宋_GB2312"/>
          <w:color w:val="auto"/>
          <w:sz w:val="32"/>
          <w:szCs w:val="32"/>
          <w:lang w:val="en-US" w:eastAsia="zh-CN"/>
        </w:rPr>
        <w:t>以滨海新区“农村法律明白人”“巾帼法律明白人”培养工程为契机，努力培养一批学习和宣传国家法律政策的普法骨干，作为我们法治建设的桥梁，示范带动广大村民办事依法、遇事找法、解决问题用法、化解矛盾靠法，推动基层法治建设迈向新阶段</w:t>
      </w:r>
    </w:p>
    <w:p w14:paraId="70618A7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b/>
          <w:bCs/>
          <w:color w:val="auto"/>
          <w:sz w:val="32"/>
          <w:szCs w:val="32"/>
          <w:rtl w:val="0"/>
          <w:lang w:val="en-US" w:eastAsia="zh-CN"/>
        </w:rPr>
        <w:t>三是</w:t>
      </w:r>
      <w:r>
        <w:rPr>
          <w:rFonts w:hint="default" w:ascii="仿宋_GB2312" w:hAnsi="仿宋_GB2312" w:eastAsia="仿宋_GB2312" w:cs="仿宋_GB2312"/>
          <w:b/>
          <w:bCs/>
          <w:color w:val="auto"/>
          <w:sz w:val="32"/>
          <w:szCs w:val="32"/>
          <w:rtl w:val="0"/>
          <w:lang w:val="en-US" w:eastAsia="zh-CN"/>
        </w:rPr>
        <w:t>深化</w:t>
      </w:r>
      <w:r>
        <w:rPr>
          <w:rFonts w:hint="eastAsia" w:ascii="仿宋_GB2312" w:hAnsi="仿宋_GB2312" w:eastAsia="仿宋_GB2312" w:cs="仿宋_GB2312"/>
          <w:b/>
          <w:bCs/>
          <w:color w:val="auto"/>
          <w:sz w:val="32"/>
          <w:szCs w:val="32"/>
          <w:rtl w:val="0"/>
          <w:lang w:val="en-US" w:eastAsia="zh-CN"/>
        </w:rPr>
        <w:t>矛盾纠纷</w:t>
      </w:r>
      <w:r>
        <w:rPr>
          <w:rFonts w:hint="default" w:ascii="仿宋_GB2312" w:hAnsi="仿宋_GB2312" w:eastAsia="仿宋_GB2312" w:cs="仿宋_GB2312"/>
          <w:b/>
          <w:bCs/>
          <w:color w:val="auto"/>
          <w:sz w:val="32"/>
          <w:szCs w:val="32"/>
          <w:rtl w:val="0"/>
          <w:lang w:val="en-US" w:eastAsia="zh-CN"/>
        </w:rPr>
        <w:t>多元</w:t>
      </w:r>
      <w:r>
        <w:rPr>
          <w:rFonts w:hint="eastAsia" w:ascii="仿宋_GB2312" w:hAnsi="仿宋_GB2312" w:eastAsia="仿宋_GB2312" w:cs="仿宋_GB2312"/>
          <w:b/>
          <w:bCs/>
          <w:color w:val="auto"/>
          <w:sz w:val="32"/>
          <w:szCs w:val="32"/>
          <w:rtl w:val="0"/>
          <w:lang w:val="en-US" w:eastAsia="zh-CN"/>
        </w:rPr>
        <w:t>化解</w:t>
      </w:r>
      <w:r>
        <w:rPr>
          <w:rFonts w:hint="default" w:ascii="仿宋_GB2312" w:hAnsi="仿宋_GB2312" w:eastAsia="仿宋_GB2312" w:cs="仿宋_GB2312"/>
          <w:b/>
          <w:bCs/>
          <w:color w:val="auto"/>
          <w:sz w:val="32"/>
          <w:szCs w:val="32"/>
          <w:rtl w:val="0"/>
          <w:lang w:val="en-US" w:eastAsia="zh-CN"/>
        </w:rPr>
        <w:t>机制建设</w:t>
      </w:r>
      <w:r>
        <w:rPr>
          <w:rFonts w:hint="eastAsia" w:ascii="仿宋_GB2312" w:hAnsi="仿宋_GB2312" w:eastAsia="仿宋_GB2312" w:cs="仿宋_GB2312"/>
          <w:b/>
          <w:bCs/>
          <w:color w:val="auto"/>
          <w:sz w:val="32"/>
          <w:szCs w:val="32"/>
          <w:rtl w:val="0"/>
          <w:lang w:val="en-US" w:eastAsia="zh-CN"/>
        </w:rPr>
        <w:t>。</w:t>
      </w:r>
      <w:r>
        <w:rPr>
          <w:rFonts w:hint="eastAsia" w:ascii="仿宋_GB2312" w:hAnsi="仿宋_GB2312" w:eastAsia="仿宋_GB2312" w:cs="仿宋_GB2312"/>
          <w:color w:val="auto"/>
          <w:sz w:val="32"/>
          <w:szCs w:val="32"/>
          <w:rtl w:val="0"/>
          <w:lang w:val="en-US" w:eastAsia="zh-CN"/>
        </w:rPr>
        <w:t>进一步</w:t>
      </w:r>
      <w:r>
        <w:rPr>
          <w:rFonts w:hint="default" w:ascii="仿宋_GB2312" w:hAnsi="仿宋_GB2312" w:eastAsia="仿宋_GB2312" w:cs="仿宋_GB2312"/>
          <w:color w:val="auto"/>
          <w:sz w:val="32"/>
          <w:szCs w:val="32"/>
          <w:rtl w:val="0"/>
          <w:lang w:val="en-US" w:eastAsia="zh-CN"/>
        </w:rPr>
        <w:t>整合派出所、</w:t>
      </w:r>
      <w:r>
        <w:rPr>
          <w:rFonts w:hint="eastAsia" w:ascii="仿宋_GB2312" w:hAnsi="仿宋_GB2312" w:eastAsia="仿宋_GB2312" w:cs="仿宋_GB2312"/>
          <w:color w:val="auto"/>
          <w:sz w:val="32"/>
          <w:szCs w:val="32"/>
          <w:rtl w:val="0"/>
          <w:lang w:val="en-US" w:eastAsia="zh-CN"/>
        </w:rPr>
        <w:t>司法所</w:t>
      </w:r>
      <w:r>
        <w:rPr>
          <w:rFonts w:hint="default" w:ascii="仿宋_GB2312" w:hAnsi="仿宋_GB2312" w:eastAsia="仿宋_GB2312" w:cs="仿宋_GB2312"/>
          <w:color w:val="auto"/>
          <w:sz w:val="32"/>
          <w:szCs w:val="32"/>
          <w:rtl w:val="0"/>
          <w:lang w:val="en-US" w:eastAsia="zh-CN"/>
        </w:rPr>
        <w:t>等部门数据资源，实现纠纷线索、调解进度等信息实时共享</w:t>
      </w:r>
      <w:r>
        <w:rPr>
          <w:rFonts w:hint="eastAsia" w:ascii="仿宋_GB2312" w:hAnsi="仿宋_GB2312" w:eastAsia="仿宋_GB2312" w:cs="仿宋_GB2312"/>
          <w:color w:val="auto"/>
          <w:sz w:val="32"/>
          <w:szCs w:val="32"/>
          <w:rtl w:val="0"/>
          <w:lang w:val="en-US" w:eastAsia="zh-CN"/>
        </w:rPr>
        <w:t>。</w:t>
      </w:r>
      <w:r>
        <w:rPr>
          <w:rFonts w:hint="default" w:ascii="仿宋_GB2312" w:hAnsi="仿宋_GB2312" w:eastAsia="仿宋_GB2312" w:cs="仿宋_GB2312"/>
          <w:color w:val="auto"/>
          <w:sz w:val="32"/>
          <w:szCs w:val="32"/>
          <w:rtl w:val="0"/>
          <w:lang w:val="en-US" w:eastAsia="zh-CN"/>
        </w:rPr>
        <w:t>引入心理咨询机构、行业专家等力量，组建专业调解团队，提升复杂纠纷化解能力。</w:t>
      </w:r>
    </w:p>
    <w:p w14:paraId="200712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p>
    <w:p w14:paraId="3CF23A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rtl w:val="0"/>
          <w:lang w:val="en-US" w:eastAsia="zh-CN"/>
        </w:rPr>
      </w:pPr>
      <w:bookmarkStart w:id="0" w:name="_GoBack"/>
      <w:bookmarkEnd w:id="0"/>
    </w:p>
    <w:p w14:paraId="6A7AE2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rtl w:val="0"/>
          <w:lang w:val="en-US" w:eastAsia="zh-CN"/>
        </w:rPr>
      </w:pPr>
    </w:p>
    <w:p w14:paraId="2046E16C">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eastAsia" w:ascii="仿宋_GB2312" w:hAnsi="仿宋_GB2312" w:eastAsia="仿宋_GB2312" w:cs="仿宋_GB2312"/>
          <w:color w:val="auto"/>
          <w:sz w:val="32"/>
          <w:szCs w:val="32"/>
          <w:rtl w:val="0"/>
          <w:lang w:val="en-US" w:eastAsia="zh-CN"/>
        </w:rPr>
      </w:pPr>
      <w:r>
        <w:rPr>
          <w:rFonts w:hint="eastAsia" w:ascii="仿宋_GB2312" w:hAnsi="仿宋_GB2312" w:eastAsia="仿宋_GB2312" w:cs="仿宋_GB2312"/>
          <w:color w:val="auto"/>
          <w:sz w:val="32"/>
          <w:szCs w:val="32"/>
          <w:rtl w:val="0"/>
          <w:lang w:val="en-US" w:eastAsia="zh-CN"/>
        </w:rPr>
        <w:t>天津市滨海新区太平镇人民政府</w:t>
      </w:r>
    </w:p>
    <w:p w14:paraId="3A0EF7EE">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rtl w:val="0"/>
          <w:lang w:val="en-US" w:eastAsia="zh-CN"/>
        </w:rPr>
        <w:t>2025</w:t>
      </w:r>
      <w:r>
        <w:rPr>
          <w:rFonts w:hint="eastAsia" w:ascii="仿宋_GB2312" w:hAnsi="仿宋_GB2312" w:eastAsia="仿宋_GB2312" w:cs="仿宋_GB2312"/>
          <w:color w:val="auto"/>
          <w:sz w:val="32"/>
          <w:szCs w:val="32"/>
          <w:lang w:eastAsia="zh-CN"/>
        </w:rPr>
        <w:t>年</w:t>
      </w:r>
      <w:r>
        <w:rPr>
          <w:rFonts w:hint="eastAsia" w:ascii="Times New Roman" w:hAnsi="Times New Roman" w:eastAsia="仿宋_GB2312" w:cs="Times New Roman"/>
          <w:color w:val="auto"/>
          <w:sz w:val="32"/>
          <w:szCs w:val="32"/>
          <w:rtl w:val="0"/>
          <w:lang w:val="en-US" w:eastAsia="zh-CN"/>
        </w:rPr>
        <w:t>11</w:t>
      </w:r>
      <w:r>
        <w:rPr>
          <w:rFonts w:hint="eastAsia" w:ascii="仿宋_GB2312" w:hAnsi="仿宋_GB2312" w:eastAsia="仿宋_GB2312" w:cs="仿宋_GB2312"/>
          <w:color w:val="auto"/>
          <w:sz w:val="32"/>
          <w:szCs w:val="32"/>
          <w:lang w:eastAsia="zh-CN"/>
        </w:rPr>
        <w:t>月</w:t>
      </w:r>
      <w:r>
        <w:rPr>
          <w:rFonts w:hint="eastAsia" w:ascii="Times New Roman" w:hAnsi="Times New Roman" w:eastAsia="仿宋_GB2312" w:cs="Times New Roman"/>
          <w:color w:val="auto"/>
          <w:sz w:val="32"/>
          <w:szCs w:val="32"/>
          <w:rtl w:val="0"/>
          <w:lang w:val="en-US" w:eastAsia="zh-CN"/>
        </w:rPr>
        <w:t>21</w:t>
      </w:r>
      <w:r>
        <w:rPr>
          <w:rFonts w:hint="eastAsia" w:ascii="仿宋_GB2312" w:hAnsi="仿宋_GB2312" w:eastAsia="仿宋_GB2312" w:cs="仿宋_GB2312"/>
          <w:color w:val="auto"/>
          <w:sz w:val="32"/>
          <w:szCs w:val="32"/>
          <w:lang w:eastAsia="zh-CN"/>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6F94">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EC08F84">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F055AF2"/>
    <w:rsid w:val="1E146D8C"/>
    <w:rsid w:val="29B85359"/>
    <w:rsid w:val="2DD2637A"/>
    <w:rsid w:val="2F055AF2"/>
    <w:rsid w:val="341965FB"/>
    <w:rsid w:val="3AE73230"/>
    <w:rsid w:val="49D0179E"/>
    <w:rsid w:val="4E723D4A"/>
    <w:rsid w:val="7D8736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2293</Words>
  <Characters>2347</Characters>
  <Lines>0</Lines>
  <Paragraphs>0</Paragraphs>
  <TotalTime>31</TotalTime>
  <ScaleCrop>false</ScaleCrop>
  <LinksUpToDate>false</LinksUpToDate>
  <CharactersWithSpaces>2347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2025-11-19T06:50:00Z</dcterms:created>
  <dc:creator>孙、大闹</dc:creator>
  <cp:lastModifiedBy>母猪饲养员</cp:lastModifiedBy>
  <dcterms:modified xsi:type="dcterms:W3CDTF">2025-11-27T02:28:44Z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AE8FCBB15E054B4088CBEF8202B8C825_13</vt:lpwstr>
  </property>
  <property fmtid="{D5CDD505-2E9C-101B-9397-08002B2CF9AE}" pid="4" name="KSOTemplateDocerSaveRecord">
    <vt:lpwstr>eyJoZGlkIjoiMTEzY2ZmYmQ0YmZhNGMyMDBiNGI3MzYzODJlYTYxZjUiLCJ1c2VySWQiOiIxMTAzMjk2NTg5In0=</vt:lpwstr>
  </property>
</Properties>
</file>