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816204天津经济技术开发区泰达第一幼儿园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628285.75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628285.75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1.用于保障幼儿园正常运转，提高教育质量。2.用来解决教职工工作用餐问题。3.为幼儿园冬季教育教学工作提供正常供暖保障，确保采暖费缴纳及时，日常工作正常进行。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1.通过幼儿园提供办公经费，保证幼儿园工作正常运转，保质保量完成教学任务，提高本区域教育水平和师生满意度。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保障幼儿人数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幼儿在册人数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≥273人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取暖面积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3385.43㎡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教职工人数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≥44人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公用经费保障时间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幼儿园生均标准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生均标准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取暖费标准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取暖费标准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25元/㎡/采暖季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伙食费补助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伙食补助标准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幼儿园师生满意度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F1653CE"/>
    <w:rsid w:val="537A7E82"/>
    <w:rsid w:val="542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026A48B95E914E33904F165D650903B7_13</vt:lpwstr>
  </property>
</Properties>
</file>