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BD466A">
      <w:pPr>
        <w:keepNext w:val="0"/>
        <w:keepLines w:val="0"/>
        <w:pageBreakBefore w:val="0"/>
        <w:widowControl w:val="0"/>
        <w:kinsoku/>
        <w:wordWrap/>
        <w:topLinePunct w:val="0"/>
        <w:bidi w:val="0"/>
        <w:spacing w:line="600" w:lineRule="exact"/>
        <w:ind w:left="0"/>
        <w:jc w:val="center"/>
        <w:textAlignment w:val="auto"/>
        <w:rPr>
          <w:rFonts w:ascii="仿宋_GB2312" w:hAnsi="仿宋_GB2312" w:eastAsia="仿宋_GB2312" w:cs="仿宋_GB2312"/>
          <w:sz w:val="44"/>
          <w:szCs w:val="44"/>
        </w:rPr>
      </w:pPr>
      <w:r>
        <w:rPr>
          <w:rFonts w:hint="eastAsia" w:ascii="方正小标宋简体" w:hAnsi="方正小标宋简体" w:eastAsia="方正小标宋简体" w:cs="方正小标宋简体"/>
          <w:sz w:val="44"/>
          <w:szCs w:val="44"/>
        </w:rPr>
        <w:t>大沽街</w:t>
      </w:r>
      <w:r>
        <w:rPr>
          <w:rFonts w:hint="eastAsia" w:ascii="方正小标宋简体" w:hAnsi="方正小标宋简体" w:eastAsia="方正小标宋简体" w:cs="方正小标宋简体"/>
          <w:sz w:val="44"/>
          <w:szCs w:val="44"/>
          <w:lang w:eastAsia="zh-CN"/>
        </w:rPr>
        <w:t>道</w:t>
      </w:r>
      <w:r>
        <w:rPr>
          <w:rFonts w:hint="eastAsia" w:ascii="方正小标宋简体" w:hAnsi="方正小标宋简体" w:eastAsia="方正小标宋简体" w:cs="方正小标宋简体"/>
          <w:sz w:val="44"/>
          <w:szCs w:val="44"/>
        </w:rPr>
        <w:t>202</w:t>
      </w:r>
      <w:r>
        <w:rPr>
          <w:rFonts w:hint="default" w:ascii="方正小标宋简体" w:hAnsi="方正小标宋简体" w:eastAsia="方正小标宋简体" w:cs="方正小标宋简体"/>
          <w:sz w:val="44"/>
          <w:szCs w:val="44"/>
          <w:lang w:val="en-US"/>
        </w:rPr>
        <w:t>4</w:t>
      </w:r>
      <w:r>
        <w:rPr>
          <w:rFonts w:hint="eastAsia" w:ascii="方正小标宋简体" w:hAnsi="方正小标宋简体" w:eastAsia="方正小标宋简体" w:cs="方正小标宋简体"/>
          <w:sz w:val="44"/>
          <w:szCs w:val="44"/>
        </w:rPr>
        <w:t>年度行政执法</w:t>
      </w:r>
      <w:r>
        <w:rPr>
          <w:rFonts w:hint="eastAsia" w:ascii="方正小标宋简体" w:hAnsi="方正小标宋简体" w:eastAsia="方正小标宋简体" w:cs="方正小标宋简体"/>
          <w:sz w:val="44"/>
          <w:szCs w:val="44"/>
          <w:lang w:eastAsia="zh-CN"/>
        </w:rPr>
        <w:t>工作情况</w:t>
      </w:r>
      <w:r>
        <w:rPr>
          <w:rFonts w:hint="eastAsia" w:ascii="方正小标宋简体" w:hAnsi="方正小标宋简体" w:eastAsia="方正小标宋简体" w:cs="方正小标宋简体"/>
          <w:sz w:val="44"/>
          <w:szCs w:val="44"/>
        </w:rPr>
        <w:t>报告</w:t>
      </w:r>
    </w:p>
    <w:p w14:paraId="2BE99B76">
      <w:pPr>
        <w:keepNext w:val="0"/>
        <w:keepLines w:val="0"/>
        <w:pageBreakBefore w:val="0"/>
        <w:widowControl w:val="0"/>
        <w:kinsoku/>
        <w:wordWrap/>
        <w:topLinePunct w:val="0"/>
        <w:bidi w:val="0"/>
        <w:spacing w:line="600" w:lineRule="exact"/>
        <w:ind w:left="0" w:firstLine="680" w:firstLineChars="200"/>
        <w:textAlignment w:val="auto"/>
        <w:rPr>
          <w:rFonts w:ascii="仿宋_GB2312" w:hAnsi="仿宋_GB2312" w:eastAsia="仿宋_GB2312" w:cs="仿宋_GB2312"/>
          <w:sz w:val="34"/>
          <w:szCs w:val="34"/>
        </w:rPr>
      </w:pPr>
    </w:p>
    <w:p w14:paraId="7D28636E">
      <w:pPr>
        <w:keepNext w:val="0"/>
        <w:keepLines w:val="0"/>
        <w:pageBreakBefore w:val="0"/>
        <w:widowControl w:val="0"/>
        <w:kinsoku/>
        <w:wordWrap/>
        <w:topLinePunct w:val="0"/>
        <w:bidi w:val="0"/>
        <w:spacing w:line="600" w:lineRule="exact"/>
        <w:ind w:left="0"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一、基本情况</w:t>
      </w:r>
    </w:p>
    <w:p w14:paraId="0ABB41EF">
      <w:pPr>
        <w:keepNext w:val="0"/>
        <w:keepLines w:val="0"/>
        <w:pageBreakBefore w:val="0"/>
        <w:widowControl w:val="0"/>
        <w:kinsoku/>
        <w:wordWrap/>
        <w:topLinePunct w:val="0"/>
        <w:bidi w:val="0"/>
        <w:spacing w:line="600" w:lineRule="exact"/>
        <w:ind w:left="0" w:firstLine="683" w:firstLineChars="200"/>
        <w:textAlignment w:val="auto"/>
        <w:rPr>
          <w:rFonts w:hint="eastAsia"/>
        </w:rPr>
      </w:pPr>
      <w:r>
        <w:rPr>
          <w:rFonts w:hint="eastAsia" w:ascii="楷体_GB2312" w:hAnsi="楷体_GB2312" w:eastAsia="楷体_GB2312" w:cs="楷体_GB2312"/>
          <w:b/>
          <w:bCs/>
          <w:color w:val="auto"/>
          <w:sz w:val="34"/>
          <w:szCs w:val="34"/>
          <w:lang w:eastAsia="zh-CN"/>
        </w:rPr>
        <w:t>（一）</w:t>
      </w:r>
      <w:r>
        <w:rPr>
          <w:rFonts w:hint="eastAsia" w:ascii="楷体_GB2312" w:hAnsi="楷体_GB2312" w:eastAsia="楷体_GB2312" w:cs="楷体_GB2312"/>
          <w:b/>
          <w:bCs/>
          <w:color w:val="auto"/>
          <w:sz w:val="34"/>
          <w:szCs w:val="34"/>
        </w:rPr>
        <w:t>行政执法主体情况</w:t>
      </w:r>
    </w:p>
    <w:p w14:paraId="32BD4D11">
      <w:pPr>
        <w:keepNext w:val="0"/>
        <w:keepLines w:val="0"/>
        <w:pageBreakBefore w:val="0"/>
        <w:widowControl w:val="0"/>
        <w:kinsoku/>
        <w:wordWrap/>
        <w:topLinePunct w:val="0"/>
        <w:bidi w:val="0"/>
        <w:spacing w:line="600" w:lineRule="exact"/>
        <w:ind w:left="0" w:firstLine="680" w:firstLineChars="200"/>
        <w:textAlignment w:val="auto"/>
        <w:rPr>
          <w:rFonts w:hint="default" w:ascii="仿宋_GB2312" w:hAnsi="仿宋_GB2312" w:eastAsia="仿宋_GB2312" w:cs="仿宋_GB2312"/>
          <w:b w:val="0"/>
          <w:bCs/>
          <w:sz w:val="34"/>
          <w:szCs w:val="34"/>
          <w:lang w:val="en-US" w:eastAsia="zh-CN"/>
        </w:rPr>
      </w:pPr>
      <w:r>
        <w:rPr>
          <w:rFonts w:hint="eastAsia" w:ascii="仿宋_GB2312" w:hAnsi="仿宋_GB2312" w:eastAsia="仿宋_GB2312" w:cs="仿宋_GB2312"/>
          <w:b w:val="0"/>
          <w:bCs/>
          <w:sz w:val="34"/>
          <w:szCs w:val="34"/>
          <w:lang w:val="en-US" w:eastAsia="zh-CN"/>
        </w:rPr>
        <w:t>天津市滨海新区人民政府大沽街道办事处，为天津市滨海新区人民政府派出机构，管辖面积185.76平方公里，17个社区居委会，下辖功能科室8个，其中涉及有行政执法科室3个（街食安办、街公共服务办、街综合执法大队）。</w:t>
      </w:r>
    </w:p>
    <w:p w14:paraId="18073D07">
      <w:pPr>
        <w:keepNext w:val="0"/>
        <w:keepLines w:val="0"/>
        <w:pageBreakBefore w:val="0"/>
        <w:widowControl w:val="0"/>
        <w:kinsoku/>
        <w:wordWrap/>
        <w:topLinePunct w:val="0"/>
        <w:bidi w:val="0"/>
        <w:spacing w:line="600" w:lineRule="exact"/>
        <w:ind w:left="0" w:firstLine="683" w:firstLineChars="200"/>
        <w:textAlignment w:val="auto"/>
        <w:rPr>
          <w:rFonts w:hint="eastAsia" w:ascii="楷体_GB2312" w:hAnsi="楷体_GB2312" w:eastAsia="楷体_GB2312" w:cs="楷体_GB2312"/>
          <w:b/>
          <w:bCs/>
          <w:color w:val="auto"/>
          <w:sz w:val="34"/>
          <w:szCs w:val="34"/>
          <w:lang w:eastAsia="zh-CN"/>
        </w:rPr>
      </w:pPr>
      <w:r>
        <w:rPr>
          <w:rFonts w:hint="eastAsia" w:ascii="楷体_GB2312" w:hAnsi="楷体_GB2312" w:eastAsia="楷体_GB2312" w:cs="楷体_GB2312"/>
          <w:b/>
          <w:bCs/>
          <w:color w:val="auto"/>
          <w:sz w:val="34"/>
          <w:szCs w:val="34"/>
          <w:lang w:eastAsia="zh-CN"/>
        </w:rPr>
        <w:t>（二）行政执法人员情况</w:t>
      </w:r>
    </w:p>
    <w:p w14:paraId="577F72AB">
      <w:pPr>
        <w:keepNext w:val="0"/>
        <w:keepLines w:val="0"/>
        <w:pageBreakBefore w:val="0"/>
        <w:widowControl w:val="0"/>
        <w:kinsoku/>
        <w:wordWrap/>
        <w:topLinePunct w:val="0"/>
        <w:bidi w:val="0"/>
        <w:spacing w:line="600" w:lineRule="exact"/>
        <w:ind w:left="0"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lang w:eastAsia="zh-CN"/>
        </w:rPr>
        <w:t>大沽街综合</w:t>
      </w:r>
      <w:r>
        <w:rPr>
          <w:rFonts w:hint="eastAsia" w:ascii="仿宋_GB2312" w:hAnsi="仿宋_GB2312" w:eastAsia="仿宋_GB2312" w:cs="仿宋_GB2312"/>
          <w:sz w:val="34"/>
          <w:szCs w:val="34"/>
        </w:rPr>
        <w:t>执法大队现有持证执法人员</w:t>
      </w:r>
      <w:r>
        <w:rPr>
          <w:rFonts w:hint="eastAsia" w:ascii="仿宋_GB2312" w:hAnsi="仿宋_GB2312" w:eastAsia="仿宋_GB2312" w:cs="仿宋_GB2312"/>
          <w:sz w:val="34"/>
          <w:szCs w:val="34"/>
          <w:lang w:val="en-US" w:eastAsia="zh-CN"/>
        </w:rPr>
        <w:t>20</w:t>
      </w:r>
      <w:r>
        <w:rPr>
          <w:rFonts w:hint="eastAsia" w:ascii="仿宋_GB2312" w:hAnsi="仿宋_GB2312" w:eastAsia="仿宋_GB2312" w:cs="仿宋_GB2312"/>
          <w:sz w:val="34"/>
          <w:szCs w:val="34"/>
        </w:rPr>
        <w:t>人，比去年</w:t>
      </w:r>
      <w:r>
        <w:rPr>
          <w:rFonts w:hint="eastAsia" w:ascii="仿宋_GB2312" w:hAnsi="仿宋_GB2312" w:eastAsia="仿宋_GB2312" w:cs="仿宋_GB2312"/>
          <w:sz w:val="34"/>
          <w:szCs w:val="34"/>
          <w:lang w:eastAsia="zh-CN"/>
        </w:rPr>
        <w:t>减少</w:t>
      </w:r>
      <w:r>
        <w:rPr>
          <w:rFonts w:hint="eastAsia" w:ascii="仿宋_GB2312" w:hAnsi="仿宋_GB2312" w:eastAsia="仿宋_GB2312" w:cs="仿宋_GB2312"/>
          <w:sz w:val="34"/>
          <w:szCs w:val="34"/>
          <w:lang w:val="en-US" w:eastAsia="zh-CN"/>
        </w:rPr>
        <w:t>4</w:t>
      </w:r>
      <w:r>
        <w:rPr>
          <w:rFonts w:hint="eastAsia" w:ascii="仿宋_GB2312" w:hAnsi="仿宋_GB2312" w:eastAsia="仿宋_GB2312" w:cs="仿宋_GB2312"/>
          <w:sz w:val="34"/>
          <w:szCs w:val="34"/>
        </w:rPr>
        <w:t>人。其中，</w:t>
      </w:r>
      <w:r>
        <w:rPr>
          <w:rFonts w:hint="eastAsia" w:ascii="仿宋_GB2312" w:hAnsi="仿宋_GB2312" w:eastAsia="仿宋_GB2312" w:cs="仿宋_GB2312"/>
          <w:sz w:val="34"/>
          <w:szCs w:val="34"/>
          <w:lang w:eastAsia="zh-CN"/>
        </w:rPr>
        <w:t>退休</w:t>
      </w:r>
      <w:r>
        <w:rPr>
          <w:rFonts w:hint="eastAsia" w:ascii="仿宋_GB2312" w:hAnsi="仿宋_GB2312" w:eastAsia="仿宋_GB2312" w:cs="仿宋_GB2312"/>
          <w:sz w:val="34"/>
          <w:szCs w:val="34"/>
          <w:lang w:val="en-US" w:eastAsia="zh-CN"/>
        </w:rPr>
        <w:t>1</w:t>
      </w:r>
      <w:r>
        <w:rPr>
          <w:rFonts w:hint="eastAsia" w:ascii="仿宋_GB2312" w:hAnsi="仿宋_GB2312" w:eastAsia="仿宋_GB2312" w:cs="仿宋_GB2312"/>
          <w:sz w:val="34"/>
          <w:szCs w:val="34"/>
        </w:rPr>
        <w:t>人，</w:t>
      </w:r>
      <w:r>
        <w:rPr>
          <w:rFonts w:hint="eastAsia" w:ascii="仿宋_GB2312" w:hAnsi="仿宋_GB2312" w:eastAsia="仿宋_GB2312" w:cs="仿宋_GB2312"/>
          <w:b w:val="0"/>
          <w:bCs w:val="0"/>
          <w:color w:val="auto"/>
          <w:sz w:val="34"/>
          <w:szCs w:val="34"/>
          <w:lang w:val="en-US" w:eastAsia="zh-CN"/>
        </w:rPr>
        <w:t>因调整岗位注销执法证3人</w:t>
      </w:r>
      <w:r>
        <w:rPr>
          <w:rFonts w:hint="eastAsia" w:ascii="仿宋_GB2312" w:hAnsi="仿宋_GB2312" w:eastAsia="仿宋_GB2312" w:cs="仿宋_GB2312"/>
          <w:sz w:val="34"/>
          <w:szCs w:val="34"/>
        </w:rPr>
        <w:t>，均</w:t>
      </w:r>
      <w:r>
        <w:rPr>
          <w:rFonts w:hint="eastAsia" w:ascii="仿宋_GB2312" w:hAnsi="仿宋_GB2312" w:eastAsia="仿宋_GB2312" w:cs="仿宋_GB2312"/>
          <w:sz w:val="34"/>
          <w:szCs w:val="34"/>
          <w:lang w:eastAsia="zh-CN"/>
        </w:rPr>
        <w:t>已</w:t>
      </w:r>
      <w:r>
        <w:rPr>
          <w:rFonts w:hint="eastAsia" w:ascii="仿宋_GB2312" w:hAnsi="仿宋_GB2312" w:eastAsia="仿宋_GB2312" w:cs="仿宋_GB2312"/>
          <w:sz w:val="34"/>
          <w:szCs w:val="34"/>
        </w:rPr>
        <w:t>在区司法局备案。</w:t>
      </w:r>
    </w:p>
    <w:p w14:paraId="267BF58D">
      <w:pPr>
        <w:keepNext w:val="0"/>
        <w:keepLines w:val="0"/>
        <w:pageBreakBefore w:val="0"/>
        <w:widowControl w:val="0"/>
        <w:kinsoku/>
        <w:wordWrap/>
        <w:topLinePunct w:val="0"/>
        <w:bidi w:val="0"/>
        <w:spacing w:line="600" w:lineRule="exact"/>
        <w:ind w:left="0" w:firstLine="683" w:firstLineChars="200"/>
        <w:textAlignment w:val="auto"/>
        <w:rPr>
          <w:rFonts w:hint="eastAsia" w:ascii="楷体_GB2312" w:hAnsi="楷体_GB2312" w:eastAsia="楷体_GB2312" w:cs="楷体_GB2312"/>
          <w:b/>
          <w:bCs/>
          <w:color w:val="auto"/>
          <w:sz w:val="34"/>
          <w:szCs w:val="34"/>
          <w:lang w:eastAsia="zh-CN"/>
        </w:rPr>
      </w:pPr>
      <w:r>
        <w:rPr>
          <w:rFonts w:hint="eastAsia" w:ascii="楷体_GB2312" w:hAnsi="楷体_GB2312" w:eastAsia="楷体_GB2312" w:cs="楷体_GB2312"/>
          <w:b/>
          <w:bCs/>
          <w:color w:val="auto"/>
          <w:sz w:val="34"/>
          <w:szCs w:val="34"/>
          <w:lang w:eastAsia="zh-CN"/>
        </w:rPr>
        <w:t>（三）行政执法案件情况</w:t>
      </w:r>
    </w:p>
    <w:p w14:paraId="5A5AB797">
      <w:pPr>
        <w:keepNext w:val="0"/>
        <w:keepLines w:val="0"/>
        <w:pageBreakBefore w:val="0"/>
        <w:widowControl w:val="0"/>
        <w:kinsoku/>
        <w:wordWrap/>
        <w:topLinePunct w:val="0"/>
        <w:bidi w:val="0"/>
        <w:spacing w:line="600" w:lineRule="exact"/>
        <w:ind w:left="0"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截至12月</w:t>
      </w:r>
      <w:r>
        <w:rPr>
          <w:rFonts w:hint="eastAsia" w:ascii="仿宋_GB2312" w:hAnsi="仿宋_GB2312" w:eastAsia="仿宋_GB2312" w:cs="仿宋_GB2312"/>
          <w:sz w:val="34"/>
          <w:szCs w:val="34"/>
          <w:lang w:val="en-US" w:eastAsia="zh-CN"/>
        </w:rPr>
        <w:t>13</w:t>
      </w:r>
      <w:r>
        <w:rPr>
          <w:rFonts w:hint="eastAsia" w:ascii="仿宋_GB2312" w:hAnsi="仿宋_GB2312" w:eastAsia="仿宋_GB2312" w:cs="仿宋_GB2312"/>
          <w:sz w:val="34"/>
          <w:szCs w:val="34"/>
        </w:rPr>
        <w:t>日，</w:t>
      </w:r>
      <w:r>
        <w:rPr>
          <w:rFonts w:hint="eastAsia" w:ascii="仿宋_GB2312" w:hAnsi="仿宋_GB2312" w:eastAsia="仿宋_GB2312" w:cs="仿宋_GB2312"/>
          <w:sz w:val="34"/>
          <w:szCs w:val="34"/>
          <w:lang w:eastAsia="zh-CN"/>
        </w:rPr>
        <w:t>大沽街道</w:t>
      </w:r>
      <w:r>
        <w:rPr>
          <w:rFonts w:hint="eastAsia" w:ascii="仿宋_GB2312" w:hAnsi="仿宋_GB2312" w:eastAsia="仿宋_GB2312" w:cs="仿宋_GB2312"/>
          <w:sz w:val="34"/>
          <w:szCs w:val="34"/>
        </w:rPr>
        <w:t>202</w:t>
      </w:r>
      <w:r>
        <w:rPr>
          <w:rFonts w:hint="eastAsia" w:ascii="仿宋_GB2312" w:hAnsi="仿宋_GB2312" w:eastAsia="仿宋_GB2312" w:cs="仿宋_GB2312"/>
          <w:sz w:val="34"/>
          <w:szCs w:val="34"/>
          <w:lang w:val="en-US" w:eastAsia="zh-CN"/>
        </w:rPr>
        <w:t>4</w:t>
      </w:r>
      <w:r>
        <w:rPr>
          <w:rFonts w:hint="eastAsia" w:ascii="仿宋_GB2312" w:hAnsi="仿宋_GB2312" w:eastAsia="仿宋_GB2312" w:cs="仿宋_GB2312"/>
          <w:sz w:val="34"/>
          <w:szCs w:val="34"/>
        </w:rPr>
        <w:t>年度行政处罚案件</w:t>
      </w:r>
      <w:r>
        <w:rPr>
          <w:rFonts w:hint="eastAsia" w:ascii="仿宋_GB2312" w:hAnsi="仿宋_GB2312" w:eastAsia="仿宋_GB2312" w:cs="仿宋_GB2312"/>
          <w:sz w:val="34"/>
          <w:szCs w:val="34"/>
          <w:lang w:val="en-US" w:eastAsia="zh-CN"/>
        </w:rPr>
        <w:t>113</w:t>
      </w:r>
      <w:r>
        <w:rPr>
          <w:rFonts w:hint="eastAsia" w:ascii="仿宋_GB2312" w:hAnsi="仿宋_GB2312" w:eastAsia="仿宋_GB2312" w:cs="仿宋_GB2312"/>
          <w:sz w:val="34"/>
          <w:szCs w:val="34"/>
        </w:rPr>
        <w:t>卷。其中，普通程序案件</w:t>
      </w:r>
      <w:r>
        <w:rPr>
          <w:rFonts w:hint="eastAsia" w:ascii="仿宋_GB2312" w:hAnsi="仿宋_GB2312" w:eastAsia="仿宋_GB2312" w:cs="仿宋_GB2312"/>
          <w:sz w:val="34"/>
          <w:szCs w:val="34"/>
          <w:lang w:val="en-US" w:eastAsia="zh-CN"/>
        </w:rPr>
        <w:t>30</w:t>
      </w:r>
      <w:r>
        <w:rPr>
          <w:rFonts w:hint="eastAsia" w:ascii="仿宋_GB2312" w:hAnsi="仿宋_GB2312" w:eastAsia="仿宋_GB2312" w:cs="仿宋_GB2312"/>
          <w:sz w:val="34"/>
          <w:szCs w:val="34"/>
        </w:rPr>
        <w:t>卷，简易程序案件</w:t>
      </w:r>
      <w:r>
        <w:rPr>
          <w:rFonts w:hint="eastAsia" w:ascii="仿宋_GB2312" w:hAnsi="仿宋_GB2312" w:eastAsia="仿宋_GB2312" w:cs="仿宋_GB2312"/>
          <w:sz w:val="34"/>
          <w:szCs w:val="34"/>
          <w:lang w:val="en-US" w:eastAsia="zh-CN"/>
        </w:rPr>
        <w:t>83</w:t>
      </w:r>
      <w:r>
        <w:rPr>
          <w:rFonts w:hint="eastAsia" w:ascii="仿宋_GB2312" w:hAnsi="仿宋_GB2312" w:eastAsia="仿宋_GB2312" w:cs="仿宋_GB2312"/>
          <w:sz w:val="34"/>
          <w:szCs w:val="34"/>
        </w:rPr>
        <w:t>卷。202</w:t>
      </w:r>
      <w:r>
        <w:rPr>
          <w:rFonts w:hint="eastAsia" w:ascii="仿宋_GB2312" w:hAnsi="仿宋_GB2312" w:eastAsia="仿宋_GB2312" w:cs="仿宋_GB2312"/>
          <w:sz w:val="34"/>
          <w:szCs w:val="34"/>
          <w:lang w:val="en-US" w:eastAsia="zh-CN"/>
        </w:rPr>
        <w:t>3</w:t>
      </w:r>
      <w:r>
        <w:rPr>
          <w:rFonts w:hint="eastAsia" w:ascii="仿宋_GB2312" w:hAnsi="仿宋_GB2312" w:eastAsia="仿宋_GB2312" w:cs="仿宋_GB2312"/>
          <w:sz w:val="34"/>
          <w:szCs w:val="34"/>
        </w:rPr>
        <w:t>年全年行政处罚案件12</w:t>
      </w:r>
      <w:r>
        <w:rPr>
          <w:rFonts w:hint="eastAsia" w:ascii="仿宋_GB2312" w:hAnsi="仿宋_GB2312" w:eastAsia="仿宋_GB2312" w:cs="仿宋_GB2312"/>
          <w:sz w:val="34"/>
          <w:szCs w:val="34"/>
          <w:lang w:val="en-US" w:eastAsia="zh-CN"/>
        </w:rPr>
        <w:t>4</w:t>
      </w:r>
      <w:r>
        <w:rPr>
          <w:rFonts w:hint="eastAsia" w:ascii="仿宋_GB2312" w:hAnsi="仿宋_GB2312" w:eastAsia="仿宋_GB2312" w:cs="仿宋_GB2312"/>
          <w:sz w:val="34"/>
          <w:szCs w:val="34"/>
        </w:rPr>
        <w:t>卷，其中普通程序</w:t>
      </w:r>
      <w:r>
        <w:rPr>
          <w:rFonts w:hint="eastAsia" w:ascii="仿宋_GB2312" w:hAnsi="仿宋_GB2312" w:eastAsia="仿宋_GB2312" w:cs="仿宋_GB2312"/>
          <w:sz w:val="34"/>
          <w:szCs w:val="34"/>
          <w:lang w:val="en-US" w:eastAsia="zh-CN"/>
        </w:rPr>
        <w:t>27</w:t>
      </w:r>
      <w:r>
        <w:rPr>
          <w:rFonts w:hint="eastAsia" w:ascii="仿宋_GB2312" w:hAnsi="仿宋_GB2312" w:eastAsia="仿宋_GB2312" w:cs="仿宋_GB2312"/>
          <w:sz w:val="34"/>
          <w:szCs w:val="34"/>
        </w:rPr>
        <w:t>卷，简易程序</w:t>
      </w:r>
      <w:r>
        <w:rPr>
          <w:rFonts w:hint="eastAsia" w:ascii="仿宋_GB2312" w:hAnsi="仿宋_GB2312" w:eastAsia="仿宋_GB2312" w:cs="仿宋_GB2312"/>
          <w:sz w:val="34"/>
          <w:szCs w:val="34"/>
          <w:lang w:val="en-US" w:eastAsia="zh-CN"/>
        </w:rPr>
        <w:t>97</w:t>
      </w:r>
      <w:r>
        <w:rPr>
          <w:rFonts w:hint="eastAsia" w:ascii="仿宋_GB2312" w:hAnsi="仿宋_GB2312" w:eastAsia="仿宋_GB2312" w:cs="仿宋_GB2312"/>
          <w:sz w:val="34"/>
          <w:szCs w:val="34"/>
        </w:rPr>
        <w:t>卷。年度办案量同比持平。</w:t>
      </w:r>
    </w:p>
    <w:p w14:paraId="62D499B8">
      <w:pPr>
        <w:keepNext w:val="0"/>
        <w:keepLines w:val="0"/>
        <w:pageBreakBefore w:val="0"/>
        <w:widowControl w:val="0"/>
        <w:kinsoku/>
        <w:wordWrap/>
        <w:topLinePunct w:val="0"/>
        <w:bidi w:val="0"/>
        <w:spacing w:line="600" w:lineRule="exact"/>
        <w:ind w:left="0" w:firstLine="683" w:firstLineChars="200"/>
        <w:textAlignment w:val="auto"/>
        <w:rPr>
          <w:rFonts w:hint="eastAsia" w:ascii="楷体_GB2312" w:hAnsi="楷体_GB2312" w:eastAsia="楷体_GB2312" w:cs="楷体_GB2312"/>
          <w:b/>
          <w:bCs/>
          <w:color w:val="auto"/>
          <w:sz w:val="34"/>
          <w:szCs w:val="34"/>
          <w:lang w:eastAsia="zh-CN"/>
        </w:rPr>
      </w:pPr>
      <w:r>
        <w:rPr>
          <w:rFonts w:hint="eastAsia" w:ascii="楷体_GB2312" w:hAnsi="楷体_GB2312" w:eastAsia="楷体_GB2312" w:cs="楷体_GB2312"/>
          <w:b/>
          <w:bCs/>
          <w:color w:val="auto"/>
          <w:sz w:val="34"/>
          <w:szCs w:val="34"/>
          <w:lang w:eastAsia="zh-CN"/>
        </w:rPr>
        <w:t>（四）行政执法年度计划完成情况</w:t>
      </w:r>
    </w:p>
    <w:p w14:paraId="7993CAE0">
      <w:pPr>
        <w:keepNext w:val="0"/>
        <w:keepLines w:val="0"/>
        <w:pageBreakBefore w:val="0"/>
        <w:widowControl w:val="0"/>
        <w:kinsoku/>
        <w:wordWrap/>
        <w:topLinePunct w:val="0"/>
        <w:bidi w:val="0"/>
        <w:spacing w:line="600" w:lineRule="exact"/>
        <w:ind w:left="0"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年初制定了全年执法工作计划并按照计划逐一落实。</w:t>
      </w:r>
    </w:p>
    <w:p w14:paraId="10575280">
      <w:pPr>
        <w:keepNext w:val="0"/>
        <w:keepLines w:val="0"/>
        <w:pageBreakBefore w:val="0"/>
        <w:widowControl w:val="0"/>
        <w:kinsoku/>
        <w:wordWrap/>
        <w:topLinePunct w:val="0"/>
        <w:bidi w:val="0"/>
        <w:spacing w:line="600" w:lineRule="exact"/>
        <w:ind w:left="0"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二、主要工作措施及成效</w:t>
      </w:r>
    </w:p>
    <w:p w14:paraId="2B2147A9">
      <w:pPr>
        <w:keepNext w:val="0"/>
        <w:keepLines w:val="0"/>
        <w:pageBreakBefore w:val="0"/>
        <w:widowControl w:val="0"/>
        <w:kinsoku/>
        <w:wordWrap/>
        <w:topLinePunct w:val="0"/>
        <w:bidi w:val="0"/>
        <w:spacing w:line="600" w:lineRule="exact"/>
        <w:ind w:left="0" w:firstLine="683" w:firstLineChars="200"/>
        <w:textAlignment w:val="auto"/>
        <w:rPr>
          <w:rFonts w:hint="eastAsia" w:ascii="楷体_GB2312" w:hAnsi="楷体_GB2312" w:eastAsia="楷体_GB2312" w:cs="楷体_GB2312"/>
          <w:b/>
          <w:bCs/>
          <w:color w:val="auto"/>
          <w:sz w:val="34"/>
          <w:szCs w:val="34"/>
          <w:lang w:eastAsia="zh-CN"/>
        </w:rPr>
      </w:pPr>
      <w:r>
        <w:rPr>
          <w:rFonts w:hint="eastAsia" w:ascii="楷体_GB2312" w:hAnsi="楷体_GB2312" w:eastAsia="楷体_GB2312" w:cs="楷体_GB2312"/>
          <w:b/>
          <w:bCs/>
          <w:color w:val="auto"/>
          <w:sz w:val="34"/>
          <w:szCs w:val="34"/>
          <w:lang w:eastAsia="zh-CN"/>
        </w:rPr>
        <w:t>（一）制度的建立和落实情况</w:t>
      </w:r>
    </w:p>
    <w:p w14:paraId="33B11153">
      <w:pPr>
        <w:keepNext w:val="0"/>
        <w:keepLines w:val="0"/>
        <w:pageBreakBefore w:val="0"/>
        <w:widowControl w:val="0"/>
        <w:kinsoku/>
        <w:wordWrap/>
        <w:topLinePunct w:val="0"/>
        <w:bidi w:val="0"/>
        <w:spacing w:line="600" w:lineRule="exact"/>
        <w:ind w:left="0" w:firstLine="683" w:firstLineChars="200"/>
        <w:textAlignment w:val="auto"/>
        <w:rPr>
          <w:rFonts w:hint="eastAsia" w:ascii="仿宋_GB2312" w:hAnsi="仿宋_GB2312" w:eastAsia="仿宋_GB2312" w:cs="仿宋_GB2312"/>
          <w:b/>
          <w:bCs w:val="0"/>
          <w:sz w:val="34"/>
          <w:szCs w:val="34"/>
        </w:rPr>
      </w:pPr>
      <w:r>
        <w:rPr>
          <w:rFonts w:hint="eastAsia" w:ascii="仿宋_GB2312" w:hAnsi="仿宋_GB2312" w:eastAsia="仿宋_GB2312" w:cs="仿宋_GB2312"/>
          <w:b/>
          <w:bCs w:val="0"/>
          <w:sz w:val="34"/>
          <w:szCs w:val="34"/>
          <w:lang w:val="en-US" w:eastAsia="zh-CN"/>
        </w:rPr>
        <w:t>1.</w:t>
      </w:r>
      <w:r>
        <w:rPr>
          <w:rFonts w:hint="eastAsia" w:ascii="仿宋_GB2312" w:hAnsi="仿宋_GB2312" w:eastAsia="仿宋_GB2312" w:cs="仿宋_GB2312"/>
          <w:b/>
          <w:bCs w:val="0"/>
          <w:sz w:val="34"/>
          <w:szCs w:val="34"/>
        </w:rPr>
        <w:t>严格落实行政执法“三项制度”</w:t>
      </w:r>
    </w:p>
    <w:p w14:paraId="1282B512">
      <w:pPr>
        <w:keepNext w:val="0"/>
        <w:keepLines w:val="0"/>
        <w:pageBreakBefore w:val="0"/>
        <w:widowControl w:val="0"/>
        <w:kinsoku/>
        <w:wordWrap/>
        <w:topLinePunct w:val="0"/>
        <w:bidi w:val="0"/>
        <w:spacing w:line="600" w:lineRule="exact"/>
        <w:ind w:left="0" w:firstLine="680" w:firstLineChars="200"/>
        <w:textAlignment w:val="auto"/>
        <w:rPr>
          <w:rFonts w:hint="eastAsia" w:ascii="仿宋_GB2312" w:hAnsi="仿宋_GB2312" w:eastAsia="仿宋_GB2312" w:cs="仿宋_GB2312"/>
          <w:b w:val="0"/>
          <w:bCs/>
          <w:sz w:val="34"/>
          <w:szCs w:val="34"/>
        </w:rPr>
      </w:pPr>
      <w:r>
        <w:rPr>
          <w:rFonts w:hint="eastAsia" w:ascii="仿宋_GB2312" w:hAnsi="仿宋_GB2312" w:eastAsia="仿宋_GB2312" w:cs="仿宋_GB2312"/>
          <w:b w:val="0"/>
          <w:bCs/>
          <w:sz w:val="34"/>
          <w:szCs w:val="34"/>
        </w:rPr>
        <w:t>坚持行政执法公示制度，每月按时在滨海新区政务网上公示行政处罚案件，截至目前，202</w:t>
      </w:r>
      <w:r>
        <w:rPr>
          <w:rFonts w:hint="eastAsia" w:ascii="仿宋_GB2312" w:hAnsi="仿宋_GB2312" w:eastAsia="仿宋_GB2312" w:cs="仿宋_GB2312"/>
          <w:b w:val="0"/>
          <w:bCs/>
          <w:sz w:val="34"/>
          <w:szCs w:val="34"/>
          <w:lang w:val="en-US" w:eastAsia="zh-CN"/>
        </w:rPr>
        <w:t>4</w:t>
      </w:r>
      <w:r>
        <w:rPr>
          <w:rFonts w:hint="eastAsia" w:ascii="仿宋_GB2312" w:hAnsi="仿宋_GB2312" w:eastAsia="仿宋_GB2312" w:cs="仿宋_GB2312"/>
          <w:b w:val="0"/>
          <w:bCs/>
          <w:sz w:val="34"/>
          <w:szCs w:val="34"/>
        </w:rPr>
        <w:t>年共计公示</w:t>
      </w:r>
      <w:r>
        <w:rPr>
          <w:rFonts w:hint="eastAsia" w:ascii="仿宋_GB2312" w:hAnsi="仿宋_GB2312" w:eastAsia="仿宋_GB2312" w:cs="仿宋_GB2312"/>
          <w:b w:val="0"/>
          <w:bCs/>
          <w:sz w:val="34"/>
          <w:szCs w:val="34"/>
          <w:lang w:val="en-US" w:eastAsia="zh-CN"/>
        </w:rPr>
        <w:t>113</w:t>
      </w:r>
      <w:r>
        <w:rPr>
          <w:rFonts w:hint="eastAsia" w:ascii="仿宋_GB2312" w:hAnsi="仿宋_GB2312" w:eastAsia="仿宋_GB2312" w:cs="仿宋_GB2312"/>
          <w:b w:val="0"/>
          <w:bCs/>
          <w:sz w:val="34"/>
          <w:szCs w:val="34"/>
        </w:rPr>
        <w:t>件，接受社会监督；严格按照行政执法全过程记录制度，执法全过程使用执法记录仪进行记录，完善执法信息的采集、存储和归档。使用滨海新区执法监督平台制作案卷，明确执法案卷标准，实现可回溯管理；</w:t>
      </w:r>
      <w:r>
        <w:rPr>
          <w:rStyle w:val="8"/>
          <w:rFonts w:hint="eastAsia" w:ascii="仿宋_GB2312" w:hAnsi="仿宋_GB2312" w:eastAsia="仿宋_GB2312" w:cs="仿宋_GB2312"/>
          <w:b w:val="0"/>
          <w:bCs/>
          <w:sz w:val="34"/>
          <w:szCs w:val="34"/>
        </w:rPr>
        <w:t>严格做到重大行政执法决定</w:t>
      </w:r>
      <w:r>
        <w:rPr>
          <w:rStyle w:val="8"/>
          <w:rFonts w:hint="eastAsia" w:ascii="仿宋_GB2312" w:hAnsi="仿宋_GB2312" w:eastAsia="仿宋_GB2312" w:cs="仿宋_GB2312"/>
          <w:b w:val="0"/>
          <w:bCs/>
          <w:sz w:val="34"/>
          <w:szCs w:val="34"/>
          <w:lang w:eastAsia="zh-CN"/>
        </w:rPr>
        <w:t>法治</w:t>
      </w:r>
      <w:r>
        <w:rPr>
          <w:rStyle w:val="8"/>
          <w:rFonts w:hint="eastAsia" w:ascii="仿宋_GB2312" w:hAnsi="仿宋_GB2312" w:eastAsia="仿宋_GB2312" w:cs="仿宋_GB2312"/>
          <w:b w:val="0"/>
          <w:bCs/>
          <w:sz w:val="34"/>
          <w:szCs w:val="34"/>
        </w:rPr>
        <w:t>审核制度。</w:t>
      </w:r>
      <w:r>
        <w:rPr>
          <w:rFonts w:hint="eastAsia" w:ascii="仿宋_GB2312" w:hAnsi="仿宋_GB2312" w:eastAsia="仿宋_GB2312" w:cs="仿宋_GB2312"/>
          <w:b w:val="0"/>
          <w:bCs/>
          <w:sz w:val="34"/>
          <w:szCs w:val="34"/>
        </w:rPr>
        <w:t>在作出重大行政决定前会将相关材料交审核机构进行审核，严格做到经审核且审核通过后再作出决定。</w:t>
      </w:r>
    </w:p>
    <w:p w14:paraId="6F066EE8">
      <w:pPr>
        <w:keepNext w:val="0"/>
        <w:keepLines w:val="0"/>
        <w:pageBreakBefore w:val="0"/>
        <w:widowControl w:val="0"/>
        <w:numPr>
          <w:ilvl w:val="0"/>
          <w:numId w:val="0"/>
        </w:numPr>
        <w:kinsoku/>
        <w:wordWrap/>
        <w:topLinePunct w:val="0"/>
        <w:bidi w:val="0"/>
        <w:spacing w:line="600" w:lineRule="exact"/>
        <w:ind w:left="0" w:firstLine="683" w:firstLineChars="200"/>
        <w:textAlignment w:val="auto"/>
        <w:rPr>
          <w:rFonts w:hint="eastAsia" w:ascii="仿宋_GB2312" w:hAnsi="仿宋_GB2312" w:eastAsia="仿宋_GB2312" w:cs="仿宋_GB2312"/>
          <w:b/>
          <w:bCs w:val="0"/>
          <w:sz w:val="34"/>
          <w:szCs w:val="34"/>
          <w:lang w:eastAsia="zh-CN"/>
        </w:rPr>
      </w:pPr>
      <w:r>
        <w:rPr>
          <w:rFonts w:hint="eastAsia" w:ascii="仿宋_GB2312" w:hAnsi="仿宋_GB2312" w:eastAsia="仿宋_GB2312" w:cs="仿宋_GB2312"/>
          <w:b/>
          <w:bCs w:val="0"/>
          <w:sz w:val="34"/>
          <w:szCs w:val="34"/>
          <w:lang w:val="en-US" w:eastAsia="zh-CN"/>
        </w:rPr>
        <w:t>2.</w:t>
      </w:r>
      <w:r>
        <w:rPr>
          <w:rFonts w:hint="eastAsia" w:ascii="仿宋_GB2312" w:hAnsi="仿宋_GB2312" w:eastAsia="仿宋_GB2312" w:cs="仿宋_GB2312"/>
          <w:b/>
          <w:bCs w:val="0"/>
          <w:sz w:val="34"/>
          <w:szCs w:val="34"/>
          <w:lang w:eastAsia="zh-CN"/>
        </w:rPr>
        <w:t>严格落实行政执法</w:t>
      </w:r>
      <w:r>
        <w:rPr>
          <w:rFonts w:hint="eastAsia" w:ascii="仿宋_GB2312" w:hAnsi="仿宋_GB2312" w:eastAsia="仿宋_GB2312" w:cs="仿宋_GB2312"/>
          <w:b/>
          <w:bCs w:val="0"/>
          <w:sz w:val="34"/>
          <w:szCs w:val="34"/>
        </w:rPr>
        <w:t>自由裁量权</w:t>
      </w:r>
    </w:p>
    <w:p w14:paraId="4F395259">
      <w:pPr>
        <w:keepNext w:val="0"/>
        <w:keepLines w:val="0"/>
        <w:pageBreakBefore w:val="0"/>
        <w:widowControl w:val="0"/>
        <w:numPr>
          <w:ilvl w:val="0"/>
          <w:numId w:val="0"/>
        </w:numPr>
        <w:kinsoku/>
        <w:wordWrap/>
        <w:topLinePunct w:val="0"/>
        <w:bidi w:val="0"/>
        <w:spacing w:line="600" w:lineRule="exact"/>
        <w:ind w:left="0" w:firstLine="680" w:firstLineChars="200"/>
        <w:textAlignment w:val="auto"/>
        <w:rPr>
          <w:rFonts w:hint="eastAsia" w:ascii="仿宋_GB2312" w:hAnsi="仿宋_GB2312" w:eastAsia="仿宋_GB2312" w:cs="仿宋_GB2312"/>
          <w:b w:val="0"/>
          <w:bCs/>
          <w:sz w:val="34"/>
          <w:szCs w:val="34"/>
        </w:rPr>
      </w:pPr>
      <w:r>
        <w:rPr>
          <w:rFonts w:hint="eastAsia" w:ascii="仿宋_GB2312" w:hAnsi="仿宋_GB2312" w:eastAsia="仿宋_GB2312" w:cs="仿宋_GB2312"/>
          <w:b w:val="0"/>
          <w:bCs/>
          <w:sz w:val="34"/>
          <w:szCs w:val="34"/>
        </w:rPr>
        <w:t>参照《天津市城</w:t>
      </w:r>
      <w:bookmarkStart w:id="0" w:name="_GoBack"/>
      <w:bookmarkEnd w:id="0"/>
      <w:r>
        <w:rPr>
          <w:rFonts w:hint="eastAsia" w:ascii="仿宋_GB2312" w:hAnsi="仿宋_GB2312" w:eastAsia="仿宋_GB2312" w:cs="仿宋_GB2312"/>
          <w:b w:val="0"/>
          <w:bCs/>
          <w:sz w:val="34"/>
          <w:szCs w:val="34"/>
        </w:rPr>
        <w:t>市管理综合行政执法行政处罚裁量基准表》</w:t>
      </w:r>
      <w:r>
        <w:rPr>
          <w:rFonts w:hint="eastAsia" w:ascii="仿宋_GB2312" w:hAnsi="仿宋_GB2312" w:eastAsia="仿宋_GB2312" w:cs="仿宋_GB2312"/>
          <w:b w:val="0"/>
          <w:bCs/>
          <w:sz w:val="34"/>
          <w:szCs w:val="34"/>
          <w:lang w:eastAsia="zh-CN"/>
        </w:rPr>
        <w:t>，</w:t>
      </w:r>
      <w:r>
        <w:rPr>
          <w:rFonts w:hint="eastAsia" w:ascii="仿宋_GB2312" w:hAnsi="仿宋_GB2312" w:eastAsia="仿宋_GB2312" w:cs="仿宋_GB2312"/>
          <w:b w:val="0"/>
          <w:bCs/>
          <w:sz w:val="34"/>
          <w:szCs w:val="34"/>
        </w:rPr>
        <w:t>结合</w:t>
      </w:r>
      <w:r>
        <w:rPr>
          <w:rFonts w:hint="eastAsia" w:ascii="仿宋_GB2312" w:hAnsi="仿宋_GB2312" w:eastAsia="仿宋_GB2312" w:cs="仿宋_GB2312"/>
          <w:b w:val="0"/>
          <w:bCs/>
          <w:sz w:val="34"/>
          <w:szCs w:val="34"/>
          <w:lang w:eastAsia="zh-CN"/>
        </w:rPr>
        <w:t>行政执法工作</w:t>
      </w:r>
      <w:r>
        <w:rPr>
          <w:rFonts w:hint="eastAsia" w:ascii="仿宋_GB2312" w:hAnsi="仿宋_GB2312" w:eastAsia="仿宋_GB2312" w:cs="仿宋_GB2312"/>
          <w:b w:val="0"/>
          <w:bCs/>
          <w:sz w:val="34"/>
          <w:szCs w:val="34"/>
        </w:rPr>
        <w:t>的实际情况，</w:t>
      </w:r>
      <w:r>
        <w:rPr>
          <w:rFonts w:hint="eastAsia" w:ascii="仿宋_GB2312" w:hAnsi="仿宋_GB2312" w:eastAsia="仿宋_GB2312" w:cs="仿宋_GB2312"/>
          <w:b w:val="0"/>
          <w:bCs/>
          <w:sz w:val="34"/>
          <w:szCs w:val="34"/>
          <w:lang w:eastAsia="zh-CN"/>
        </w:rPr>
        <w:t>落实好</w:t>
      </w:r>
      <w:r>
        <w:rPr>
          <w:rFonts w:hint="eastAsia" w:ascii="仿宋_GB2312" w:hAnsi="仿宋_GB2312" w:eastAsia="仿宋_GB2312" w:cs="仿宋_GB2312"/>
          <w:b w:val="0"/>
          <w:bCs/>
          <w:sz w:val="34"/>
          <w:szCs w:val="34"/>
        </w:rPr>
        <w:t>《执法大队关于自由裁量权的有关规定》</w:t>
      </w:r>
      <w:r>
        <w:rPr>
          <w:rFonts w:hint="eastAsia" w:ascii="仿宋_GB2312" w:hAnsi="仿宋_GB2312" w:eastAsia="仿宋_GB2312" w:cs="仿宋_GB2312"/>
          <w:b w:val="0"/>
          <w:bCs/>
          <w:sz w:val="34"/>
          <w:szCs w:val="34"/>
          <w:lang w:eastAsia="zh-CN"/>
        </w:rPr>
        <w:t>。根据每个案件的实际情况，</w:t>
      </w:r>
      <w:r>
        <w:rPr>
          <w:rFonts w:hint="eastAsia" w:ascii="仿宋_GB2312" w:hAnsi="仿宋_GB2312" w:eastAsia="仿宋_GB2312" w:cs="仿宋_GB2312"/>
          <w:b w:val="0"/>
          <w:bCs/>
          <w:sz w:val="34"/>
          <w:szCs w:val="34"/>
        </w:rPr>
        <w:t>对应每个档次的审核标准。指导执法人员综合衡量、准确适用，推动行政处罚裁量标准相对统一，实现同案同罚、过罚相当，避免行政处罚畸轻畸重。</w:t>
      </w:r>
    </w:p>
    <w:p w14:paraId="20631E71">
      <w:pPr>
        <w:keepNext w:val="0"/>
        <w:keepLines w:val="0"/>
        <w:pageBreakBefore w:val="0"/>
        <w:widowControl w:val="0"/>
        <w:kinsoku/>
        <w:wordWrap/>
        <w:topLinePunct w:val="0"/>
        <w:bidi w:val="0"/>
        <w:spacing w:line="600" w:lineRule="exact"/>
        <w:ind w:left="0" w:firstLine="683" w:firstLineChars="200"/>
        <w:textAlignment w:val="auto"/>
        <w:rPr>
          <w:rFonts w:hint="eastAsia" w:ascii="楷体_GB2312" w:hAnsi="楷体_GB2312" w:eastAsia="楷体_GB2312" w:cs="楷体_GB2312"/>
          <w:b/>
          <w:bCs/>
          <w:color w:val="auto"/>
          <w:sz w:val="34"/>
          <w:szCs w:val="34"/>
          <w:lang w:eastAsia="zh-CN"/>
        </w:rPr>
      </w:pPr>
      <w:r>
        <w:rPr>
          <w:rFonts w:hint="eastAsia" w:ascii="楷体_GB2312" w:hAnsi="楷体_GB2312" w:eastAsia="楷体_GB2312" w:cs="楷体_GB2312"/>
          <w:b/>
          <w:bCs/>
          <w:color w:val="auto"/>
          <w:sz w:val="34"/>
          <w:szCs w:val="34"/>
          <w:lang w:eastAsia="zh-CN"/>
        </w:rPr>
        <w:t>（二）重点执法工作开展情况</w:t>
      </w:r>
    </w:p>
    <w:p w14:paraId="36FC1801">
      <w:pPr>
        <w:keepNext w:val="0"/>
        <w:keepLines w:val="0"/>
        <w:pageBreakBefore w:val="0"/>
        <w:widowControl w:val="0"/>
        <w:kinsoku/>
        <w:wordWrap/>
        <w:overflowPunct/>
        <w:topLinePunct w:val="0"/>
        <w:autoSpaceDE/>
        <w:autoSpaceDN/>
        <w:bidi w:val="0"/>
        <w:adjustRightInd/>
        <w:snapToGrid/>
        <w:spacing w:line="600" w:lineRule="exact"/>
        <w:ind w:left="0" w:firstLine="683" w:firstLineChars="200"/>
        <w:jc w:val="both"/>
        <w:textAlignment w:val="auto"/>
        <w:rPr>
          <w:rFonts w:hint="eastAsia" w:ascii="仿宋_GB2312" w:hAnsi="仿宋_GB2312" w:eastAsia="仿宋_GB2312" w:cs="仿宋_GB2312"/>
          <w:b/>
          <w:bCs/>
          <w:sz w:val="34"/>
          <w:szCs w:val="34"/>
          <w:lang w:val="en-US" w:eastAsia="zh-CN"/>
        </w:rPr>
      </w:pPr>
      <w:r>
        <w:rPr>
          <w:rFonts w:hint="eastAsia" w:ascii="仿宋_GB2312" w:hAnsi="仿宋_GB2312" w:eastAsia="仿宋_GB2312" w:cs="仿宋_GB2312"/>
          <w:b/>
          <w:bCs/>
          <w:sz w:val="34"/>
          <w:szCs w:val="34"/>
          <w:lang w:val="en-US" w:eastAsia="zh-CN"/>
        </w:rPr>
        <w:t>1.</w:t>
      </w:r>
      <w:r>
        <w:rPr>
          <w:rFonts w:hint="eastAsia" w:ascii="仿宋_GB2312" w:hAnsi="仿宋_GB2312" w:eastAsia="仿宋_GB2312" w:cs="仿宋_GB2312"/>
          <w:b/>
          <w:bCs/>
          <w:color w:val="auto"/>
          <w:sz w:val="34"/>
          <w:szCs w:val="34"/>
          <w:lang w:val="en-US" w:eastAsia="zh-CN"/>
        </w:rPr>
        <w:t>安全生产治本攻坚行动</w:t>
      </w:r>
    </w:p>
    <w:p w14:paraId="390D12BF">
      <w:pPr>
        <w:keepNext w:val="0"/>
        <w:keepLines w:val="0"/>
        <w:pageBreakBefore w:val="0"/>
        <w:widowControl w:val="0"/>
        <w:kinsoku/>
        <w:wordWrap/>
        <w:overflowPunct/>
        <w:topLinePunct w:val="0"/>
        <w:autoSpaceDE/>
        <w:autoSpaceDN/>
        <w:bidi w:val="0"/>
        <w:adjustRightInd/>
        <w:snapToGrid/>
        <w:spacing w:line="600" w:lineRule="exact"/>
        <w:ind w:left="0" w:firstLine="680" w:firstLineChars="200"/>
        <w:jc w:val="both"/>
        <w:textAlignment w:val="auto"/>
        <w:rPr>
          <w:rFonts w:hint="eastAsia" w:ascii="仿宋_GB2312" w:hAnsi="仿宋_GB2312" w:eastAsia="仿宋_GB2312" w:cs="仿宋_GB2312"/>
          <w:sz w:val="34"/>
          <w:szCs w:val="34"/>
        </w:rPr>
      </w:pPr>
      <w:r>
        <w:rPr>
          <w:rFonts w:hint="eastAsia" w:ascii="仿宋_GB2312" w:hAnsi="仿宋_GB2312" w:eastAsia="仿宋_GB2312" w:cs="仿宋_GB2312"/>
          <w:color w:val="auto"/>
          <w:sz w:val="34"/>
          <w:szCs w:val="34"/>
          <w:lang w:val="en-US" w:eastAsia="zh-CN"/>
        </w:rPr>
        <w:t>大沽街道安全生产治本攻坚三年行动开展以来，执法大队高度重视，深入贯彻落实街道有关安全生产的决策部署，按照街安全生产治本攻坚三年行动划分的城市管理系统、市容景观管理责任领域分工，扎实开展安全生产检查工作。依据网格区域划分，执法大队以日常实际执法工作为基础，建立安全生产长效检查机制，将安全生产检查排查与“门前三包”检查相结合，以“九小场所”燃气、用电、消防安全，早晚市场、流动摊贩燃气安全，户外广告牌匾安全为检查重点，扎实开展安全生产检查工作，有效防范和遏制了各类安全事故的发生。</w:t>
      </w:r>
    </w:p>
    <w:p w14:paraId="68BF7086">
      <w:pPr>
        <w:keepNext w:val="0"/>
        <w:keepLines w:val="0"/>
        <w:pageBreakBefore w:val="0"/>
        <w:widowControl w:val="0"/>
        <w:kinsoku/>
        <w:wordWrap/>
        <w:topLinePunct w:val="0"/>
        <w:bidi w:val="0"/>
        <w:spacing w:line="600" w:lineRule="exact"/>
        <w:ind w:left="0" w:firstLine="683" w:firstLineChars="200"/>
        <w:textAlignment w:val="auto"/>
        <w:rPr>
          <w:rFonts w:hint="eastAsia" w:ascii="仿宋_GB2312" w:hAnsi="仿宋_GB2312" w:eastAsia="仿宋_GB2312" w:cs="仿宋_GB2312"/>
          <w:b/>
          <w:bCs/>
          <w:sz w:val="34"/>
          <w:szCs w:val="34"/>
        </w:rPr>
      </w:pPr>
      <w:r>
        <w:rPr>
          <w:rFonts w:hint="default" w:ascii="仿宋_GB2312" w:hAnsi="仿宋_GB2312" w:eastAsia="仿宋_GB2312" w:cs="仿宋_GB2312"/>
          <w:b/>
          <w:bCs/>
          <w:sz w:val="34"/>
          <w:szCs w:val="34"/>
          <w:lang w:val="en-US"/>
        </w:rPr>
        <w:t>2.</w:t>
      </w:r>
      <w:r>
        <w:rPr>
          <w:rFonts w:hint="eastAsia" w:ascii="仿宋_GB2312" w:hAnsi="仿宋_GB2312" w:eastAsia="仿宋_GB2312" w:cs="仿宋_GB2312"/>
          <w:b/>
          <w:bCs/>
          <w:sz w:val="34"/>
          <w:szCs w:val="34"/>
        </w:rPr>
        <w:t>高速沿线占道经营专项治理活动</w:t>
      </w:r>
    </w:p>
    <w:p w14:paraId="7F0A05A8">
      <w:pPr>
        <w:keepNext w:val="0"/>
        <w:keepLines w:val="0"/>
        <w:pageBreakBefore w:val="0"/>
        <w:widowControl w:val="0"/>
        <w:kinsoku/>
        <w:wordWrap/>
        <w:overflowPunct/>
        <w:topLinePunct w:val="0"/>
        <w:autoSpaceDE/>
        <w:autoSpaceDN/>
        <w:bidi w:val="0"/>
        <w:adjustRightInd/>
        <w:snapToGrid/>
        <w:spacing w:line="600" w:lineRule="exact"/>
        <w:ind w:left="0" w:firstLine="680" w:firstLineChars="200"/>
        <w:jc w:val="both"/>
        <w:textAlignment w:val="auto"/>
        <w:rPr>
          <w:rFonts w:hint="eastAsia" w:ascii="仿宋_GB2312" w:hAnsi="仿宋_GB2312" w:eastAsia="仿宋_GB2312" w:cs="仿宋_GB2312"/>
          <w:color w:val="333333"/>
          <w:kern w:val="0"/>
          <w:sz w:val="34"/>
          <w:szCs w:val="34"/>
        </w:rPr>
      </w:pPr>
      <w:r>
        <w:rPr>
          <w:rFonts w:hint="eastAsia" w:ascii="仿宋_GB2312" w:hAnsi="仿宋_GB2312" w:eastAsia="仿宋_GB2312" w:cs="仿宋_GB2312"/>
          <w:sz w:val="34"/>
          <w:szCs w:val="34"/>
        </w:rPr>
        <w:t>大沽街综合执法大队突出抓好部门联动，联合</w:t>
      </w:r>
      <w:r>
        <w:rPr>
          <w:rFonts w:hint="eastAsia" w:ascii="仿宋_GB2312" w:hAnsi="仿宋_GB2312" w:eastAsia="仿宋_GB2312" w:cs="仿宋_GB2312"/>
          <w:color w:val="333333"/>
          <w:kern w:val="0"/>
          <w:sz w:val="34"/>
          <w:szCs w:val="34"/>
        </w:rPr>
        <w:t>高速执法支队、</w:t>
      </w:r>
      <w:r>
        <w:rPr>
          <w:rFonts w:hint="eastAsia" w:ascii="仿宋_GB2312" w:hAnsi="仿宋_GB2312" w:eastAsia="仿宋_GB2312" w:cs="仿宋_GB2312"/>
          <w:color w:val="333333"/>
          <w:kern w:val="0"/>
          <w:sz w:val="34"/>
          <w:szCs w:val="34"/>
          <w:lang w:eastAsia="zh-CN"/>
        </w:rPr>
        <w:t>公安、交管</w:t>
      </w:r>
      <w:r>
        <w:rPr>
          <w:rFonts w:hint="eastAsia" w:ascii="仿宋_GB2312" w:hAnsi="仿宋_GB2312" w:eastAsia="仿宋_GB2312" w:cs="仿宋_GB2312"/>
          <w:sz w:val="34"/>
          <w:szCs w:val="34"/>
        </w:rPr>
        <w:t>等部门开展了多次针对津晋高速沿线修车补胎、流动餐车等占道经营行为的专项治理活动。</w:t>
      </w:r>
      <w:r>
        <w:rPr>
          <w:rFonts w:hint="eastAsia" w:ascii="仿宋_GB2312" w:hAnsi="仿宋_GB2312" w:eastAsia="仿宋_GB2312" w:cs="仿宋_GB2312"/>
          <w:color w:val="333333"/>
          <w:kern w:val="0"/>
          <w:sz w:val="34"/>
          <w:szCs w:val="34"/>
        </w:rPr>
        <w:t>按照“统筹兼顾、突出重点、突破难点”的原则，聚焦重点路段、重点点位，多点发力，在加强法律法规宣传教育的同时依法依规严厉查处，有效净化了市容环境，消除了安全隐患，受到群众的赞同与支持。</w:t>
      </w:r>
    </w:p>
    <w:p w14:paraId="56538646">
      <w:pPr>
        <w:keepNext w:val="0"/>
        <w:keepLines w:val="0"/>
        <w:pageBreakBefore w:val="0"/>
        <w:widowControl w:val="0"/>
        <w:kinsoku/>
        <w:wordWrap/>
        <w:topLinePunct w:val="0"/>
        <w:bidi w:val="0"/>
        <w:spacing w:line="600" w:lineRule="exact"/>
        <w:ind w:left="0" w:firstLine="683" w:firstLineChars="200"/>
        <w:textAlignment w:val="auto"/>
        <w:rPr>
          <w:rFonts w:hint="eastAsia" w:ascii="仿宋_GB2312" w:hAnsi="仿宋_GB2312" w:eastAsia="仿宋_GB2312" w:cs="仿宋_GB2312"/>
          <w:b/>
          <w:bCs/>
          <w:sz w:val="34"/>
          <w:szCs w:val="34"/>
        </w:rPr>
      </w:pPr>
      <w:r>
        <w:rPr>
          <w:rFonts w:hint="eastAsia" w:ascii="仿宋_GB2312" w:hAnsi="仿宋_GB2312" w:eastAsia="仿宋_GB2312" w:cs="仿宋_GB2312"/>
          <w:b/>
          <w:bCs/>
          <w:sz w:val="34"/>
          <w:szCs w:val="34"/>
          <w:lang w:val="en-US" w:eastAsia="zh-CN"/>
        </w:rPr>
        <w:t>3.市容环境清整专项行动</w:t>
      </w:r>
    </w:p>
    <w:p w14:paraId="072D1A25">
      <w:pPr>
        <w:pStyle w:val="2"/>
        <w:keepNext w:val="0"/>
        <w:keepLines w:val="0"/>
        <w:pageBreakBefore w:val="0"/>
        <w:widowControl w:val="0"/>
        <w:numPr>
          <w:ilvl w:val="0"/>
          <w:numId w:val="0"/>
        </w:numPr>
        <w:kinsoku/>
        <w:wordWrap/>
        <w:overflowPunct w:val="0"/>
        <w:topLinePunct w:val="0"/>
        <w:autoSpaceDE w:val="0"/>
        <w:autoSpaceDN w:val="0"/>
        <w:bidi w:val="0"/>
        <w:adjustRightInd w:val="0"/>
        <w:snapToGrid w:val="0"/>
        <w:spacing w:after="0" w:line="600" w:lineRule="exact"/>
        <w:ind w:left="0" w:firstLine="680" w:firstLineChars="200"/>
        <w:jc w:val="both"/>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rPr>
        <w:t>大沽街综合执法大队</w:t>
      </w:r>
      <w:r>
        <w:rPr>
          <w:rFonts w:hint="eastAsia" w:ascii="仿宋_GB2312" w:hAnsi="仿宋_GB2312" w:eastAsia="仿宋_GB2312" w:cs="仿宋_GB2312"/>
          <w:sz w:val="34"/>
          <w:szCs w:val="34"/>
          <w:lang w:eastAsia="zh-CN"/>
        </w:rPr>
        <w:t>以卫生城市复审、文明城区建设标准为出发点</w:t>
      </w:r>
      <w:r>
        <w:rPr>
          <w:rFonts w:hint="eastAsia" w:ascii="仿宋_GB2312" w:hAnsi="仿宋_GB2312" w:eastAsia="仿宋_GB2312" w:cs="仿宋_GB2312"/>
          <w:sz w:val="34"/>
          <w:szCs w:val="34"/>
        </w:rPr>
        <w:t>，</w:t>
      </w:r>
      <w:r>
        <w:rPr>
          <w:rFonts w:hint="eastAsia" w:ascii="仿宋_GB2312" w:hAnsi="仿宋_GB2312" w:eastAsia="仿宋_GB2312" w:cs="仿宋_GB2312"/>
          <w:sz w:val="34"/>
          <w:szCs w:val="34"/>
          <w:lang w:eastAsia="zh-CN"/>
        </w:rPr>
        <w:t>根据街工委、办事处的部署安排，执法大队</w:t>
      </w:r>
      <w:r>
        <w:rPr>
          <w:rFonts w:hint="eastAsia" w:ascii="仿宋_GB2312" w:hAnsi="仿宋_GB2312" w:eastAsia="仿宋_GB2312" w:cs="仿宋_GB2312"/>
          <w:color w:val="000000"/>
          <w:sz w:val="34"/>
          <w:szCs w:val="34"/>
        </w:rPr>
        <w:t>主动作为、多措并举，</w:t>
      </w:r>
      <w:r>
        <w:rPr>
          <w:rFonts w:hint="eastAsia" w:ascii="仿宋_GB2312" w:hAnsi="仿宋_GB2312" w:eastAsia="仿宋_GB2312" w:cs="仿宋_GB2312"/>
          <w:sz w:val="34"/>
          <w:szCs w:val="34"/>
        </w:rPr>
        <w:t>集中力量开展</w:t>
      </w:r>
      <w:r>
        <w:rPr>
          <w:rFonts w:hint="eastAsia" w:ascii="仿宋_GB2312" w:hAnsi="仿宋_GB2312" w:eastAsia="仿宋_GB2312" w:cs="仿宋_GB2312"/>
          <w:sz w:val="34"/>
          <w:szCs w:val="34"/>
          <w:lang w:eastAsia="zh-CN"/>
        </w:rPr>
        <w:t>季节性</w:t>
      </w:r>
      <w:r>
        <w:rPr>
          <w:rFonts w:hint="eastAsia" w:ascii="仿宋_GB2312" w:hAnsi="仿宋_GB2312" w:eastAsia="仿宋_GB2312" w:cs="仿宋_GB2312"/>
          <w:sz w:val="34"/>
          <w:szCs w:val="34"/>
        </w:rPr>
        <w:t>环境卫生大清整专项行动，切实改善城区市容环境秩序，给居民创造一个干净、整洁、优美、有序的城市环境。</w:t>
      </w:r>
      <w:r>
        <w:rPr>
          <w:rFonts w:hint="eastAsia" w:ascii="仿宋_GB2312" w:hAnsi="仿宋_GB2312" w:eastAsia="仿宋_GB2312" w:cs="仿宋_GB2312"/>
          <w:sz w:val="34"/>
          <w:szCs w:val="34"/>
          <w:lang w:eastAsia="zh-CN"/>
        </w:rPr>
        <w:t>今年以来，对</w:t>
      </w:r>
      <w:r>
        <w:rPr>
          <w:rFonts w:hint="eastAsia" w:ascii="仿宋_GB2312" w:hAnsi="仿宋_GB2312" w:eastAsia="仿宋_GB2312" w:cs="仿宋_GB2312"/>
          <w:sz w:val="34"/>
          <w:szCs w:val="34"/>
          <w:lang w:val="en-US" w:eastAsia="zh-CN"/>
        </w:rPr>
        <w:t>石油商贸街、东沽市场、河南路等重点点位进行环境秩序规范管理，加大巡查力度对违规摆摊设点行为进行集中整治，对沿街商铺的店外经营、乱堆乱放行为，执法人员逐一劝导并协助清理，规范经营秩序，提升街道整体形象。</w:t>
      </w:r>
    </w:p>
    <w:p w14:paraId="357FF2CE">
      <w:pPr>
        <w:pStyle w:val="2"/>
        <w:keepNext w:val="0"/>
        <w:keepLines w:val="0"/>
        <w:pageBreakBefore w:val="0"/>
        <w:widowControl w:val="0"/>
        <w:numPr>
          <w:ilvl w:val="0"/>
          <w:numId w:val="0"/>
        </w:numPr>
        <w:kinsoku/>
        <w:wordWrap/>
        <w:overflowPunct w:val="0"/>
        <w:topLinePunct w:val="0"/>
        <w:autoSpaceDE w:val="0"/>
        <w:autoSpaceDN w:val="0"/>
        <w:bidi w:val="0"/>
        <w:adjustRightInd w:val="0"/>
        <w:snapToGrid w:val="0"/>
        <w:spacing w:after="0" w:line="600" w:lineRule="exact"/>
        <w:ind w:left="0" w:firstLine="683" w:firstLineChars="200"/>
        <w:jc w:val="both"/>
        <w:textAlignment w:val="auto"/>
        <w:rPr>
          <w:rFonts w:hint="eastAsia" w:ascii="仿宋_GB2312" w:hAnsi="仿宋_GB2312" w:eastAsia="仿宋_GB2312" w:cs="仿宋_GB2312"/>
          <w:b/>
          <w:bCs/>
          <w:kern w:val="2"/>
          <w:sz w:val="34"/>
          <w:szCs w:val="34"/>
          <w:lang w:val="en-US" w:eastAsia="zh-CN" w:bidi="ar-SA"/>
        </w:rPr>
      </w:pPr>
      <w:r>
        <w:rPr>
          <w:rFonts w:hint="eastAsia" w:ascii="仿宋_GB2312" w:hAnsi="仿宋_GB2312" w:eastAsia="仿宋_GB2312" w:cs="仿宋_GB2312"/>
          <w:b/>
          <w:bCs/>
          <w:kern w:val="2"/>
          <w:sz w:val="34"/>
          <w:szCs w:val="34"/>
          <w:lang w:val="en-US" w:eastAsia="zh-CN" w:bidi="ar-SA"/>
        </w:rPr>
        <w:t>4.食品安全联合治理行动</w:t>
      </w:r>
    </w:p>
    <w:p w14:paraId="77D37B62">
      <w:pPr>
        <w:keepNext w:val="0"/>
        <w:keepLines w:val="0"/>
        <w:pageBreakBefore w:val="0"/>
        <w:widowControl w:val="0"/>
        <w:kinsoku/>
        <w:wordWrap/>
        <w:topLinePunct w:val="0"/>
        <w:bidi w:val="0"/>
        <w:spacing w:line="600" w:lineRule="exact"/>
        <w:ind w:left="0"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lang w:val="en-US" w:eastAsia="zh-CN"/>
        </w:rPr>
        <w:t>大沽</w:t>
      </w:r>
      <w:r>
        <w:rPr>
          <w:rFonts w:hint="eastAsia" w:ascii="仿宋_GB2312" w:hAnsi="仿宋_GB2312" w:eastAsia="仿宋_GB2312" w:cs="仿宋_GB2312"/>
          <w:kern w:val="2"/>
          <w:sz w:val="34"/>
          <w:szCs w:val="34"/>
          <w:lang w:val="en-US" w:eastAsia="zh-CN" w:bidi="ar-SA"/>
        </w:rPr>
        <w:t>街综合执法大队与市场监管局携手开展的联合执法行动，聚焦海洋馆周边与石油新村小区的治理，形成高效的执法合力，有力地打击了违法违规行为。在海洋馆周边，联合执法队伍加强巡逻频次，对违规占路的摊贩进行耐心劝导与严格执法，引导其进入正规市场或指定区域经营，确保游客通行顺畅，周边环境</w:t>
      </w:r>
      <w:r>
        <w:rPr>
          <w:rFonts w:hint="eastAsia" w:ascii="仿宋_GB2312" w:hAnsi="仿宋_GB2312" w:eastAsia="仿宋_GB2312" w:cs="仿宋_GB2312"/>
          <w:sz w:val="34"/>
          <w:szCs w:val="34"/>
          <w:lang w:val="en-US" w:eastAsia="zh-CN"/>
        </w:rPr>
        <w:t>整洁有序。针对石油新村小区的民改商店铺，检查重点落在经营资质与食品安全方面。执法人员仔细审查店铺证照，排查超范围经营等违法行为，对食品的储存、加工、销售环节进行严格检查，确保所售食品来源正规、质量合格，守护居民“舌尖上的安全”。</w:t>
      </w:r>
    </w:p>
    <w:p w14:paraId="50D793A4">
      <w:pPr>
        <w:keepNext w:val="0"/>
        <w:keepLines w:val="0"/>
        <w:pageBreakBefore w:val="0"/>
        <w:widowControl w:val="0"/>
        <w:kinsoku/>
        <w:wordWrap/>
        <w:topLinePunct w:val="0"/>
        <w:bidi w:val="0"/>
        <w:spacing w:line="600" w:lineRule="exact"/>
        <w:ind w:left="0" w:firstLine="683" w:firstLineChars="200"/>
        <w:textAlignment w:val="auto"/>
        <w:rPr>
          <w:rFonts w:hint="eastAsia" w:ascii="楷体_GB2312" w:hAnsi="楷体_GB2312" w:eastAsia="楷体_GB2312" w:cs="楷体_GB2312"/>
          <w:b/>
          <w:bCs/>
          <w:sz w:val="34"/>
          <w:szCs w:val="34"/>
        </w:rPr>
      </w:pPr>
      <w:r>
        <w:rPr>
          <w:rFonts w:hint="eastAsia" w:ascii="楷体_GB2312" w:hAnsi="楷体_GB2312" w:eastAsia="楷体_GB2312" w:cs="楷体_GB2312"/>
          <w:b/>
          <w:bCs/>
          <w:sz w:val="34"/>
          <w:szCs w:val="34"/>
          <w:lang w:eastAsia="zh-CN"/>
        </w:rPr>
        <w:t>（三）</w:t>
      </w:r>
      <w:r>
        <w:rPr>
          <w:rFonts w:hint="eastAsia" w:ascii="楷体_GB2312" w:hAnsi="楷体_GB2312" w:eastAsia="楷体_GB2312" w:cs="楷体_GB2312"/>
          <w:b/>
          <w:bCs/>
          <w:sz w:val="34"/>
          <w:szCs w:val="34"/>
        </w:rPr>
        <w:t>执法方式创新情况</w:t>
      </w:r>
    </w:p>
    <w:p w14:paraId="759990A9">
      <w:pPr>
        <w:keepNext w:val="0"/>
        <w:keepLines w:val="0"/>
        <w:pageBreakBefore w:val="0"/>
        <w:widowControl w:val="0"/>
        <w:numPr>
          <w:ilvl w:val="0"/>
          <w:numId w:val="0"/>
        </w:numPr>
        <w:kinsoku/>
        <w:wordWrap/>
        <w:topLinePunct w:val="0"/>
        <w:bidi w:val="0"/>
        <w:spacing w:line="600" w:lineRule="exact"/>
        <w:ind w:left="0" w:leftChars="0" w:firstLine="683" w:firstLineChars="200"/>
        <w:textAlignment w:val="auto"/>
        <w:rPr>
          <w:rFonts w:hint="eastAsia" w:ascii="仿宋_GB2312" w:hAnsi="仿宋_GB2312" w:eastAsia="仿宋_GB2312" w:cs="仿宋_GB2312"/>
          <w:b/>
          <w:bCs/>
          <w:sz w:val="34"/>
          <w:szCs w:val="34"/>
          <w:lang w:val="en-US" w:eastAsia="zh-CN"/>
        </w:rPr>
      </w:pPr>
      <w:r>
        <w:rPr>
          <w:rFonts w:hint="eastAsia" w:ascii="仿宋_GB2312" w:hAnsi="仿宋_GB2312" w:eastAsia="仿宋_GB2312" w:cs="仿宋_GB2312"/>
          <w:b/>
          <w:bCs/>
          <w:sz w:val="34"/>
          <w:szCs w:val="34"/>
          <w:lang w:val="en-US" w:eastAsia="zh-CN"/>
        </w:rPr>
        <w:t>1.提速减负，推行一查多效新模式</w:t>
      </w:r>
    </w:p>
    <w:p w14:paraId="39E8FF37">
      <w:pPr>
        <w:keepNext w:val="0"/>
        <w:keepLines w:val="0"/>
        <w:pageBreakBefore w:val="0"/>
        <w:widowControl w:val="0"/>
        <w:numPr>
          <w:ilvl w:val="0"/>
          <w:numId w:val="0"/>
        </w:numPr>
        <w:kinsoku/>
        <w:wordWrap/>
        <w:topLinePunct w:val="0"/>
        <w:bidi w:val="0"/>
        <w:spacing w:line="600" w:lineRule="exact"/>
        <w:ind w:left="0" w:firstLine="680"/>
        <w:textAlignment w:val="auto"/>
        <w:rPr>
          <w:rFonts w:hint="eastAsia" w:ascii="仿宋_GB2312" w:hAnsi="仿宋_GB2312" w:eastAsia="仿宋_GB2312" w:cs="仿宋_GB2312"/>
          <w:kern w:val="2"/>
          <w:sz w:val="34"/>
          <w:szCs w:val="34"/>
          <w:lang w:val="en-US" w:eastAsia="zh-CN" w:bidi="ar-SA"/>
        </w:rPr>
      </w:pPr>
      <w:r>
        <w:rPr>
          <w:rFonts w:hint="eastAsia" w:ascii="仿宋_GB2312" w:hAnsi="仿宋_GB2312" w:eastAsia="仿宋_GB2312" w:cs="仿宋_GB2312"/>
          <w:kern w:val="2"/>
          <w:sz w:val="34"/>
          <w:szCs w:val="34"/>
          <w:lang w:val="en-US" w:eastAsia="zh-CN" w:bidi="ar-SA"/>
        </w:rPr>
        <w:t>推动各网格门前三包与安全生产治本攻坚三年专项行动检查工作结合开展，提高工作效率，减少干扰商户经营。综合执法大队针对辖区商户企业安全生产、门前三包、餐饮油烟、广告牌匾、垃圾分类等多个方面开展进一次门、查多项事检查活动，根据检查情况对经营主体进行基础分类，实施差异化管理，合理确定检查比例和频次。实现一次性溯本清源，有效保障监督执法的全面性，同时减轻商户企业负担。</w:t>
      </w:r>
    </w:p>
    <w:p w14:paraId="0E8081FE">
      <w:pPr>
        <w:keepNext w:val="0"/>
        <w:keepLines w:val="0"/>
        <w:pageBreakBefore w:val="0"/>
        <w:widowControl w:val="0"/>
        <w:numPr>
          <w:ilvl w:val="0"/>
          <w:numId w:val="0"/>
        </w:numPr>
        <w:kinsoku/>
        <w:wordWrap/>
        <w:topLinePunct w:val="0"/>
        <w:bidi w:val="0"/>
        <w:spacing w:line="600" w:lineRule="exact"/>
        <w:ind w:left="0" w:leftChars="0" w:firstLine="683" w:firstLineChars="200"/>
        <w:textAlignment w:val="auto"/>
        <w:rPr>
          <w:rFonts w:hint="eastAsia" w:ascii="仿宋_GB2312" w:hAnsi="仿宋_GB2312" w:eastAsia="仿宋_GB2312" w:cs="仿宋_GB2312"/>
          <w:b/>
          <w:bCs/>
          <w:sz w:val="34"/>
          <w:szCs w:val="34"/>
          <w:lang w:val="en-US" w:eastAsia="zh-CN"/>
        </w:rPr>
      </w:pPr>
      <w:r>
        <w:rPr>
          <w:rFonts w:hint="eastAsia" w:ascii="仿宋_GB2312" w:hAnsi="仿宋_GB2312" w:eastAsia="仿宋_GB2312" w:cs="仿宋_GB2312"/>
          <w:b/>
          <w:bCs/>
          <w:sz w:val="34"/>
          <w:szCs w:val="34"/>
          <w:lang w:val="en-US" w:eastAsia="zh-CN"/>
        </w:rPr>
        <w:t>2.凝心聚力，推进“网格+社区”联动模式</w:t>
      </w:r>
    </w:p>
    <w:p w14:paraId="0A05F4B9">
      <w:pPr>
        <w:keepNext w:val="0"/>
        <w:keepLines w:val="0"/>
        <w:pageBreakBefore w:val="0"/>
        <w:widowControl w:val="0"/>
        <w:numPr>
          <w:ilvl w:val="0"/>
          <w:numId w:val="0"/>
        </w:numPr>
        <w:kinsoku/>
        <w:wordWrap/>
        <w:topLinePunct w:val="0"/>
        <w:bidi w:val="0"/>
        <w:spacing w:line="600" w:lineRule="exact"/>
        <w:ind w:left="0"/>
        <w:textAlignment w:val="auto"/>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 xml:space="preserve">    执法大队扎实推进新型执法模式，促使综合执法根植社区、融入社区、服务社区。大沽街道综合执法大队结合工作实际，采取“1（社区）+1（网格）+1（队员）”的工作模式，与社区、物业等多责任主体协作发力，打好共建共治组合拳，推进“网格+社区”联动执法工作模式，与1</w:t>
      </w:r>
      <w:r>
        <w:rPr>
          <w:rFonts w:hint="eastAsia" w:ascii="仿宋_GB2312" w:hAnsi="仿宋_GB2312" w:eastAsia="仿宋_GB2312" w:cs="仿宋_GB2312"/>
          <w:sz w:val="34"/>
          <w:szCs w:val="34"/>
          <w:lang w:eastAsia="zh-CN"/>
        </w:rPr>
        <w:t>7</w:t>
      </w:r>
      <w:r>
        <w:rPr>
          <w:rFonts w:hint="eastAsia" w:ascii="仿宋_GB2312" w:hAnsi="仿宋_GB2312" w:eastAsia="仿宋_GB2312" w:cs="仿宋_GB2312"/>
          <w:sz w:val="34"/>
          <w:szCs w:val="34"/>
          <w:lang w:val="en-US" w:eastAsia="zh-CN"/>
        </w:rPr>
        <w:t>个社区书记面对面进行交谈，建立社区联络群，统筹推进辖区内市容环境、违法建设、门前三包、建筑垃圾运输、生活垃圾分类、文明养犬等城市管理多个领域服务，把“宣传、管理、执法、服务”深入到社区，提升了社区城市管理问题的发现率、处置率、居民满意率，更迅速、高效地解决难点问题。</w:t>
      </w:r>
    </w:p>
    <w:p w14:paraId="19A5C9F2">
      <w:pPr>
        <w:keepNext w:val="0"/>
        <w:keepLines w:val="0"/>
        <w:pageBreakBefore w:val="0"/>
        <w:widowControl w:val="0"/>
        <w:numPr>
          <w:ilvl w:val="0"/>
          <w:numId w:val="0"/>
        </w:numPr>
        <w:kinsoku/>
        <w:wordWrap/>
        <w:topLinePunct w:val="0"/>
        <w:bidi w:val="0"/>
        <w:spacing w:line="600" w:lineRule="exact"/>
        <w:ind w:left="0" w:leftChars="0" w:firstLine="683" w:firstLineChars="200"/>
        <w:textAlignment w:val="auto"/>
        <w:rPr>
          <w:rFonts w:hint="eastAsia" w:ascii="仿宋_GB2312" w:hAnsi="仿宋_GB2312" w:eastAsia="仿宋_GB2312" w:cs="仿宋_GB2312"/>
          <w:b/>
          <w:bCs/>
          <w:sz w:val="34"/>
          <w:szCs w:val="34"/>
          <w:lang w:val="en-US" w:eastAsia="zh-CN"/>
        </w:rPr>
      </w:pPr>
      <w:r>
        <w:rPr>
          <w:rFonts w:hint="eastAsia" w:ascii="仿宋_GB2312" w:hAnsi="仿宋_GB2312" w:eastAsia="仿宋_GB2312" w:cs="仿宋_GB2312"/>
          <w:b/>
          <w:bCs/>
          <w:sz w:val="34"/>
          <w:szCs w:val="34"/>
          <w:lang w:val="en-US" w:eastAsia="zh-CN"/>
        </w:rPr>
        <w:t>3.智慧执法，打造智能城市管理新模式</w:t>
      </w:r>
    </w:p>
    <w:p w14:paraId="42FD5253">
      <w:pPr>
        <w:keepNext w:val="0"/>
        <w:keepLines w:val="0"/>
        <w:pageBreakBefore w:val="0"/>
        <w:widowControl w:val="0"/>
        <w:kinsoku/>
        <w:wordWrap/>
        <w:topLinePunct w:val="0"/>
        <w:bidi w:val="0"/>
        <w:spacing w:line="600" w:lineRule="exact"/>
        <w:ind w:left="0" w:firstLine="680"/>
        <w:textAlignment w:val="auto"/>
        <w:rPr>
          <w:rFonts w:hint="eastAsia" w:ascii="仿宋_GB2312" w:hAnsi="仿宋_GB2312" w:eastAsia="仿宋_GB2312" w:cs="仿宋_GB2312"/>
          <w:sz w:val="34"/>
          <w:szCs w:val="34"/>
          <w:lang w:val="en" w:eastAsia="zh-CN"/>
        </w:rPr>
      </w:pPr>
      <w:r>
        <w:rPr>
          <w:rFonts w:hint="eastAsia" w:ascii="仿宋_GB2312" w:hAnsi="仿宋_GB2312" w:eastAsia="仿宋_GB2312" w:cs="仿宋_GB2312"/>
          <w:sz w:val="34"/>
          <w:szCs w:val="34"/>
          <w:lang w:val="en-US" w:eastAsia="zh-CN"/>
        </w:rPr>
        <w:t>执法大队不断拓展非现场监管手段，将无人机与日常执法、夜间巡查等工作深度结合，创新执法方式，提高执法能力，打造立体执法新模式。多次组织无人机巡查、现场勘察，治理各类占路经营、乱倒垃圾行为，立案11起，罚款3750元。</w:t>
      </w:r>
    </w:p>
    <w:p w14:paraId="180C01C2">
      <w:pPr>
        <w:keepNext w:val="0"/>
        <w:keepLines w:val="0"/>
        <w:pageBreakBefore w:val="0"/>
        <w:widowControl w:val="0"/>
        <w:kinsoku/>
        <w:wordWrap/>
        <w:topLinePunct w:val="0"/>
        <w:bidi w:val="0"/>
        <w:spacing w:line="600" w:lineRule="exact"/>
        <w:ind w:left="0" w:firstLine="680" w:firstLineChars="200"/>
        <w:textAlignment w:val="auto"/>
        <w:rPr>
          <w:rFonts w:hint="eastAsia" w:ascii="仿宋_GB2312" w:hAnsi="仿宋_GB2312" w:eastAsia="仿宋_GB2312" w:cs="仿宋_GB2312"/>
          <w:color w:val="000000" w:themeColor="text1"/>
          <w:sz w:val="34"/>
          <w:szCs w:val="34"/>
        </w:rPr>
      </w:pPr>
      <w:r>
        <w:rPr>
          <w:rFonts w:hint="eastAsia" w:ascii="仿宋_GB2312" w:hAnsi="仿宋_GB2312" w:eastAsia="仿宋_GB2312" w:cs="仿宋_GB2312"/>
          <w:color w:val="000000" w:themeColor="text1"/>
          <w:sz w:val="34"/>
          <w:szCs w:val="34"/>
        </w:rPr>
        <w:t>全面落实“谁执法谁普法”责任。在日常执法中向执法对象宣传相关领域法律法规，对违法情节轻微的当事人予以现场规范、批评教育、指导约谈，并有针对性的开展以案释法，引导当事人知法懂法、自觉守法。在实施行政处罚时，在行政处罚决定书中写明违法行为、处罚依据、处罚内容，并依法告知行政相对人享有的各项权利，提高执法说服力和公信力。</w:t>
      </w:r>
    </w:p>
    <w:p w14:paraId="08553ACC">
      <w:pPr>
        <w:pStyle w:val="2"/>
        <w:keepNext w:val="0"/>
        <w:keepLines w:val="0"/>
        <w:pageBreakBefore w:val="0"/>
        <w:widowControl w:val="0"/>
        <w:kinsoku/>
        <w:wordWrap/>
        <w:topLinePunct w:val="0"/>
        <w:bidi w:val="0"/>
        <w:spacing w:line="600" w:lineRule="exact"/>
        <w:ind w:left="0" w:firstLine="683" w:firstLineChars="200"/>
        <w:textAlignment w:val="auto"/>
        <w:rPr>
          <w:rFonts w:hint="eastAsia" w:ascii="楷体_GB2312" w:hAnsi="楷体_GB2312" w:eastAsia="楷体_GB2312" w:cs="楷体_GB2312"/>
          <w:b/>
          <w:bCs/>
          <w:kern w:val="2"/>
          <w:sz w:val="34"/>
          <w:szCs w:val="34"/>
          <w:lang w:val="en-US" w:eastAsia="zh-CN" w:bidi="ar-SA"/>
        </w:rPr>
      </w:pPr>
      <w:r>
        <w:rPr>
          <w:rFonts w:hint="eastAsia" w:ascii="楷体_GB2312" w:hAnsi="楷体_GB2312" w:eastAsia="楷体_GB2312" w:cs="楷体_GB2312"/>
          <w:b/>
          <w:bCs/>
          <w:kern w:val="2"/>
          <w:sz w:val="34"/>
          <w:szCs w:val="34"/>
          <w:lang w:val="en-US" w:eastAsia="zh-CN" w:bidi="ar-SA"/>
        </w:rPr>
        <w:t>（四）执法队伍建设情况</w:t>
      </w:r>
    </w:p>
    <w:p w14:paraId="55237CC3">
      <w:pPr>
        <w:pStyle w:val="2"/>
        <w:keepNext w:val="0"/>
        <w:keepLines w:val="0"/>
        <w:pageBreakBefore w:val="0"/>
        <w:widowControl w:val="0"/>
        <w:kinsoku/>
        <w:wordWrap/>
        <w:topLinePunct w:val="0"/>
        <w:bidi w:val="0"/>
        <w:spacing w:line="600" w:lineRule="exact"/>
        <w:ind w:left="0" w:firstLine="680"/>
        <w:textAlignment w:val="auto"/>
        <w:rPr>
          <w:rFonts w:hint="eastAsia" w:ascii="仿宋_GB2312" w:hAnsi="仿宋_GB2312" w:eastAsia="仿宋_GB2312" w:cs="仿宋_GB2312"/>
          <w:kern w:val="2"/>
          <w:sz w:val="34"/>
          <w:szCs w:val="34"/>
          <w:lang w:val="en-US" w:eastAsia="zh-CN" w:bidi="ar-SA"/>
        </w:rPr>
      </w:pPr>
      <w:r>
        <w:rPr>
          <w:rFonts w:hint="eastAsia" w:ascii="仿宋_GB2312" w:hAnsi="仿宋_GB2312" w:eastAsia="仿宋_GB2312" w:cs="仿宋_GB2312"/>
          <w:kern w:val="2"/>
          <w:sz w:val="34"/>
          <w:szCs w:val="34"/>
          <w:lang w:val="en-US" w:eastAsia="zh-CN" w:bidi="ar-SA"/>
        </w:rPr>
        <w:t>大沽街综合执法大队始终将队伍建设视为提升执法水平与服务质量的关键。通过多维度的举措，打造一支执法严格、纪律严明、作风严谨的现代化执法队伍。</w:t>
      </w:r>
    </w:p>
    <w:p w14:paraId="0716B868">
      <w:pPr>
        <w:pStyle w:val="2"/>
        <w:keepNext w:val="0"/>
        <w:keepLines w:val="0"/>
        <w:pageBreakBefore w:val="0"/>
        <w:widowControl w:val="0"/>
        <w:kinsoku/>
        <w:wordWrap/>
        <w:topLinePunct w:val="0"/>
        <w:bidi w:val="0"/>
        <w:spacing w:line="600" w:lineRule="exact"/>
        <w:ind w:left="0" w:firstLine="68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为持续提升队员的业务能力，大队制定了详尽的年度行政执法培训计划</w:t>
      </w:r>
      <w:r>
        <w:rPr>
          <w:rFonts w:hint="eastAsia" w:ascii="仿宋_GB2312" w:hAnsi="仿宋_GB2312" w:eastAsia="仿宋_GB2312" w:cs="仿宋_GB2312"/>
          <w:sz w:val="34"/>
          <w:szCs w:val="34"/>
          <w:lang w:eastAsia="zh-CN"/>
        </w:rPr>
        <w:t>，</w:t>
      </w:r>
      <w:r>
        <w:rPr>
          <w:rFonts w:hint="eastAsia" w:ascii="仿宋_GB2312" w:hAnsi="仿宋_GB2312" w:eastAsia="仿宋_GB2312" w:cs="仿宋_GB2312"/>
          <w:sz w:val="34"/>
          <w:szCs w:val="34"/>
        </w:rPr>
        <w:t>培训内容涵盖法律法规解读、执法程序规范、应急处突演练以及文明执法技巧等多个板块。</w:t>
      </w:r>
      <w:r>
        <w:rPr>
          <w:rFonts w:hint="eastAsia" w:ascii="仿宋_GB2312" w:hAnsi="仿宋_GB2312" w:eastAsia="仿宋_GB2312" w:cs="仿宋_GB2312"/>
          <w:kern w:val="2"/>
          <w:sz w:val="34"/>
          <w:szCs w:val="34"/>
          <w:lang w:val="en-US" w:eastAsia="zh-CN" w:bidi="ar-SA"/>
        </w:rPr>
        <w:t>为提升执法人员的综合素质，多次邀请司法局专业人员指导工作，树立起良好的综合行政执法职业道德规范，逐步实现执法队伍三化建设目标，切实提高城市治理能力和治理水平。</w:t>
      </w:r>
      <w:r>
        <w:rPr>
          <w:rFonts w:hint="eastAsia" w:ascii="仿宋_GB2312" w:hAnsi="仿宋_GB2312" w:eastAsia="仿宋_GB2312" w:cs="仿宋_GB2312"/>
          <w:sz w:val="34"/>
          <w:szCs w:val="34"/>
        </w:rPr>
        <w:t>截至目前，已按计划完成了多项培训任务，有效提升了法律素养，确保每一项执法决定都有法可依。</w:t>
      </w:r>
    </w:p>
    <w:p w14:paraId="7F51DA17">
      <w:pPr>
        <w:keepNext w:val="0"/>
        <w:keepLines w:val="0"/>
        <w:pageBreakBefore w:val="0"/>
        <w:widowControl w:val="0"/>
        <w:kinsoku/>
        <w:wordWrap/>
        <w:topLinePunct w:val="0"/>
        <w:bidi w:val="0"/>
        <w:spacing w:line="600" w:lineRule="exact"/>
        <w:ind w:left="0" w:firstLine="640"/>
        <w:jc w:val="left"/>
        <w:textAlignment w:val="auto"/>
        <w:rPr>
          <w:rFonts w:hint="eastAsia" w:ascii="楷体_GB2312" w:hAnsi="楷体_GB2312" w:eastAsia="楷体_GB2312" w:cs="楷体_GB2312"/>
          <w:b/>
          <w:bCs/>
          <w:color w:val="FF0000"/>
          <w:kern w:val="2"/>
          <w:sz w:val="34"/>
          <w:szCs w:val="34"/>
          <w:lang w:val="en-US" w:eastAsia="zh-CN" w:bidi="ar-SA"/>
        </w:rPr>
      </w:pPr>
      <w:r>
        <w:rPr>
          <w:rFonts w:hint="eastAsia" w:ascii="楷体_GB2312" w:hAnsi="楷体_GB2312" w:eastAsia="楷体_GB2312" w:cs="楷体_GB2312"/>
          <w:b/>
          <w:bCs/>
          <w:kern w:val="2"/>
          <w:sz w:val="34"/>
          <w:szCs w:val="34"/>
          <w:lang w:val="en-US" w:eastAsia="zh-CN" w:bidi="ar-SA"/>
        </w:rPr>
        <w:t>（五）执法监督情况</w:t>
      </w:r>
    </w:p>
    <w:p w14:paraId="003E025F">
      <w:pPr>
        <w:keepNext w:val="0"/>
        <w:keepLines w:val="0"/>
        <w:pageBreakBefore w:val="0"/>
        <w:widowControl w:val="0"/>
        <w:kinsoku/>
        <w:wordWrap/>
        <w:topLinePunct w:val="0"/>
        <w:bidi w:val="0"/>
        <w:spacing w:line="600" w:lineRule="exact"/>
        <w:ind w:left="0" w:firstLine="680" w:firstLineChars="200"/>
        <w:textAlignment w:val="auto"/>
        <w:rPr>
          <w:rFonts w:hint="eastAsia" w:ascii="仿宋_GB2312" w:hAnsi="仿宋_GB2312" w:eastAsia="仿宋_GB2312" w:cs="仿宋_GB2312"/>
          <w:kern w:val="2"/>
          <w:sz w:val="34"/>
          <w:szCs w:val="34"/>
          <w:lang w:val="en-US" w:eastAsia="zh-CN" w:bidi="ar-SA"/>
        </w:rPr>
      </w:pPr>
      <w:r>
        <w:rPr>
          <w:rFonts w:hint="eastAsia" w:ascii="仿宋_GB2312" w:hAnsi="仿宋_GB2312" w:eastAsia="仿宋_GB2312" w:cs="仿宋_GB2312"/>
          <w:kern w:val="2"/>
          <w:sz w:val="34"/>
          <w:szCs w:val="34"/>
          <w:lang w:val="en-US" w:eastAsia="zh-CN" w:bidi="ar-SA"/>
        </w:rPr>
        <w:t>多渠道畅通执法监督举报渠道，大沽街道不断畅通社会监督渠道，公布举报电话、门户网站公开、复议渠道等，不断提高执法透明度。结合上级单位对执法案卷定期评查，大沽街道对本街道执法案卷不定期进行抽查，抽查问题及时反馈给执法部门。</w:t>
      </w:r>
    </w:p>
    <w:p w14:paraId="571E8127">
      <w:pPr>
        <w:keepNext w:val="0"/>
        <w:keepLines w:val="0"/>
        <w:pageBreakBefore w:val="0"/>
        <w:widowControl w:val="0"/>
        <w:kinsoku/>
        <w:wordWrap/>
        <w:topLinePunct w:val="0"/>
        <w:bidi w:val="0"/>
        <w:spacing w:line="600" w:lineRule="exact"/>
        <w:ind w:left="0"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三、存在问题</w:t>
      </w:r>
    </w:p>
    <w:p w14:paraId="72E19DEB">
      <w:pPr>
        <w:keepNext w:val="0"/>
        <w:keepLines w:val="0"/>
        <w:pageBreakBefore w:val="0"/>
        <w:widowControl w:val="0"/>
        <w:kinsoku/>
        <w:wordWrap/>
        <w:topLinePunct w:val="0"/>
        <w:bidi w:val="0"/>
        <w:spacing w:line="600" w:lineRule="exact"/>
        <w:ind w:left="0" w:firstLine="640"/>
        <w:jc w:val="left"/>
        <w:textAlignment w:val="auto"/>
        <w:rPr>
          <w:rFonts w:hint="eastAsia" w:ascii="仿宋_GB2312" w:hAnsi="仿宋_GB2312" w:eastAsia="仿宋_GB2312" w:cs="仿宋_GB2312"/>
          <w:b/>
          <w:bCs/>
          <w:kern w:val="0"/>
          <w:sz w:val="34"/>
          <w:szCs w:val="34"/>
          <w:shd w:val="clear" w:color="auto" w:fill="FFFFFF"/>
          <w:lang w:eastAsia="zh-CN"/>
        </w:rPr>
      </w:pPr>
      <w:r>
        <w:rPr>
          <w:rFonts w:hint="eastAsia" w:ascii="仿宋_GB2312" w:hAnsi="仿宋_GB2312" w:eastAsia="仿宋_GB2312" w:cs="仿宋_GB2312"/>
          <w:b/>
          <w:bCs/>
          <w:kern w:val="0"/>
          <w:sz w:val="34"/>
          <w:szCs w:val="34"/>
          <w:shd w:val="clear" w:color="auto" w:fill="FFFFFF"/>
          <w:lang w:eastAsia="zh-CN"/>
        </w:rPr>
        <w:t>1</w:t>
      </w:r>
      <w:r>
        <w:rPr>
          <w:rFonts w:hint="eastAsia" w:ascii="仿宋_GB2312" w:hAnsi="仿宋_GB2312" w:eastAsia="仿宋_GB2312" w:cs="仿宋_GB2312"/>
          <w:b/>
          <w:bCs/>
          <w:kern w:val="0"/>
          <w:sz w:val="34"/>
          <w:szCs w:val="34"/>
          <w:shd w:val="clear" w:color="auto" w:fill="FFFFFF"/>
          <w:lang w:val="en-US" w:eastAsia="zh-CN"/>
        </w:rPr>
        <w:t>.</w:t>
      </w:r>
      <w:r>
        <w:rPr>
          <w:rFonts w:hint="eastAsia" w:ascii="仿宋_GB2312" w:hAnsi="仿宋_GB2312" w:eastAsia="仿宋_GB2312" w:cs="仿宋_GB2312"/>
          <w:b/>
          <w:bCs/>
          <w:kern w:val="0"/>
          <w:sz w:val="34"/>
          <w:szCs w:val="34"/>
          <w:shd w:val="clear" w:color="auto" w:fill="FFFFFF"/>
          <w:lang w:eastAsia="zh-CN"/>
        </w:rPr>
        <w:t>执法质量</w:t>
      </w:r>
    </w:p>
    <w:p w14:paraId="5FDA62E7">
      <w:pPr>
        <w:pStyle w:val="2"/>
        <w:ind w:firstLine="680" w:firstLineChars="200"/>
        <w:rPr>
          <w:rFonts w:hint="eastAsia" w:ascii="仿宋_GB2312" w:hAnsi="仿宋_GB2312" w:eastAsia="仿宋_GB2312" w:cs="仿宋_GB2312"/>
          <w:kern w:val="0"/>
          <w:sz w:val="34"/>
          <w:szCs w:val="34"/>
          <w:shd w:val="clear" w:color="auto" w:fill="FFFFFF"/>
          <w:lang w:val="en-US" w:eastAsia="zh-CN" w:bidi="ar-SA"/>
        </w:rPr>
      </w:pPr>
      <w:r>
        <w:rPr>
          <w:rFonts w:hint="eastAsia" w:ascii="仿宋_GB2312" w:hAnsi="仿宋_GB2312" w:eastAsia="仿宋_GB2312" w:cs="仿宋_GB2312"/>
          <w:kern w:val="0"/>
          <w:sz w:val="34"/>
          <w:szCs w:val="34"/>
          <w:shd w:val="clear" w:color="auto" w:fill="FFFFFF"/>
          <w:lang w:val="en-US" w:eastAsia="zh-CN" w:bidi="ar-SA"/>
        </w:rPr>
        <w:t>部分执法人员对法律法规的理解和运用不够精准，在复杂案件处理中，法律条文的援引和解释存在偏差，导致执法依据不够充分确凿。辖区面积日常执法总量大，执法过程存在不确定性。</w:t>
      </w:r>
    </w:p>
    <w:p w14:paraId="67AB5AE4">
      <w:pPr>
        <w:keepNext w:val="0"/>
        <w:keepLines w:val="0"/>
        <w:pageBreakBefore w:val="0"/>
        <w:widowControl w:val="0"/>
        <w:kinsoku/>
        <w:wordWrap/>
        <w:topLinePunct w:val="0"/>
        <w:bidi w:val="0"/>
        <w:spacing w:line="600" w:lineRule="exact"/>
        <w:ind w:left="0" w:firstLine="640"/>
        <w:jc w:val="left"/>
        <w:textAlignment w:val="auto"/>
        <w:rPr>
          <w:rFonts w:hint="eastAsia" w:ascii="仿宋_GB2312" w:hAnsi="仿宋_GB2312" w:eastAsia="仿宋_GB2312" w:cs="仿宋_GB2312"/>
          <w:b/>
          <w:bCs/>
          <w:kern w:val="0"/>
          <w:sz w:val="34"/>
          <w:szCs w:val="34"/>
          <w:shd w:val="clear" w:color="auto" w:fill="FFFFFF"/>
          <w:lang w:eastAsia="zh-CN"/>
        </w:rPr>
      </w:pPr>
      <w:r>
        <w:rPr>
          <w:rFonts w:hint="eastAsia" w:ascii="仿宋_GB2312" w:hAnsi="仿宋_GB2312" w:eastAsia="仿宋_GB2312" w:cs="仿宋_GB2312"/>
          <w:b/>
          <w:bCs/>
          <w:kern w:val="0"/>
          <w:sz w:val="34"/>
          <w:szCs w:val="34"/>
          <w:shd w:val="clear" w:color="auto" w:fill="FFFFFF"/>
        </w:rPr>
        <w:t>2</w:t>
      </w:r>
      <w:r>
        <w:rPr>
          <w:rFonts w:hint="eastAsia" w:ascii="仿宋_GB2312" w:hAnsi="仿宋_GB2312" w:eastAsia="仿宋_GB2312" w:cs="仿宋_GB2312"/>
          <w:b/>
          <w:bCs/>
          <w:kern w:val="0"/>
          <w:sz w:val="34"/>
          <w:szCs w:val="34"/>
          <w:shd w:val="clear" w:color="auto" w:fill="FFFFFF"/>
          <w:lang w:val="en-US" w:eastAsia="zh-CN"/>
        </w:rPr>
        <w:t>.</w:t>
      </w:r>
      <w:r>
        <w:rPr>
          <w:rFonts w:hint="eastAsia" w:ascii="仿宋_GB2312" w:hAnsi="仿宋_GB2312" w:eastAsia="仿宋_GB2312" w:cs="仿宋_GB2312"/>
          <w:b/>
          <w:bCs/>
          <w:kern w:val="0"/>
          <w:sz w:val="34"/>
          <w:szCs w:val="34"/>
          <w:shd w:val="clear" w:color="auto" w:fill="FFFFFF"/>
        </w:rPr>
        <w:t>执法人员</w:t>
      </w:r>
      <w:r>
        <w:rPr>
          <w:rFonts w:hint="eastAsia" w:ascii="仿宋_GB2312" w:hAnsi="仿宋_GB2312" w:eastAsia="仿宋_GB2312" w:cs="仿宋_GB2312"/>
          <w:b/>
          <w:bCs/>
          <w:kern w:val="0"/>
          <w:sz w:val="34"/>
          <w:szCs w:val="34"/>
          <w:shd w:val="clear" w:color="auto" w:fill="FFFFFF"/>
          <w:lang w:eastAsia="zh-CN"/>
        </w:rPr>
        <w:t>专业知识和业务能力有待提升</w:t>
      </w:r>
    </w:p>
    <w:p w14:paraId="0F04D663">
      <w:pPr>
        <w:keepNext w:val="0"/>
        <w:keepLines w:val="0"/>
        <w:pageBreakBefore w:val="0"/>
        <w:widowControl w:val="0"/>
        <w:kinsoku/>
        <w:wordWrap/>
        <w:topLinePunct w:val="0"/>
        <w:bidi w:val="0"/>
        <w:spacing w:line="600" w:lineRule="exact"/>
        <w:ind w:left="0" w:firstLine="640"/>
        <w:jc w:val="left"/>
        <w:textAlignment w:val="auto"/>
        <w:rPr>
          <w:rFonts w:hint="eastAsia" w:ascii="仿宋_GB2312" w:hAnsi="仿宋_GB2312" w:eastAsia="仿宋_GB2312" w:cs="仿宋_GB2312"/>
          <w:kern w:val="0"/>
          <w:sz w:val="34"/>
          <w:szCs w:val="34"/>
          <w:shd w:val="clear" w:color="auto" w:fill="FFFFFF"/>
        </w:rPr>
      </w:pPr>
      <w:r>
        <w:rPr>
          <w:rFonts w:hint="eastAsia" w:ascii="仿宋_GB2312" w:hAnsi="仿宋_GB2312" w:eastAsia="仿宋_GB2312" w:cs="仿宋_GB2312"/>
          <w:kern w:val="0"/>
          <w:sz w:val="34"/>
          <w:szCs w:val="34"/>
          <w:shd w:val="clear" w:color="auto" w:fill="FFFFFF"/>
        </w:rPr>
        <w:t>部分执法人员对法律法规的理解和掌握不够深入全面，在复杂案件处理中，难以准确运用法律条文，学习深度仍需加强。在调查取证环节，部分执法人员技巧欠缺，收集的证据材料不完整、不规范，影响案件办理质量。此外，执法文书制作水平参差不齐，存在表述不准确、格式不规范等问题，降低了执法的严肃性和权威性。</w:t>
      </w:r>
    </w:p>
    <w:p w14:paraId="73984613">
      <w:pPr>
        <w:keepNext w:val="0"/>
        <w:keepLines w:val="0"/>
        <w:pageBreakBefore w:val="0"/>
        <w:widowControl w:val="0"/>
        <w:kinsoku/>
        <w:wordWrap/>
        <w:topLinePunct w:val="0"/>
        <w:bidi w:val="0"/>
        <w:spacing w:line="600" w:lineRule="exact"/>
        <w:ind w:left="0" w:firstLine="640"/>
        <w:jc w:val="left"/>
        <w:textAlignment w:val="auto"/>
        <w:rPr>
          <w:rFonts w:hint="eastAsia" w:ascii="仿宋_GB2312" w:hAnsi="仿宋_GB2312" w:eastAsia="仿宋_GB2312" w:cs="仿宋_GB2312"/>
          <w:b/>
          <w:bCs/>
          <w:kern w:val="0"/>
          <w:sz w:val="34"/>
          <w:szCs w:val="34"/>
          <w:shd w:val="clear" w:color="auto" w:fill="FFFFFF"/>
        </w:rPr>
      </w:pPr>
      <w:r>
        <w:rPr>
          <w:rFonts w:hint="eastAsia" w:ascii="仿宋_GB2312" w:hAnsi="仿宋_GB2312" w:eastAsia="仿宋_GB2312" w:cs="仿宋_GB2312"/>
          <w:b/>
          <w:bCs/>
          <w:kern w:val="0"/>
          <w:sz w:val="34"/>
          <w:szCs w:val="34"/>
          <w:shd w:val="clear" w:color="auto" w:fill="FFFFFF"/>
        </w:rPr>
        <w:t>3</w:t>
      </w:r>
      <w:r>
        <w:rPr>
          <w:rFonts w:hint="eastAsia" w:ascii="仿宋_GB2312" w:hAnsi="仿宋_GB2312" w:eastAsia="仿宋_GB2312" w:cs="仿宋_GB2312"/>
          <w:b/>
          <w:bCs/>
          <w:kern w:val="0"/>
          <w:sz w:val="34"/>
          <w:szCs w:val="34"/>
          <w:shd w:val="clear" w:color="auto" w:fill="FFFFFF"/>
          <w:lang w:val="en-US" w:eastAsia="zh-CN"/>
        </w:rPr>
        <w:t>.</w:t>
      </w:r>
      <w:r>
        <w:rPr>
          <w:rFonts w:hint="eastAsia" w:ascii="仿宋_GB2312" w:hAnsi="仿宋_GB2312" w:eastAsia="仿宋_GB2312" w:cs="仿宋_GB2312"/>
          <w:b/>
          <w:bCs/>
          <w:kern w:val="0"/>
          <w:sz w:val="34"/>
          <w:szCs w:val="34"/>
          <w:shd w:val="clear" w:color="auto" w:fill="FFFFFF"/>
        </w:rPr>
        <w:t>协调联动机制不完善</w:t>
      </w:r>
    </w:p>
    <w:p w14:paraId="67D8419E">
      <w:pPr>
        <w:keepNext w:val="0"/>
        <w:keepLines w:val="0"/>
        <w:pageBreakBefore w:val="0"/>
        <w:widowControl w:val="0"/>
        <w:kinsoku/>
        <w:wordWrap/>
        <w:topLinePunct w:val="0"/>
        <w:bidi w:val="0"/>
        <w:spacing w:line="600" w:lineRule="exact"/>
        <w:ind w:left="0" w:firstLine="640"/>
        <w:jc w:val="left"/>
        <w:textAlignment w:val="auto"/>
        <w:rPr>
          <w:rFonts w:hint="eastAsia" w:ascii="仿宋_GB2312" w:hAnsi="仿宋_GB2312" w:eastAsia="仿宋_GB2312" w:cs="仿宋_GB2312"/>
          <w:kern w:val="0"/>
          <w:sz w:val="34"/>
          <w:szCs w:val="34"/>
          <w:shd w:val="clear" w:color="auto" w:fill="FFFFFF"/>
        </w:rPr>
      </w:pPr>
      <w:r>
        <w:rPr>
          <w:rFonts w:hint="eastAsia" w:ascii="仿宋_GB2312" w:hAnsi="仿宋_GB2312" w:eastAsia="仿宋_GB2312" w:cs="仿宋_GB2312"/>
          <w:kern w:val="0"/>
          <w:sz w:val="34"/>
          <w:szCs w:val="34"/>
          <w:shd w:val="clear" w:color="auto" w:fill="FFFFFF"/>
        </w:rPr>
        <w:t>在处理多部门交叉管理的事务时，如城市环境综合整治涉及城管、环保、</w:t>
      </w:r>
      <w:r>
        <w:rPr>
          <w:rFonts w:hint="eastAsia" w:ascii="仿宋_GB2312" w:hAnsi="仿宋_GB2312" w:eastAsia="仿宋_GB2312" w:cs="仿宋_GB2312"/>
          <w:kern w:val="0"/>
          <w:sz w:val="34"/>
          <w:szCs w:val="34"/>
          <w:shd w:val="clear" w:color="auto" w:fill="FFFFFF"/>
          <w:lang w:eastAsia="zh-CN"/>
        </w:rPr>
        <w:t>规自</w:t>
      </w:r>
      <w:r>
        <w:rPr>
          <w:rFonts w:hint="eastAsia" w:ascii="仿宋_GB2312" w:hAnsi="仿宋_GB2312" w:eastAsia="仿宋_GB2312" w:cs="仿宋_GB2312"/>
          <w:kern w:val="0"/>
          <w:sz w:val="34"/>
          <w:szCs w:val="34"/>
          <w:shd w:val="clear" w:color="auto" w:fill="FFFFFF"/>
        </w:rPr>
        <w:t>等多部门，由于缺乏高效的协调联动机制，信息沟通不畅、职责划分不明，容易出现重复执法或执法空白的现象，</w:t>
      </w:r>
      <w:r>
        <w:rPr>
          <w:rFonts w:hint="eastAsia" w:ascii="仿宋_GB2312" w:hAnsi="仿宋_GB2312" w:eastAsia="仿宋_GB2312" w:cs="仿宋_GB2312"/>
          <w:kern w:val="0"/>
          <w:sz w:val="34"/>
          <w:szCs w:val="34"/>
          <w:shd w:val="clear" w:color="auto" w:fill="FFFFFF"/>
          <w:lang w:eastAsia="zh-CN"/>
        </w:rPr>
        <w:t>易</w:t>
      </w:r>
      <w:r>
        <w:rPr>
          <w:rFonts w:hint="eastAsia" w:ascii="仿宋_GB2312" w:hAnsi="仿宋_GB2312" w:eastAsia="仿宋_GB2312" w:cs="仿宋_GB2312"/>
          <w:kern w:val="0"/>
          <w:sz w:val="34"/>
          <w:szCs w:val="34"/>
          <w:shd w:val="clear" w:color="auto" w:fill="FFFFFF"/>
        </w:rPr>
        <w:t>降低整体执法效率和效果。</w:t>
      </w:r>
    </w:p>
    <w:p w14:paraId="0433B322">
      <w:pPr>
        <w:keepNext w:val="0"/>
        <w:keepLines w:val="0"/>
        <w:pageBreakBefore w:val="0"/>
        <w:widowControl w:val="0"/>
        <w:kinsoku/>
        <w:wordWrap/>
        <w:topLinePunct w:val="0"/>
        <w:bidi w:val="0"/>
        <w:spacing w:line="600" w:lineRule="exact"/>
        <w:ind w:left="0" w:firstLine="680" w:firstLineChars="200"/>
        <w:textAlignment w:val="auto"/>
        <w:rPr>
          <w:rFonts w:hint="eastAsia" w:ascii="黑体" w:hAnsi="黑体" w:eastAsia="黑体" w:cs="黑体"/>
          <w:color w:val="FF0000"/>
          <w:sz w:val="34"/>
          <w:szCs w:val="34"/>
        </w:rPr>
      </w:pPr>
      <w:r>
        <w:rPr>
          <w:rFonts w:hint="eastAsia" w:ascii="黑体" w:hAnsi="黑体" w:eastAsia="黑体" w:cs="黑体"/>
          <w:color w:val="auto"/>
          <w:sz w:val="34"/>
          <w:szCs w:val="34"/>
        </w:rPr>
        <w:t>四、下一步工作安排</w:t>
      </w:r>
    </w:p>
    <w:p w14:paraId="6C582C40">
      <w:pPr>
        <w:ind w:firstLine="683" w:firstLineChars="200"/>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（一）加强队伍建设</w:t>
      </w:r>
    </w:p>
    <w:p w14:paraId="23B7916F">
      <w:pPr>
        <w:ind w:firstLine="680" w:firstLineChars="200"/>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加强支部自身建设，做好党支部换届选举工作，严格执行党内政治生活制度，强化党员思想政治教育，提高党支部整体素质；加强执法队伍建设，开展执法业务培训，提升队员执法能力；加强廉政建设，强化廉政意识，加强廉政教育和监督，保持队伍清正廉洁。</w:t>
      </w:r>
    </w:p>
    <w:p w14:paraId="737C7763">
      <w:pPr>
        <w:numPr>
          <w:ilvl w:val="0"/>
          <w:numId w:val="1"/>
        </w:numPr>
        <w:ind w:left="682" w:leftChars="0" w:firstLine="0" w:firstLineChars="0"/>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健全规章制度</w:t>
      </w:r>
    </w:p>
    <w:p w14:paraId="74ACC49E">
      <w:pPr>
        <w:numPr>
          <w:ilvl w:val="0"/>
          <w:numId w:val="0"/>
        </w:numPr>
        <w:ind w:firstLine="680" w:firstLineChars="200"/>
        <w:rPr>
          <w:rFonts w:hint="eastAsia" w:ascii="仿宋_GB2312" w:hAnsi="仿宋_GB2312" w:eastAsia="仿宋_GB2312" w:cs="仿宋_GB2312"/>
          <w:sz w:val="34"/>
          <w:szCs w:val="34"/>
          <w:lang w:val="en-US" w:eastAsia="zh-CN"/>
        </w:rPr>
      </w:pPr>
      <w:r>
        <w:rPr>
          <w:rFonts w:hint="eastAsia" w:ascii="仿宋_GB2312" w:hAnsi="仿宋_GB2312" w:eastAsia="仿宋_GB2312" w:cs="仿宋_GB2312"/>
          <w:sz w:val="34"/>
          <w:szCs w:val="34"/>
          <w:lang w:val="en-US" w:eastAsia="zh-CN"/>
        </w:rPr>
        <w:t>制定完善大队规章制度，明确岗位职责、执法程序、标准和要求，确保执法人员在工作中有章可循、有据可查。落实好2024年制定的各项工作方案，使工作规范有序，提高制度的执行力和约束力。</w:t>
      </w:r>
    </w:p>
    <w:p w14:paraId="7A5953BB">
      <w:pPr>
        <w:numPr>
          <w:ilvl w:val="0"/>
          <w:numId w:val="1"/>
        </w:numPr>
        <w:ind w:left="682" w:leftChars="0" w:firstLine="0" w:firstLineChars="0"/>
        <w:rPr>
          <w:rFonts w:hint="eastAsia" w:ascii="楷体_GB2312" w:hAnsi="楷体_GB2312" w:eastAsia="楷体_GB2312" w:cs="楷体_GB2312"/>
          <w:b/>
          <w:bCs/>
          <w:sz w:val="34"/>
          <w:szCs w:val="34"/>
          <w:lang w:val="en-US" w:eastAsia="zh-CN"/>
        </w:rPr>
      </w:pPr>
      <w:r>
        <w:rPr>
          <w:rFonts w:hint="eastAsia" w:ascii="楷体_GB2312" w:hAnsi="楷体_GB2312" w:eastAsia="楷体_GB2312" w:cs="楷体_GB2312"/>
          <w:b/>
          <w:bCs/>
          <w:sz w:val="34"/>
          <w:szCs w:val="34"/>
          <w:lang w:val="en-US" w:eastAsia="zh-CN"/>
        </w:rPr>
        <w:t>提升业务工作水平</w:t>
      </w:r>
    </w:p>
    <w:p w14:paraId="7F5CC3B7">
      <w:pPr>
        <w:numPr>
          <w:ilvl w:val="0"/>
          <w:numId w:val="0"/>
        </w:numPr>
        <w:ind w:firstLine="680" w:firstLineChars="200"/>
        <w:rPr>
          <w:rFonts w:hint="eastAsia" w:ascii="仿宋_GB2312" w:hAnsi="仿宋_GB2312" w:eastAsia="仿宋_GB2312" w:cs="仿宋_GB2312"/>
          <w:sz w:val="34"/>
          <w:szCs w:val="34"/>
          <w:lang w:val="en-US" w:eastAsia="zh-CN"/>
        </w:rPr>
      </w:pPr>
      <w:r>
        <w:rPr>
          <w:rFonts w:hint="eastAsia" w:ascii="楷体_GB2312" w:hAnsi="楷体_GB2312" w:eastAsia="楷体_GB2312" w:cs="楷体_GB2312"/>
          <w:b w:val="0"/>
          <w:bCs w:val="0"/>
          <w:sz w:val="34"/>
          <w:szCs w:val="34"/>
          <w:lang w:val="en-US" w:eastAsia="zh-CN"/>
        </w:rPr>
        <w:t>2</w:t>
      </w:r>
      <w:r>
        <w:rPr>
          <w:rFonts w:hint="eastAsia" w:ascii="仿宋_GB2312" w:hAnsi="仿宋_GB2312" w:eastAsia="仿宋_GB2312" w:cs="仿宋_GB2312"/>
          <w:b w:val="0"/>
          <w:bCs w:val="0"/>
          <w:sz w:val="34"/>
          <w:szCs w:val="34"/>
          <w:lang w:val="en-US" w:eastAsia="zh-CN"/>
        </w:rPr>
        <w:t>0</w:t>
      </w:r>
      <w:r>
        <w:rPr>
          <w:rFonts w:hint="eastAsia" w:ascii="仿宋_GB2312" w:hAnsi="仿宋_GB2312" w:eastAsia="仿宋_GB2312" w:cs="仿宋_GB2312"/>
          <w:sz w:val="34"/>
          <w:szCs w:val="34"/>
          <w:lang w:val="en-US" w:eastAsia="zh-CN"/>
        </w:rPr>
        <w:t>25年执法大队将按照“网格＋重点区域巡查”“网格+社区联动”“网格+长效督查”的工作模式，把整治市场门前及周边环境秩序治理作为工作重点，切实做到整治工作落实见效。</w:t>
      </w:r>
    </w:p>
    <w:p w14:paraId="61258358">
      <w:pPr>
        <w:keepNext w:val="0"/>
        <w:keepLines w:val="0"/>
        <w:pageBreakBefore w:val="0"/>
        <w:widowControl w:val="0"/>
        <w:kinsoku/>
        <w:wordWrap/>
        <w:topLinePunct w:val="0"/>
        <w:bidi w:val="0"/>
        <w:spacing w:line="600" w:lineRule="exact"/>
        <w:ind w:left="0"/>
        <w:textAlignment w:val="auto"/>
        <w:rPr>
          <w:rFonts w:hint="eastAsia" w:ascii="仿宋_GB2312" w:hAnsi="仿宋_GB2312" w:eastAsia="仿宋_GB2312" w:cs="仿宋_GB2312"/>
          <w:sz w:val="34"/>
          <w:szCs w:val="34"/>
        </w:rPr>
      </w:pPr>
    </w:p>
    <w:p w14:paraId="6DAF6FF1">
      <w:pPr>
        <w:keepNext w:val="0"/>
        <w:keepLines w:val="0"/>
        <w:pageBreakBefore w:val="0"/>
        <w:widowControl w:val="0"/>
        <w:kinsoku/>
        <w:wordWrap/>
        <w:topLinePunct w:val="0"/>
        <w:bidi w:val="0"/>
        <w:spacing w:line="600" w:lineRule="exact"/>
        <w:ind w:left="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xml:space="preserve">                          </w:t>
      </w:r>
    </w:p>
    <w:sectPr>
      <w:footerReference r:id="rId3" w:type="default"/>
      <w:pgSz w:w="11906" w:h="16838"/>
      <w:pgMar w:top="2041" w:right="1582" w:bottom="1701" w:left="1582"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95517">
    <w:pPr>
      <w:pStyle w:val="4"/>
    </w:pPr>
    <w:r>
      <w:pict>
        <v:shape id="_x0000_s3073" o:spid="_x0000_s307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7B0660C0">
                <w:pPr>
                  <w:pStyle w:val="4"/>
                  <w:rPr>
                    <w:rFonts w:ascii="楷体_GB2312" w:hAnsi="楷体_GB2312" w:eastAsia="楷体_GB2312" w:cs="楷体_GB2312"/>
                    <w:sz w:val="24"/>
                    <w:szCs w:val="24"/>
                  </w:rPr>
                </w:pPr>
                <w:r>
                  <w:rPr>
                    <w:rFonts w:hint="eastAsia" w:ascii="楷体_GB2312" w:hAnsi="楷体_GB2312" w:eastAsia="楷体_GB2312" w:cs="楷体_GB2312"/>
                    <w:sz w:val="24"/>
                    <w:szCs w:val="24"/>
                  </w:rPr>
                  <w:fldChar w:fldCharType="begin"/>
                </w:r>
                <w:r>
                  <w:rPr>
                    <w:rFonts w:hint="eastAsia" w:ascii="楷体_GB2312" w:hAnsi="楷体_GB2312" w:eastAsia="楷体_GB2312" w:cs="楷体_GB2312"/>
                    <w:sz w:val="24"/>
                    <w:szCs w:val="24"/>
                  </w:rPr>
                  <w:instrText xml:space="preserve"> PAGE  \* MERGEFORMAT </w:instrText>
                </w:r>
                <w:r>
                  <w:rPr>
                    <w:rFonts w:hint="eastAsia" w:ascii="楷体_GB2312" w:hAnsi="楷体_GB2312" w:eastAsia="楷体_GB2312" w:cs="楷体_GB2312"/>
                    <w:sz w:val="24"/>
                    <w:szCs w:val="24"/>
                  </w:rPr>
                  <w:fldChar w:fldCharType="separate"/>
                </w:r>
                <w:r>
                  <w:rPr>
                    <w:rFonts w:ascii="楷体_GB2312" w:hAnsi="楷体_GB2312" w:eastAsia="楷体_GB2312" w:cs="楷体_GB2312"/>
                    <w:sz w:val="24"/>
                    <w:szCs w:val="24"/>
                  </w:rPr>
                  <w:t>- 2 -</w:t>
                </w:r>
                <w:r>
                  <w:rPr>
                    <w:rFonts w:hint="eastAsia" w:ascii="楷体_GB2312" w:hAnsi="楷体_GB2312" w:eastAsia="楷体_GB2312" w:cs="楷体_GB2312"/>
                    <w:sz w:val="24"/>
                    <w:szCs w:val="24"/>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5DD6A5"/>
    <w:multiLevelType w:val="singleLevel"/>
    <w:tmpl w:val="FF5DD6A5"/>
    <w:lvl w:ilvl="0" w:tentative="0">
      <w:start w:val="2"/>
      <w:numFmt w:val="chineseCounting"/>
      <w:suff w:val="nothing"/>
      <w:lvlText w:val="（%1）"/>
      <w:lvlJc w:val="left"/>
      <w:pPr>
        <w:ind w:left="682"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TMwZDQxOGE3YjE5MTVhZTYwMzA3OTgxMDNlZGMxNDAifQ=="/>
  </w:docVars>
  <w:rsids>
    <w:rsidRoot w:val="00E47E31"/>
    <w:rsid w:val="000047E5"/>
    <w:rsid w:val="00011276"/>
    <w:rsid w:val="0002123B"/>
    <w:rsid w:val="00076935"/>
    <w:rsid w:val="0009048C"/>
    <w:rsid w:val="00100DFB"/>
    <w:rsid w:val="001730AA"/>
    <w:rsid w:val="00190E20"/>
    <w:rsid w:val="001B4790"/>
    <w:rsid w:val="001D7AE2"/>
    <w:rsid w:val="001E227F"/>
    <w:rsid w:val="001E7D0C"/>
    <w:rsid w:val="00233793"/>
    <w:rsid w:val="002B2C4F"/>
    <w:rsid w:val="00414EBD"/>
    <w:rsid w:val="004B3506"/>
    <w:rsid w:val="004E1234"/>
    <w:rsid w:val="006040B8"/>
    <w:rsid w:val="00607FFA"/>
    <w:rsid w:val="00637C24"/>
    <w:rsid w:val="007640A7"/>
    <w:rsid w:val="0084046E"/>
    <w:rsid w:val="008609D7"/>
    <w:rsid w:val="00903EA1"/>
    <w:rsid w:val="00914D38"/>
    <w:rsid w:val="00930480"/>
    <w:rsid w:val="00955325"/>
    <w:rsid w:val="00956968"/>
    <w:rsid w:val="00981DF1"/>
    <w:rsid w:val="009A3726"/>
    <w:rsid w:val="009B72CA"/>
    <w:rsid w:val="009E1BDF"/>
    <w:rsid w:val="009E1E72"/>
    <w:rsid w:val="00A00BC1"/>
    <w:rsid w:val="00A00F0B"/>
    <w:rsid w:val="00A85FCF"/>
    <w:rsid w:val="00B20912"/>
    <w:rsid w:val="00B23B79"/>
    <w:rsid w:val="00B27C8A"/>
    <w:rsid w:val="00B320AA"/>
    <w:rsid w:val="00BB196B"/>
    <w:rsid w:val="00BB3875"/>
    <w:rsid w:val="00BC1F89"/>
    <w:rsid w:val="00BE2BAD"/>
    <w:rsid w:val="00D64446"/>
    <w:rsid w:val="00D8445A"/>
    <w:rsid w:val="00DD0C4C"/>
    <w:rsid w:val="00DE4236"/>
    <w:rsid w:val="00E22E57"/>
    <w:rsid w:val="00E47E31"/>
    <w:rsid w:val="00F0329B"/>
    <w:rsid w:val="00F531A0"/>
    <w:rsid w:val="00FD6F4B"/>
    <w:rsid w:val="00FE3BA3"/>
    <w:rsid w:val="0497FB4D"/>
    <w:rsid w:val="04BE5FB8"/>
    <w:rsid w:val="0AF50259"/>
    <w:rsid w:val="11DF441D"/>
    <w:rsid w:val="1A0B1CDB"/>
    <w:rsid w:val="1C2178DB"/>
    <w:rsid w:val="1DC279FD"/>
    <w:rsid w:val="1DC3477C"/>
    <w:rsid w:val="1F739344"/>
    <w:rsid w:val="213571AA"/>
    <w:rsid w:val="22C75E1C"/>
    <w:rsid w:val="265038DE"/>
    <w:rsid w:val="2FA62323"/>
    <w:rsid w:val="311C7A3E"/>
    <w:rsid w:val="32C56C92"/>
    <w:rsid w:val="33F167A7"/>
    <w:rsid w:val="3BBF96B4"/>
    <w:rsid w:val="3C1C6B44"/>
    <w:rsid w:val="3DD9B282"/>
    <w:rsid w:val="3DEF046A"/>
    <w:rsid w:val="3E343854"/>
    <w:rsid w:val="3F3E1F4D"/>
    <w:rsid w:val="3F620D12"/>
    <w:rsid w:val="3F8C71BF"/>
    <w:rsid w:val="3FB3FAC7"/>
    <w:rsid w:val="3FF78185"/>
    <w:rsid w:val="409E221E"/>
    <w:rsid w:val="41E2613A"/>
    <w:rsid w:val="43B93F3B"/>
    <w:rsid w:val="45DB537A"/>
    <w:rsid w:val="497C50C6"/>
    <w:rsid w:val="4CC36B68"/>
    <w:rsid w:val="4DEC5D39"/>
    <w:rsid w:val="511D10F8"/>
    <w:rsid w:val="52554EEE"/>
    <w:rsid w:val="56B91E18"/>
    <w:rsid w:val="577A8A15"/>
    <w:rsid w:val="597F2199"/>
    <w:rsid w:val="5A763998"/>
    <w:rsid w:val="5BAF9263"/>
    <w:rsid w:val="5CFCE169"/>
    <w:rsid w:val="5D6D4FFA"/>
    <w:rsid w:val="5E391380"/>
    <w:rsid w:val="5E6737F7"/>
    <w:rsid w:val="5F5A2427"/>
    <w:rsid w:val="5F7DEE35"/>
    <w:rsid w:val="5FAB68A3"/>
    <w:rsid w:val="5FC821EA"/>
    <w:rsid w:val="5FFF2A20"/>
    <w:rsid w:val="673646AF"/>
    <w:rsid w:val="6AAE8A29"/>
    <w:rsid w:val="6B5D2DD6"/>
    <w:rsid w:val="6C117498"/>
    <w:rsid w:val="6D4A1D71"/>
    <w:rsid w:val="6DBFBE83"/>
    <w:rsid w:val="6FD3E394"/>
    <w:rsid w:val="6FF43D5E"/>
    <w:rsid w:val="70B825D8"/>
    <w:rsid w:val="75FFEB74"/>
    <w:rsid w:val="765BD1AD"/>
    <w:rsid w:val="7739E7DF"/>
    <w:rsid w:val="77EC7B25"/>
    <w:rsid w:val="77F22E94"/>
    <w:rsid w:val="77FEC645"/>
    <w:rsid w:val="77FF8DFA"/>
    <w:rsid w:val="786BE98C"/>
    <w:rsid w:val="7A434FDD"/>
    <w:rsid w:val="7A8676EF"/>
    <w:rsid w:val="7AA6DB54"/>
    <w:rsid w:val="7CAA7FDC"/>
    <w:rsid w:val="7CCF24A5"/>
    <w:rsid w:val="7DCF57FC"/>
    <w:rsid w:val="7E756697"/>
    <w:rsid w:val="7E955D07"/>
    <w:rsid w:val="7EA70C01"/>
    <w:rsid w:val="7F2DDF2E"/>
    <w:rsid w:val="7F327BC5"/>
    <w:rsid w:val="7FAFE733"/>
    <w:rsid w:val="7FDF4486"/>
    <w:rsid w:val="7FDFD175"/>
    <w:rsid w:val="7FF9CEB8"/>
    <w:rsid w:val="7FFB5F18"/>
    <w:rsid w:val="93FF96C4"/>
    <w:rsid w:val="97A7F2F3"/>
    <w:rsid w:val="9EDCC896"/>
    <w:rsid w:val="AF771A8C"/>
    <w:rsid w:val="AFDE3BD2"/>
    <w:rsid w:val="B1F3E4F2"/>
    <w:rsid w:val="B6EB819E"/>
    <w:rsid w:val="B6F43EDD"/>
    <w:rsid w:val="B7B94BDF"/>
    <w:rsid w:val="BA5DDD85"/>
    <w:rsid w:val="BB9D2C3D"/>
    <w:rsid w:val="BF6FEE02"/>
    <w:rsid w:val="BFF262AF"/>
    <w:rsid w:val="CBE9D6D5"/>
    <w:rsid w:val="CFF5B02F"/>
    <w:rsid w:val="D7B35E7B"/>
    <w:rsid w:val="D9DFBF99"/>
    <w:rsid w:val="DDDBCDB1"/>
    <w:rsid w:val="DEFA57ED"/>
    <w:rsid w:val="DFD62753"/>
    <w:rsid w:val="E3BB4C3D"/>
    <w:rsid w:val="E57DBAF0"/>
    <w:rsid w:val="ECBBAA84"/>
    <w:rsid w:val="ED7932E1"/>
    <w:rsid w:val="EDA7545D"/>
    <w:rsid w:val="EEF98E2F"/>
    <w:rsid w:val="EF7D2308"/>
    <w:rsid w:val="EFFDCECF"/>
    <w:rsid w:val="F3FFAD5A"/>
    <w:rsid w:val="F49C16B1"/>
    <w:rsid w:val="F6DF23EE"/>
    <w:rsid w:val="F7572985"/>
    <w:rsid w:val="F7A50270"/>
    <w:rsid w:val="F7B7691F"/>
    <w:rsid w:val="F9E3A14F"/>
    <w:rsid w:val="F9FE878F"/>
    <w:rsid w:val="FADDD3BF"/>
    <w:rsid w:val="FB70D6E6"/>
    <w:rsid w:val="FB77EC84"/>
    <w:rsid w:val="FB7ADD42"/>
    <w:rsid w:val="FBDAA7C0"/>
    <w:rsid w:val="FBDF52EF"/>
    <w:rsid w:val="FBDF64B7"/>
    <w:rsid w:val="FC8D02D0"/>
    <w:rsid w:val="FCD745A6"/>
    <w:rsid w:val="FE3D0BB4"/>
    <w:rsid w:val="FF552D9E"/>
    <w:rsid w:val="FF6829AB"/>
    <w:rsid w:val="FF6E58B6"/>
    <w:rsid w:val="FF7AA03A"/>
    <w:rsid w:val="FFBB48AD"/>
    <w:rsid w:val="FFDB45B0"/>
    <w:rsid w:val="FFDE6A30"/>
    <w:rsid w:val="FFE369F6"/>
    <w:rsid w:val="FFFB04AC"/>
    <w:rsid w:val="FFFBD9A5"/>
    <w:rsid w:val="FFFDAF4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2"/>
    <w:qFormat/>
    <w:uiPriority w:val="99"/>
    <w:pPr>
      <w:spacing w:after="120"/>
    </w:pPr>
    <w:rPr>
      <w:rFonts w:ascii="Times New Roman" w:hAnsi="Calibri" w:eastAsia="宋体" w:cs="Times New Roman"/>
      <w:szCs w:val="24"/>
    </w:rPr>
  </w:style>
  <w:style w:type="paragraph" w:styleId="3">
    <w:name w:val="Balloon Text"/>
    <w:basedOn w:val="1"/>
    <w:link w:val="13"/>
    <w:semiHidden/>
    <w:unhideWhenUsed/>
    <w:qFormat/>
    <w:uiPriority w:val="99"/>
    <w:rPr>
      <w:sz w:val="18"/>
      <w:szCs w:val="18"/>
    </w:rPr>
  </w:style>
  <w:style w:type="paragraph" w:styleId="4">
    <w:name w:val="footer"/>
    <w:basedOn w:val="1"/>
    <w:link w:val="10"/>
    <w:semiHidden/>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Strong"/>
    <w:basedOn w:val="7"/>
    <w:qFormat/>
    <w:uiPriority w:val="0"/>
    <w:rPr>
      <w:b/>
    </w:rPr>
  </w:style>
  <w:style w:type="character" w:customStyle="1" w:styleId="9">
    <w:name w:val="页眉 Char"/>
    <w:basedOn w:val="7"/>
    <w:link w:val="5"/>
    <w:semiHidden/>
    <w:qFormat/>
    <w:uiPriority w:val="99"/>
    <w:rPr>
      <w:sz w:val="18"/>
      <w:szCs w:val="18"/>
    </w:rPr>
  </w:style>
  <w:style w:type="character" w:customStyle="1" w:styleId="10">
    <w:name w:val="页脚 Char"/>
    <w:basedOn w:val="7"/>
    <w:link w:val="4"/>
    <w:semiHidden/>
    <w:qFormat/>
    <w:uiPriority w:val="99"/>
    <w:rPr>
      <w:sz w:val="18"/>
      <w:szCs w:val="18"/>
    </w:rPr>
  </w:style>
  <w:style w:type="paragraph" w:styleId="11">
    <w:name w:val="List Paragraph"/>
    <w:basedOn w:val="1"/>
    <w:qFormat/>
    <w:uiPriority w:val="34"/>
    <w:pPr>
      <w:ind w:firstLine="420" w:firstLineChars="200"/>
    </w:pPr>
  </w:style>
  <w:style w:type="character" w:customStyle="1" w:styleId="12">
    <w:name w:val="正文文本 Char"/>
    <w:basedOn w:val="7"/>
    <w:link w:val="2"/>
    <w:qFormat/>
    <w:uiPriority w:val="99"/>
    <w:rPr>
      <w:rFonts w:ascii="Times New Roman" w:hAnsi="Calibri" w:eastAsia="宋体" w:cs="Times New Roman"/>
      <w:kern w:val="2"/>
      <w:sz w:val="21"/>
      <w:szCs w:val="24"/>
    </w:rPr>
  </w:style>
  <w:style w:type="character" w:customStyle="1" w:styleId="13">
    <w:name w:val="批注框文本 Char"/>
    <w:basedOn w:val="7"/>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Pages>
  <Words>2408</Words>
  <Characters>2456</Characters>
  <Lines>19</Lines>
  <Paragraphs>5</Paragraphs>
  <TotalTime>10</TotalTime>
  <ScaleCrop>false</ScaleCrop>
  <LinksUpToDate>false</LinksUpToDate>
  <CharactersWithSpaces>2490</CharactersWithSpaces>
  <Application>WPS Office_12.8.2.1115_F1E327BC-269C-435d-A152-05C5408002CA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2023-12-10T00:00:00Z</dcterms:created>
  <dc:creator>zfgg</dc:creator>
  <cp:lastModifiedBy>kylin</cp:lastModifiedBy>
  <dcterms:modified xsi:type="dcterms:W3CDTF">2025-01-13T17:48:04Z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2052-12.8.2.1115</vt:lpwstr>
  </property>
  <property fmtid="{D5CDD505-2E9C-101B-9397-08002B2CF9AE}" pid="3" name="ICV">
    <vt:lpwstr>281BC38B0FC518C4318D5B679D348FB0_42</vt:lpwstr>
  </property>
</Properties>
</file>