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C43F50">
      <w:pPr>
        <w:keepNext w:val="0"/>
        <w:keepLines w:val="0"/>
        <w:pageBreakBefore w:val="0"/>
        <w:widowControl/>
        <w:pBdr>
          <w:bottom w:val="single" w:color="FFFFFF" w:sz="4" w:space="31"/>
        </w:pBdr>
        <w:tabs>
          <w:tab w:val="left" w:pos="1980"/>
        </w:tabs>
        <w:kinsoku/>
        <w:wordWrap/>
        <w:overflowPunct/>
        <w:topLinePunct w:val="0"/>
        <w:autoSpaceDE/>
        <w:autoSpaceDN/>
        <w:bidi w:val="0"/>
        <w:adjustRightInd/>
        <w:snapToGrid/>
        <w:spacing w:line="580" w:lineRule="exact"/>
        <w:ind w:firstLine="1760" w:firstLineChars="400"/>
        <w:contextualSpacing/>
        <w:jc w:val="both"/>
        <w:textAlignment w:val="auto"/>
        <w:rPr>
          <w:rFonts w:hint="default" w:ascii="黑体" w:hAnsi="黑体" w:eastAsia="黑体" w:cs="黑体"/>
          <w:b w:val="0"/>
          <w:bCs w:val="0"/>
          <w:sz w:val="44"/>
          <w:szCs w:val="44"/>
          <w:highlight w:val="none"/>
          <w:lang w:val="en-US" w:eastAsia="zh-CN"/>
        </w:rPr>
      </w:pPr>
      <w:r>
        <w:rPr>
          <w:rFonts w:hint="eastAsia" w:ascii="黑体" w:hAnsi="黑体" w:eastAsia="黑体" w:cs="黑体"/>
          <w:b w:val="0"/>
          <w:bCs w:val="0"/>
          <w:sz w:val="44"/>
          <w:szCs w:val="44"/>
          <w:highlight w:val="none"/>
          <w:lang w:val="en-US" w:eastAsia="zh-CN"/>
        </w:rPr>
        <w:t>大港街</w:t>
      </w:r>
      <w:r>
        <w:rPr>
          <w:rFonts w:hint="default" w:ascii="黑体" w:hAnsi="黑体" w:eastAsia="黑体" w:cs="黑体"/>
          <w:b w:val="0"/>
          <w:bCs w:val="0"/>
          <w:sz w:val="44"/>
          <w:szCs w:val="44"/>
          <w:highlight w:val="none"/>
          <w:lang w:val="en-US" w:eastAsia="zh-CN"/>
        </w:rPr>
        <w:t>2025年工作</w:t>
      </w:r>
      <w:r>
        <w:rPr>
          <w:rFonts w:hint="eastAsia" w:ascii="黑体" w:hAnsi="黑体" w:eastAsia="黑体" w:cs="黑体"/>
          <w:b w:val="0"/>
          <w:bCs w:val="0"/>
          <w:sz w:val="44"/>
          <w:szCs w:val="44"/>
          <w:highlight w:val="none"/>
          <w:lang w:val="en-US" w:eastAsia="zh-CN"/>
        </w:rPr>
        <w:t>计划</w:t>
      </w:r>
    </w:p>
    <w:p w14:paraId="4232752C">
      <w:pPr>
        <w:keepNext w:val="0"/>
        <w:keepLines w:val="0"/>
        <w:pageBreakBefore w:val="0"/>
        <w:widowControl/>
        <w:numPr>
          <w:ilvl w:val="0"/>
          <w:numId w:val="0"/>
        </w:numPr>
        <w:pBdr>
          <w:bottom w:val="single" w:color="FFFFFF" w:sz="4" w:space="31"/>
        </w:pBdr>
        <w:tabs>
          <w:tab w:val="left" w:pos="1980"/>
        </w:tabs>
        <w:kinsoku/>
        <w:wordWrap/>
        <w:overflowPunct/>
        <w:topLinePunct w:val="0"/>
        <w:autoSpaceDE/>
        <w:autoSpaceDN/>
        <w:bidi w:val="0"/>
        <w:adjustRightInd/>
        <w:snapToGrid/>
        <w:spacing w:line="580" w:lineRule="exact"/>
        <w:ind w:firstLine="680" w:firstLineChars="200"/>
        <w:contextualSpacing/>
        <w:jc w:val="both"/>
        <w:textAlignment w:val="auto"/>
        <w:rPr>
          <w:rFonts w:hint="default" w:ascii="Times New Roman" w:hAnsi="Times New Roman" w:eastAsia="仿宋_GB2312" w:cs="Times New Roman"/>
          <w:b w:val="0"/>
          <w:bCs w:val="0"/>
          <w:sz w:val="34"/>
          <w:szCs w:val="34"/>
          <w:lang w:val="en-US" w:eastAsia="zh-CN"/>
        </w:rPr>
      </w:pPr>
    </w:p>
    <w:p w14:paraId="1EB8591C">
      <w:pPr>
        <w:keepNext w:val="0"/>
        <w:keepLines w:val="0"/>
        <w:pageBreakBefore w:val="0"/>
        <w:widowControl/>
        <w:numPr>
          <w:ilvl w:val="0"/>
          <w:numId w:val="0"/>
        </w:numPr>
        <w:pBdr>
          <w:bottom w:val="single" w:color="FFFFFF" w:sz="4" w:space="31"/>
        </w:pBdr>
        <w:tabs>
          <w:tab w:val="left" w:pos="1980"/>
        </w:tabs>
        <w:kinsoku/>
        <w:wordWrap/>
        <w:overflowPunct/>
        <w:topLinePunct w:val="0"/>
        <w:autoSpaceDE/>
        <w:autoSpaceDN/>
        <w:bidi w:val="0"/>
        <w:adjustRightInd/>
        <w:snapToGrid/>
        <w:spacing w:line="580" w:lineRule="exact"/>
        <w:ind w:firstLine="680" w:firstLineChars="200"/>
        <w:contextualSpacing/>
        <w:jc w:val="both"/>
        <w:textAlignment w:val="auto"/>
        <w:rPr>
          <w:rFonts w:hint="default" w:ascii="Times New Roman" w:hAnsi="Times New Roman" w:eastAsia="仿宋_GB2312" w:cs="Times New Roman"/>
          <w:b w:val="0"/>
          <w:bCs w:val="0"/>
          <w:sz w:val="34"/>
          <w:szCs w:val="34"/>
          <w:lang w:val="en-US" w:eastAsia="zh-CN"/>
        </w:rPr>
      </w:pPr>
      <w:r>
        <w:rPr>
          <w:rFonts w:hint="default" w:ascii="Times New Roman" w:hAnsi="Times New Roman" w:eastAsia="仿宋_GB2312" w:cs="Times New Roman"/>
          <w:b w:val="0"/>
          <w:bCs w:val="0"/>
          <w:sz w:val="34"/>
          <w:szCs w:val="34"/>
          <w:lang w:val="en-US" w:eastAsia="zh-CN"/>
        </w:rPr>
        <w:t>2025年是</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十四五</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规划的收官之年，也是</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十五五</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规划的布局之年，在新征程中大港街将深入贯彻落实习近平总书记视察天津重要讲话精神，抓住机遇、用好政策，勇担使命、开拓进取，坚决扛起滨城南翼副城核心责任，保质保量完成区委区政府各项工作部署。</w:t>
      </w:r>
    </w:p>
    <w:p w14:paraId="4AFA1425">
      <w:pPr>
        <w:keepNext w:val="0"/>
        <w:keepLines w:val="0"/>
        <w:pageBreakBefore w:val="0"/>
        <w:widowControl/>
        <w:numPr>
          <w:ilvl w:val="0"/>
          <w:numId w:val="0"/>
        </w:numPr>
        <w:pBdr>
          <w:bottom w:val="single" w:color="FFFFFF" w:sz="4" w:space="31"/>
        </w:pBdr>
        <w:tabs>
          <w:tab w:val="left" w:pos="1980"/>
        </w:tabs>
        <w:kinsoku/>
        <w:wordWrap/>
        <w:overflowPunct/>
        <w:topLinePunct w:val="0"/>
        <w:autoSpaceDE/>
        <w:autoSpaceDN/>
        <w:bidi w:val="0"/>
        <w:adjustRightInd/>
        <w:snapToGrid/>
        <w:spacing w:line="580" w:lineRule="exact"/>
        <w:ind w:firstLine="680" w:firstLineChars="200"/>
        <w:contextualSpacing/>
        <w:jc w:val="both"/>
        <w:textAlignment w:val="auto"/>
        <w:rPr>
          <w:rFonts w:hint="default" w:ascii="Times New Roman" w:hAnsi="Times New Roman" w:eastAsia="仿宋_GB2312" w:cs="Times New Roman"/>
          <w:b w:val="0"/>
          <w:bCs w:val="0"/>
          <w:sz w:val="34"/>
          <w:szCs w:val="34"/>
          <w:lang w:val="en-US" w:eastAsia="zh-CN"/>
        </w:rPr>
      </w:pPr>
      <w:r>
        <w:rPr>
          <w:rFonts w:hint="default" w:ascii="Times New Roman" w:hAnsi="Times New Roman" w:eastAsia="仿宋_GB2312" w:cs="Times New Roman"/>
          <w:b w:val="0"/>
          <w:bCs w:val="0"/>
          <w:sz w:val="34"/>
          <w:szCs w:val="34"/>
          <w:lang w:val="en-US" w:eastAsia="zh-CN"/>
        </w:rPr>
        <w:t>主要预期目标：规上工业总产值增长1.2%，商品销售额</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社会消费品零售</w:t>
      </w:r>
      <w:r>
        <w:rPr>
          <w:rFonts w:hint="eastAsia" w:ascii="Times New Roman" w:hAnsi="Times New Roman" w:eastAsia="仿宋_GB2312" w:cs="Times New Roman"/>
          <w:b w:val="0"/>
          <w:bCs w:val="0"/>
          <w:sz w:val="34"/>
          <w:szCs w:val="34"/>
          <w:lang w:val="en-US" w:eastAsia="zh-CN"/>
        </w:rPr>
        <w:t>基本持平</w:t>
      </w:r>
      <w:r>
        <w:rPr>
          <w:rFonts w:hint="default" w:ascii="Times New Roman" w:hAnsi="Times New Roman" w:eastAsia="仿宋_GB2312" w:cs="Times New Roman"/>
          <w:b w:val="0"/>
          <w:bCs w:val="0"/>
          <w:sz w:val="34"/>
          <w:szCs w:val="34"/>
          <w:lang w:val="en-US" w:eastAsia="zh-CN"/>
        </w:rPr>
        <w:t>，固定资产投资完成3亿元，交通运输业基本持平，营利性服务业增长5%，建筑业增长5%，内资到位额1.7亿元。城市基础设施更加完善，居民生活品质进一步提升，城市治理</w:t>
      </w:r>
      <w:r>
        <w:rPr>
          <w:rFonts w:hint="eastAsia" w:ascii="Times New Roman" w:hAnsi="Times New Roman" w:eastAsia="仿宋_GB2312" w:cs="Times New Roman"/>
          <w:b w:val="0"/>
          <w:bCs w:val="0"/>
          <w:sz w:val="34"/>
          <w:szCs w:val="34"/>
          <w:lang w:val="en-US" w:eastAsia="zh-CN"/>
        </w:rPr>
        <w:t>更加现代化</w:t>
      </w:r>
      <w:r>
        <w:rPr>
          <w:rFonts w:hint="default" w:ascii="Times New Roman" w:hAnsi="Times New Roman" w:eastAsia="仿宋_GB2312" w:cs="Times New Roman"/>
          <w:b w:val="0"/>
          <w:bCs w:val="0"/>
          <w:sz w:val="34"/>
          <w:szCs w:val="34"/>
          <w:lang w:val="en-US" w:eastAsia="zh-CN"/>
        </w:rPr>
        <w:t>。</w:t>
      </w:r>
    </w:p>
    <w:p w14:paraId="23C7A474">
      <w:pPr>
        <w:keepNext w:val="0"/>
        <w:keepLines w:val="0"/>
        <w:pageBreakBefore w:val="0"/>
        <w:widowControl/>
        <w:numPr>
          <w:ilvl w:val="0"/>
          <w:numId w:val="0"/>
        </w:numPr>
        <w:pBdr>
          <w:bottom w:val="single" w:color="FFFFFF" w:sz="4" w:space="31"/>
        </w:pBdr>
        <w:tabs>
          <w:tab w:val="left" w:pos="1980"/>
        </w:tabs>
        <w:kinsoku/>
        <w:wordWrap/>
        <w:overflowPunct/>
        <w:topLinePunct w:val="0"/>
        <w:autoSpaceDE/>
        <w:autoSpaceDN/>
        <w:bidi w:val="0"/>
        <w:adjustRightInd/>
        <w:snapToGrid/>
        <w:spacing w:line="580" w:lineRule="exact"/>
        <w:ind w:firstLine="683" w:firstLineChars="200"/>
        <w:contextualSpacing/>
        <w:jc w:val="both"/>
        <w:textAlignment w:val="auto"/>
        <w:rPr>
          <w:rFonts w:hint="default" w:ascii="Times New Roman" w:hAnsi="Times New Roman" w:eastAsia="仿宋_GB2312" w:cs="Times New Roman"/>
          <w:b w:val="0"/>
          <w:bCs w:val="0"/>
          <w:sz w:val="34"/>
          <w:szCs w:val="34"/>
          <w:lang w:val="en-US" w:eastAsia="zh-CN"/>
        </w:rPr>
      </w:pPr>
      <w:r>
        <w:rPr>
          <w:rFonts w:hint="default" w:ascii="Times New Roman" w:hAnsi="Times New Roman" w:eastAsia="仿宋_GB2312" w:cs="Times New Roman"/>
          <w:b/>
          <w:bCs/>
          <w:sz w:val="34"/>
          <w:szCs w:val="34"/>
          <w:lang w:val="en-US" w:eastAsia="zh-CN"/>
        </w:rPr>
        <w:t>一是在提升园区能级上创新突破。</w:t>
      </w:r>
      <w:r>
        <w:rPr>
          <w:rFonts w:hint="default" w:ascii="Times New Roman" w:hAnsi="Times New Roman" w:eastAsia="仿宋_GB2312" w:cs="Times New Roman"/>
          <w:b w:val="0"/>
          <w:bCs w:val="0"/>
          <w:sz w:val="34"/>
          <w:szCs w:val="34"/>
          <w:lang w:val="en-US" w:eastAsia="zh-CN"/>
        </w:rPr>
        <w:t>发挥好园区在街道经济发展中的支撑作用，不断深化园区体制机制改革，</w:t>
      </w:r>
      <w:r>
        <w:rPr>
          <w:rFonts w:hint="eastAsia" w:ascii="Times New Roman" w:hAnsi="Times New Roman" w:eastAsia="仿宋_GB2312" w:cs="Times New Roman"/>
          <w:b w:val="0"/>
          <w:bCs w:val="0"/>
          <w:sz w:val="34"/>
          <w:szCs w:val="34"/>
          <w:lang w:val="en-US" w:eastAsia="zh-CN"/>
        </w:rPr>
        <w:t>推进</w:t>
      </w:r>
      <w:r>
        <w:rPr>
          <w:rFonts w:hint="default" w:ascii="Times New Roman" w:hAnsi="Times New Roman" w:eastAsia="仿宋_GB2312" w:cs="Times New Roman"/>
          <w:b w:val="0"/>
          <w:bCs w:val="0"/>
          <w:sz w:val="34"/>
          <w:szCs w:val="34"/>
          <w:lang w:val="en-US" w:eastAsia="zh-CN"/>
        </w:rPr>
        <w:t>园区优化整合</w:t>
      </w:r>
      <w:r>
        <w:rPr>
          <w:rFonts w:hint="eastAsia" w:ascii="Times New Roman" w:hAnsi="Times New Roman" w:eastAsia="仿宋_GB2312" w:cs="Times New Roman"/>
          <w:b w:val="0"/>
          <w:bCs w:val="0"/>
          <w:sz w:val="34"/>
          <w:szCs w:val="34"/>
          <w:lang w:val="en-US" w:eastAsia="zh-CN"/>
        </w:rPr>
        <w:t>工作。</w:t>
      </w:r>
      <w:r>
        <w:rPr>
          <w:rFonts w:hint="default" w:ascii="Times New Roman" w:hAnsi="Times New Roman" w:eastAsia="仿宋_GB2312" w:cs="Times New Roman"/>
          <w:b w:val="0"/>
          <w:bCs w:val="0"/>
          <w:sz w:val="34"/>
          <w:szCs w:val="34"/>
          <w:lang w:val="en-US" w:eastAsia="zh-CN"/>
        </w:rPr>
        <w:t>进一步明确园区主导产业、发展规划和权责清单，探索</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园区管委会+平台公司</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运营管理新模式，加快推进园区规划环评、</w:t>
      </w:r>
      <w:r>
        <w:rPr>
          <w:rFonts w:hint="eastAsia" w:ascii="Times New Roman" w:hAnsi="Times New Roman" w:eastAsia="仿宋_GB2312" w:cs="Times New Roman"/>
          <w:b w:val="0"/>
          <w:bCs w:val="0"/>
          <w:sz w:val="34"/>
          <w:szCs w:val="34"/>
          <w:lang w:val="en-US" w:eastAsia="zh-CN"/>
        </w:rPr>
        <w:t>气防消防站建设、信息化平台建设</w:t>
      </w:r>
      <w:r>
        <w:rPr>
          <w:rFonts w:hint="default" w:ascii="Times New Roman" w:hAnsi="Times New Roman" w:eastAsia="仿宋_GB2312" w:cs="Times New Roman"/>
          <w:b w:val="0"/>
          <w:bCs w:val="0"/>
          <w:sz w:val="34"/>
          <w:szCs w:val="34"/>
          <w:lang w:val="en-US" w:eastAsia="zh-CN"/>
        </w:rPr>
        <w:t>等重点项目建设，争取尽快通过化工园区D级认证；充分发挥创新实践基地优势，将自贸区保税通关、融资租赁、商业保理等一系列优势政策延伸至街镇园区；坚持集约节约发展理念，统筹考虑园区规模倍增和产业提质需要，持续推进低效用地的二次开发，积极探索</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工业上楼</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、飞地园区等模式，提高土地集约开发利用效率，提升园区综合承载力</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推进清洁生产和节能减排，利用超长期国债，谋划园区整体水循环处理项目。</w:t>
      </w:r>
    </w:p>
    <w:p w14:paraId="47CA864E">
      <w:pPr>
        <w:keepNext w:val="0"/>
        <w:keepLines w:val="0"/>
        <w:pageBreakBefore w:val="0"/>
        <w:widowControl/>
        <w:numPr>
          <w:ilvl w:val="0"/>
          <w:numId w:val="0"/>
        </w:numPr>
        <w:pBdr>
          <w:bottom w:val="single" w:color="FFFFFF" w:sz="4" w:space="31"/>
        </w:pBdr>
        <w:tabs>
          <w:tab w:val="left" w:pos="1980"/>
        </w:tabs>
        <w:kinsoku/>
        <w:wordWrap/>
        <w:overflowPunct/>
        <w:topLinePunct w:val="0"/>
        <w:autoSpaceDE/>
        <w:autoSpaceDN/>
        <w:bidi w:val="0"/>
        <w:adjustRightInd/>
        <w:snapToGrid/>
        <w:spacing w:line="580" w:lineRule="exact"/>
        <w:ind w:firstLine="683" w:firstLineChars="200"/>
        <w:contextualSpacing/>
        <w:jc w:val="both"/>
        <w:textAlignment w:val="auto"/>
        <w:rPr>
          <w:rFonts w:hint="default" w:ascii="Times New Roman" w:hAnsi="Times New Roman" w:eastAsia="仿宋_GB2312" w:cs="Times New Roman"/>
          <w:color w:val="000000"/>
          <w:sz w:val="34"/>
          <w:szCs w:val="34"/>
          <w:lang w:eastAsia="zh-CN"/>
        </w:rPr>
      </w:pPr>
      <w:r>
        <w:rPr>
          <w:rFonts w:hint="default" w:ascii="Times New Roman" w:hAnsi="Times New Roman" w:eastAsia="仿宋_GB2312" w:cs="Times New Roman"/>
          <w:b/>
          <w:bCs/>
          <w:sz w:val="34"/>
          <w:szCs w:val="34"/>
          <w:lang w:val="en-US" w:eastAsia="zh-CN"/>
        </w:rPr>
        <w:t>二是在培育产业集群上强化支撑。</w:t>
      </w:r>
      <w:r>
        <w:rPr>
          <w:rFonts w:hint="eastAsia" w:ascii="Times New Roman" w:hAnsi="Times New Roman" w:eastAsia="仿宋_GB2312" w:cs="Times New Roman"/>
          <w:b w:val="0"/>
          <w:bCs w:val="0"/>
          <w:sz w:val="34"/>
          <w:szCs w:val="34"/>
          <w:lang w:val="en-US" w:eastAsia="zh-CN"/>
        </w:rPr>
        <w:t>积极谋划好街道“十五五”规划，</w:t>
      </w:r>
      <w:r>
        <w:rPr>
          <w:rFonts w:hint="default" w:ascii="Times New Roman" w:hAnsi="Times New Roman" w:eastAsia="仿宋_GB2312" w:cs="Times New Roman"/>
          <w:b w:val="0"/>
          <w:bCs w:val="0"/>
          <w:sz w:val="34"/>
          <w:szCs w:val="34"/>
          <w:lang w:val="en-US" w:eastAsia="zh-CN"/>
        </w:rPr>
        <w:t>推广地企合作招商、以商招商、平台招商等模式，主动承接京津冀配套产业转移项目，创新年期出让、长期租赁、资产兼并重组等方式，扩充优质项目储备库。强化经济运行调度，建立监测风险警示机制，针对重点经济指标精准施策，加快推动1250吨半导体材料、5万吨/年食品级干冰、一泓新能源盘活园区原合利化工项目闲置资产等项目落地，重点对接</w:t>
      </w:r>
      <w:r>
        <w:rPr>
          <w:rFonts w:hint="default" w:ascii="Times New Roman" w:hAnsi="Times New Roman" w:eastAsia="仿宋_GB2312" w:cs="Times New Roman"/>
          <w:i w:val="0"/>
          <w:iCs w:val="0"/>
          <w:caps w:val="0"/>
          <w:color w:val="000000"/>
          <w:spacing w:val="0"/>
          <w:kern w:val="2"/>
          <w:sz w:val="34"/>
          <w:szCs w:val="34"/>
          <w:highlight w:val="none"/>
          <w:shd w:val="clear" w:color="auto" w:fill="FFFFFF"/>
          <w:lang w:val="en-US" w:eastAsia="zh-CN" w:bidi="ar"/>
        </w:rPr>
        <w:t>聚鑫新材料等新</w:t>
      </w:r>
      <w:r>
        <w:rPr>
          <w:rFonts w:hint="default" w:ascii="Times New Roman" w:hAnsi="Times New Roman" w:eastAsia="仿宋_GB2312" w:cs="Times New Roman"/>
          <w:b w:val="0"/>
          <w:bCs w:val="0"/>
          <w:sz w:val="34"/>
          <w:szCs w:val="34"/>
          <w:lang w:val="en-US" w:eastAsia="zh-CN"/>
        </w:rPr>
        <w:t>项目，推动产业链现代化、高端化、绿色化发展。借助南开大学滨海校区建设，积极争取与街道产业关联度高的新材料、环境学等学科迁入。用好</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南滨科创园</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以及周边北化院、天津大学、南开大学等科研院所和高校资源，探索构建</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企业出题-政府助题-高校答题</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的良性循环。抓好</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专精特新</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企业发展，实施一批</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优品智能制造</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项目</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积极推动南开和成等企业上市</w:t>
      </w:r>
      <w:r>
        <w:rPr>
          <w:rFonts w:hint="default" w:ascii="Times New Roman" w:hAnsi="Times New Roman" w:eastAsia="仿宋_GB2312" w:cs="Times New Roman"/>
          <w:color w:val="000000"/>
          <w:sz w:val="34"/>
          <w:szCs w:val="34"/>
          <w:lang w:val="en-US" w:eastAsia="zh-CN"/>
        </w:rPr>
        <w:t>。</w:t>
      </w:r>
      <w:r>
        <w:rPr>
          <w:rFonts w:hint="default" w:ascii="Times New Roman" w:hAnsi="Times New Roman" w:eastAsia="仿宋_GB2312" w:cs="Times New Roman"/>
          <w:b w:val="0"/>
          <w:bCs w:val="0"/>
          <w:sz w:val="34"/>
          <w:szCs w:val="34"/>
          <w:lang w:val="en-US" w:eastAsia="zh-CN"/>
        </w:rPr>
        <w:t>落实</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四上企业</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包保责任，常态化落实</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向企业家汇报</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机制，</w:t>
      </w:r>
      <w:r>
        <w:rPr>
          <w:rFonts w:hint="default" w:ascii="Times New Roman" w:hAnsi="Times New Roman" w:eastAsia="仿宋_GB2312" w:cs="Times New Roman"/>
          <w:color w:val="000000"/>
          <w:sz w:val="34"/>
          <w:szCs w:val="34"/>
          <w:lang w:eastAsia="zh-CN"/>
        </w:rPr>
        <w:t>积极谋划一批传统产业技术升级改造项目。探索在园区设立</w:t>
      </w:r>
      <w:r>
        <w:rPr>
          <w:rFonts w:hint="eastAsia" w:ascii="Times New Roman" w:hAnsi="Times New Roman" w:eastAsia="仿宋_GB2312" w:cs="Times New Roman"/>
          <w:color w:val="000000"/>
          <w:sz w:val="34"/>
          <w:szCs w:val="34"/>
          <w:lang w:eastAsia="zh-CN"/>
        </w:rPr>
        <w:t>“</w:t>
      </w:r>
      <w:r>
        <w:rPr>
          <w:rFonts w:hint="default" w:ascii="Times New Roman" w:hAnsi="Times New Roman" w:eastAsia="仿宋_GB2312" w:cs="Times New Roman"/>
          <w:color w:val="000000"/>
          <w:sz w:val="34"/>
          <w:szCs w:val="34"/>
          <w:lang w:eastAsia="zh-CN"/>
        </w:rPr>
        <w:t>金融服务平台</w:t>
      </w:r>
      <w:r>
        <w:rPr>
          <w:rFonts w:hint="eastAsia" w:ascii="Times New Roman" w:hAnsi="Times New Roman" w:eastAsia="仿宋_GB2312" w:cs="Times New Roman"/>
          <w:color w:val="000000"/>
          <w:sz w:val="34"/>
          <w:szCs w:val="34"/>
          <w:lang w:eastAsia="zh-CN"/>
        </w:rPr>
        <w:t>”</w:t>
      </w:r>
      <w:r>
        <w:rPr>
          <w:rFonts w:hint="default" w:ascii="Times New Roman" w:hAnsi="Times New Roman" w:eastAsia="仿宋_GB2312" w:cs="Times New Roman"/>
          <w:color w:val="000000"/>
          <w:sz w:val="34"/>
          <w:szCs w:val="34"/>
          <w:lang w:eastAsia="zh-CN"/>
        </w:rPr>
        <w:t>，加强与证券公司、OTC柜台交易所、中关村担保公司等沟通，</w:t>
      </w:r>
      <w:r>
        <w:rPr>
          <w:rFonts w:hint="default" w:ascii="Times New Roman" w:hAnsi="Times New Roman" w:eastAsia="仿宋_GB2312" w:cs="Times New Roman"/>
          <w:color w:val="000000"/>
          <w:sz w:val="34"/>
          <w:szCs w:val="34"/>
          <w:lang w:val="en-US" w:eastAsia="zh-CN"/>
        </w:rPr>
        <w:t>全力促成政银企良性互动、各级政策互通、部门审批联动，破解项目建设瓶颈。</w:t>
      </w:r>
    </w:p>
    <w:p w14:paraId="5F9B5CDB">
      <w:pPr>
        <w:keepNext w:val="0"/>
        <w:keepLines w:val="0"/>
        <w:pageBreakBefore w:val="0"/>
        <w:widowControl/>
        <w:numPr>
          <w:ilvl w:val="0"/>
          <w:numId w:val="0"/>
        </w:numPr>
        <w:pBdr>
          <w:bottom w:val="single" w:color="FFFFFF" w:sz="4" w:space="31"/>
        </w:pBdr>
        <w:tabs>
          <w:tab w:val="left" w:pos="1980"/>
        </w:tabs>
        <w:kinsoku/>
        <w:wordWrap/>
        <w:overflowPunct/>
        <w:topLinePunct w:val="0"/>
        <w:autoSpaceDE/>
        <w:autoSpaceDN/>
        <w:bidi w:val="0"/>
        <w:adjustRightInd/>
        <w:snapToGrid/>
        <w:spacing w:line="580" w:lineRule="exact"/>
        <w:ind w:firstLine="683" w:firstLineChars="200"/>
        <w:contextualSpacing/>
        <w:jc w:val="both"/>
        <w:textAlignment w:val="auto"/>
        <w:rPr>
          <w:rFonts w:hint="default" w:ascii="Times New Roman" w:hAnsi="Times New Roman" w:eastAsia="仿宋_GB2312" w:cs="Times New Roman"/>
          <w:color w:val="000000"/>
          <w:sz w:val="34"/>
          <w:szCs w:val="34"/>
          <w:lang w:val="en-US" w:eastAsia="zh-CN"/>
        </w:rPr>
      </w:pPr>
      <w:r>
        <w:rPr>
          <w:rFonts w:hint="eastAsia" w:ascii="Times New Roman" w:hAnsi="Times New Roman" w:eastAsia="仿宋_GB2312" w:cs="Times New Roman"/>
          <w:b/>
          <w:bCs/>
          <w:sz w:val="34"/>
          <w:szCs w:val="34"/>
          <w:lang w:val="en-US" w:eastAsia="zh-CN"/>
        </w:rPr>
        <w:t>三</w:t>
      </w:r>
      <w:r>
        <w:rPr>
          <w:rFonts w:hint="default" w:ascii="Times New Roman" w:hAnsi="Times New Roman" w:eastAsia="仿宋_GB2312" w:cs="Times New Roman"/>
          <w:b/>
          <w:bCs/>
          <w:sz w:val="34"/>
          <w:szCs w:val="34"/>
          <w:lang w:val="en-US" w:eastAsia="zh-CN"/>
        </w:rPr>
        <w:t>是在盘活闲置资产上聚力攻坚。</w:t>
      </w:r>
      <w:r>
        <w:rPr>
          <w:rFonts w:hint="default" w:ascii="Times New Roman" w:hAnsi="Times New Roman" w:eastAsia="仿宋_GB2312" w:cs="Times New Roman"/>
          <w:color w:val="000000"/>
          <w:sz w:val="34"/>
          <w:szCs w:val="34"/>
          <w:lang w:val="en-US" w:eastAsia="zh-CN"/>
        </w:rPr>
        <w:t>对街域内闲置、低效能资源动态管理，对有潜在价值的资产进行重点梳理，坚持分类指导、因地制宜，针对不同类型、不同权属，探索差异化盘活路径</w:t>
      </w:r>
      <w:r>
        <w:rPr>
          <w:rFonts w:hint="eastAsia" w:ascii="Times New Roman" w:hAnsi="Times New Roman" w:eastAsia="仿宋_GB2312" w:cs="Times New Roman"/>
          <w:color w:val="000000"/>
          <w:sz w:val="34"/>
          <w:szCs w:val="34"/>
          <w:lang w:val="en-US" w:eastAsia="zh-CN"/>
        </w:rPr>
        <w:t>，实施“先租后让”“弹性年期”等方式完善项目供地机制，在存量载体中导入特种烯烃衍生物、精细及专用化学品、化工新材料等产业，优化石化产业链</w:t>
      </w:r>
      <w:r>
        <w:rPr>
          <w:rFonts w:hint="default" w:ascii="Times New Roman" w:hAnsi="Times New Roman" w:eastAsia="仿宋_GB2312" w:cs="Times New Roman"/>
          <w:color w:val="000000"/>
          <w:sz w:val="34"/>
          <w:szCs w:val="34"/>
          <w:lang w:val="en-US" w:eastAsia="zh-CN"/>
        </w:rPr>
        <w:t>。主动攻坚历史遗留问题，加快闲置房产证照办理和招商招租，合理调整规划用地，着力招引高品质养老服务、餐饮住宿、教育医疗等品牌，支持社会力量深入职业教育、专科医疗等细分服务领域，拓展就业渠道</w:t>
      </w:r>
      <w:r>
        <w:rPr>
          <w:rFonts w:hint="eastAsia" w:ascii="Times New Roman" w:hAnsi="Times New Roman" w:eastAsia="仿宋_GB2312" w:cs="Times New Roman"/>
          <w:color w:val="000000"/>
          <w:sz w:val="34"/>
          <w:szCs w:val="34"/>
          <w:lang w:val="en-US" w:eastAsia="zh-CN"/>
        </w:rPr>
        <w:t>，</w:t>
      </w:r>
      <w:r>
        <w:rPr>
          <w:rFonts w:hint="default" w:ascii="Times New Roman" w:hAnsi="Times New Roman" w:eastAsia="仿宋_GB2312" w:cs="Times New Roman"/>
          <w:color w:val="000000"/>
          <w:sz w:val="34"/>
          <w:szCs w:val="34"/>
          <w:lang w:val="en-US" w:eastAsia="zh-CN"/>
        </w:rPr>
        <w:t>坚决完成区委区政府的盘活任务。</w:t>
      </w:r>
    </w:p>
    <w:p w14:paraId="7D434439">
      <w:pPr>
        <w:keepNext w:val="0"/>
        <w:keepLines w:val="0"/>
        <w:pageBreakBefore w:val="0"/>
        <w:widowControl/>
        <w:numPr>
          <w:ilvl w:val="0"/>
          <w:numId w:val="0"/>
        </w:numPr>
        <w:pBdr>
          <w:bottom w:val="single" w:color="FFFFFF" w:sz="4" w:space="31"/>
        </w:pBdr>
        <w:tabs>
          <w:tab w:val="left" w:pos="1980"/>
        </w:tabs>
        <w:kinsoku/>
        <w:wordWrap/>
        <w:overflowPunct/>
        <w:topLinePunct w:val="0"/>
        <w:autoSpaceDE/>
        <w:autoSpaceDN/>
        <w:bidi w:val="0"/>
        <w:adjustRightInd/>
        <w:snapToGrid/>
        <w:spacing w:line="548" w:lineRule="exact"/>
        <w:ind w:firstLine="683" w:firstLineChars="200"/>
        <w:contextualSpacing/>
        <w:jc w:val="both"/>
        <w:textAlignment w:val="auto"/>
        <w:rPr>
          <w:rFonts w:hint="default" w:ascii="Times New Roman" w:hAnsi="Times New Roman" w:eastAsia="仿宋_GB2312" w:cs="Times New Roman"/>
          <w:sz w:val="34"/>
          <w:szCs w:val="34"/>
          <w:lang w:val="en-US" w:eastAsia="zh-CN"/>
        </w:rPr>
      </w:pPr>
      <w:r>
        <w:rPr>
          <w:rFonts w:hint="eastAsia" w:ascii="Times New Roman" w:hAnsi="Times New Roman" w:eastAsia="仿宋_GB2312" w:cs="Times New Roman"/>
          <w:b/>
          <w:bCs/>
          <w:sz w:val="34"/>
          <w:szCs w:val="34"/>
          <w:lang w:val="en-US" w:eastAsia="zh-CN"/>
        </w:rPr>
        <w:t>四</w:t>
      </w:r>
      <w:r>
        <w:rPr>
          <w:rFonts w:hint="default" w:ascii="Times New Roman" w:hAnsi="Times New Roman" w:eastAsia="仿宋_GB2312" w:cs="Times New Roman"/>
          <w:b/>
          <w:bCs/>
          <w:sz w:val="34"/>
          <w:szCs w:val="34"/>
          <w:lang w:val="en-US" w:eastAsia="zh-CN"/>
        </w:rPr>
        <w:t>是在做好民生保障上取长补短。</w:t>
      </w:r>
      <w:r>
        <w:rPr>
          <w:rFonts w:hint="default" w:ascii="Times New Roman" w:hAnsi="Times New Roman" w:eastAsia="仿宋_GB2312" w:cs="Times New Roman"/>
          <w:b w:val="0"/>
          <w:bCs w:val="0"/>
          <w:sz w:val="34"/>
          <w:szCs w:val="34"/>
          <w:lang w:val="en-US" w:eastAsia="zh-CN"/>
        </w:rPr>
        <w:t>保质保量完成</w:t>
      </w:r>
      <w:r>
        <w:rPr>
          <w:rFonts w:hint="default" w:ascii="Times New Roman" w:hAnsi="Times New Roman" w:eastAsia="仿宋_GB2312" w:cs="Times New Roman"/>
          <w:b w:val="0"/>
          <w:bCs w:val="0"/>
          <w:sz w:val="34"/>
          <w:szCs w:val="34"/>
          <w:lang w:eastAsia="zh-CN"/>
        </w:rPr>
        <w:t>老旧小区改造和城市更新项目，</w:t>
      </w:r>
      <w:r>
        <w:rPr>
          <w:rFonts w:hint="default" w:ascii="Times New Roman" w:hAnsi="Times New Roman" w:eastAsia="仿宋_GB2312" w:cs="Times New Roman"/>
          <w:b w:val="0"/>
          <w:bCs w:val="0"/>
          <w:sz w:val="34"/>
          <w:szCs w:val="34"/>
          <w:lang w:val="en-US" w:eastAsia="zh-CN"/>
        </w:rPr>
        <w:t>重点聚焦新天地大厦消防隐患整改、春港花园环境整治提升、步行街</w:t>
      </w:r>
      <w:r>
        <w:rPr>
          <w:rFonts w:hint="eastAsia" w:ascii="Times New Roman" w:hAnsi="Times New Roman" w:eastAsia="仿宋_GB2312" w:cs="Times New Roman"/>
          <w:b w:val="0"/>
          <w:bCs w:val="0"/>
          <w:sz w:val="34"/>
          <w:szCs w:val="34"/>
          <w:lang w:val="en-US" w:eastAsia="zh-CN"/>
        </w:rPr>
        <w:t>霞光路路面改造</w:t>
      </w:r>
      <w:r>
        <w:rPr>
          <w:rFonts w:hint="default" w:ascii="Times New Roman" w:hAnsi="Times New Roman" w:eastAsia="仿宋_GB2312" w:cs="Times New Roman"/>
          <w:b w:val="0"/>
          <w:bCs w:val="0"/>
          <w:sz w:val="34"/>
          <w:szCs w:val="34"/>
          <w:lang w:val="en-US" w:eastAsia="zh-CN"/>
        </w:rPr>
        <w:t>等民心工程，把好程序、质量关</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依照完整社区建设标准，挖掘边角地块，</w:t>
      </w:r>
      <w:r>
        <w:rPr>
          <w:rFonts w:hint="eastAsia" w:ascii="Times New Roman" w:hAnsi="Times New Roman" w:eastAsia="仿宋_GB2312" w:cs="Times New Roman"/>
          <w:b w:val="0"/>
          <w:bCs w:val="0"/>
          <w:sz w:val="34"/>
          <w:szCs w:val="34"/>
          <w:lang w:val="en-US" w:eastAsia="zh-CN"/>
        </w:rPr>
        <w:t>谋划新的城市更新项目</w:t>
      </w:r>
      <w:r>
        <w:rPr>
          <w:rFonts w:hint="default" w:ascii="Times New Roman" w:hAnsi="Times New Roman" w:eastAsia="仿宋_GB2312" w:cs="Times New Roman"/>
          <w:b w:val="0"/>
          <w:bCs w:val="0"/>
          <w:sz w:val="34"/>
          <w:szCs w:val="34"/>
          <w:lang w:val="en-US" w:eastAsia="zh-CN"/>
        </w:rPr>
        <w:t>。</w:t>
      </w:r>
      <w:r>
        <w:rPr>
          <w:rFonts w:hint="eastAsia" w:ascii="Times New Roman" w:hAnsi="Times New Roman" w:eastAsia="仿宋_GB2312" w:cs="Times New Roman"/>
          <w:b w:val="0"/>
          <w:bCs w:val="0"/>
          <w:sz w:val="34"/>
          <w:szCs w:val="34"/>
          <w:lang w:val="en-US" w:eastAsia="zh-CN"/>
        </w:rPr>
        <w:t>加快推进</w:t>
      </w:r>
      <w:r>
        <w:rPr>
          <w:rFonts w:hint="default" w:ascii="Times New Roman" w:hAnsi="Times New Roman" w:eastAsia="仿宋_GB2312" w:cs="Times New Roman"/>
          <w:b w:val="0"/>
          <w:bCs w:val="0"/>
          <w:sz w:val="34"/>
          <w:szCs w:val="34"/>
          <w:lang w:val="en-US" w:eastAsia="zh-CN"/>
        </w:rPr>
        <w:t>与创美助残公司合作建设</w:t>
      </w:r>
      <w:r>
        <w:rPr>
          <w:rFonts w:hint="eastAsia" w:ascii="Times New Roman" w:hAnsi="Times New Roman" w:eastAsia="仿宋_GB2312" w:cs="Times New Roman"/>
          <w:b w:val="0"/>
          <w:bCs w:val="0"/>
          <w:sz w:val="34"/>
          <w:szCs w:val="34"/>
          <w:lang w:val="en-US" w:eastAsia="zh-CN"/>
        </w:rPr>
        <w:t>的</w:t>
      </w:r>
      <w:r>
        <w:rPr>
          <w:rFonts w:hint="default" w:ascii="Times New Roman" w:hAnsi="Times New Roman" w:eastAsia="仿宋_GB2312" w:cs="Times New Roman"/>
          <w:b w:val="0"/>
          <w:bCs w:val="0"/>
          <w:sz w:val="34"/>
          <w:szCs w:val="34"/>
          <w:lang w:val="en-US" w:eastAsia="zh-CN"/>
        </w:rPr>
        <w:t>建安一社区综合服务中心</w:t>
      </w:r>
      <w:r>
        <w:rPr>
          <w:rFonts w:hint="eastAsia" w:ascii="Times New Roman" w:hAnsi="Times New Roman" w:eastAsia="仿宋_GB2312" w:cs="Times New Roman"/>
          <w:b w:val="0"/>
          <w:bCs w:val="0"/>
          <w:sz w:val="34"/>
          <w:szCs w:val="34"/>
          <w:lang w:val="en-US" w:eastAsia="zh-CN"/>
        </w:rPr>
        <w:t>项目</w:t>
      </w:r>
      <w:r>
        <w:rPr>
          <w:rFonts w:hint="default" w:ascii="Times New Roman" w:hAnsi="Times New Roman" w:eastAsia="仿宋_GB2312" w:cs="Times New Roman"/>
          <w:b w:val="0"/>
          <w:bCs w:val="0"/>
          <w:sz w:val="34"/>
          <w:szCs w:val="34"/>
          <w:lang w:val="en-US" w:eastAsia="zh-CN"/>
        </w:rPr>
        <w:t>，着力建设全区最大的残疾人辅助性就业基地。</w:t>
      </w:r>
      <w:r>
        <w:rPr>
          <w:rFonts w:hint="default" w:ascii="Times New Roman" w:hAnsi="Times New Roman" w:eastAsia="仿宋_GB2312" w:cs="Times New Roman"/>
          <w:b w:val="0"/>
          <w:bCs w:val="0"/>
          <w:color w:val="auto"/>
          <w:kern w:val="0"/>
          <w:sz w:val="34"/>
          <w:szCs w:val="34"/>
          <w:highlight w:val="none"/>
          <w:lang w:val="en-US" w:eastAsia="zh-CN" w:bidi="ar-SA"/>
        </w:rPr>
        <w:t>充分挖掘街道</w:t>
      </w:r>
      <w:r>
        <w:rPr>
          <w:rFonts w:hint="eastAsia" w:ascii="Times New Roman" w:hAnsi="Times New Roman" w:eastAsia="仿宋_GB2312" w:cs="Times New Roman"/>
          <w:b w:val="0"/>
          <w:bCs w:val="0"/>
          <w:color w:val="auto"/>
          <w:kern w:val="0"/>
          <w:sz w:val="34"/>
          <w:szCs w:val="34"/>
          <w:highlight w:val="none"/>
          <w:lang w:val="en-US" w:eastAsia="zh-CN" w:bidi="ar-SA"/>
        </w:rPr>
        <w:t>“</w:t>
      </w:r>
      <w:r>
        <w:rPr>
          <w:rFonts w:hint="default" w:ascii="Times New Roman" w:hAnsi="Times New Roman" w:eastAsia="仿宋_GB2312" w:cs="Times New Roman"/>
          <w:b w:val="0"/>
          <w:bCs w:val="0"/>
          <w:color w:val="auto"/>
          <w:kern w:val="0"/>
          <w:sz w:val="34"/>
          <w:szCs w:val="34"/>
          <w:highlight w:val="none"/>
          <w:lang w:val="en-US" w:eastAsia="zh-CN" w:bidi="ar-SA"/>
        </w:rPr>
        <w:t>非遗</w:t>
      </w:r>
      <w:r>
        <w:rPr>
          <w:rFonts w:hint="eastAsia" w:ascii="Times New Roman" w:hAnsi="Times New Roman" w:eastAsia="仿宋_GB2312" w:cs="Times New Roman"/>
          <w:b w:val="0"/>
          <w:bCs w:val="0"/>
          <w:color w:val="auto"/>
          <w:kern w:val="0"/>
          <w:sz w:val="34"/>
          <w:szCs w:val="34"/>
          <w:highlight w:val="none"/>
          <w:lang w:val="en-US" w:eastAsia="zh-CN" w:bidi="ar-SA"/>
        </w:rPr>
        <w:t>”</w:t>
      </w:r>
      <w:r>
        <w:rPr>
          <w:rFonts w:hint="default" w:ascii="Times New Roman" w:hAnsi="Times New Roman" w:eastAsia="仿宋_GB2312" w:cs="Times New Roman"/>
          <w:b w:val="0"/>
          <w:bCs w:val="0"/>
          <w:color w:val="auto"/>
          <w:kern w:val="0"/>
          <w:sz w:val="34"/>
          <w:szCs w:val="34"/>
          <w:highlight w:val="none"/>
          <w:lang w:val="en-US" w:eastAsia="zh-CN" w:bidi="ar-SA"/>
        </w:rPr>
        <w:t>文化资源，加强文化传承，组织更加丰富多彩的群众性活动。</w:t>
      </w:r>
      <w:r>
        <w:rPr>
          <w:rFonts w:hint="default" w:ascii="Times New Roman" w:hAnsi="Times New Roman" w:eastAsia="仿宋_GB2312" w:cs="Times New Roman"/>
          <w:sz w:val="34"/>
          <w:szCs w:val="34"/>
          <w:lang w:val="zh-CN" w:eastAsia="zh-CN"/>
        </w:rPr>
        <w:t>与天津石化消防支队、港琪物流、蓝天救援队等社会力量联动</w:t>
      </w:r>
      <w:r>
        <w:rPr>
          <w:rFonts w:hint="default" w:ascii="Times New Roman" w:hAnsi="Times New Roman" w:eastAsia="仿宋_GB2312" w:cs="Times New Roman"/>
          <w:b w:val="0"/>
          <w:bCs w:val="0"/>
          <w:sz w:val="34"/>
          <w:szCs w:val="34"/>
          <w:lang w:val="zh-CN" w:eastAsia="zh-CN"/>
        </w:rPr>
        <w:t>，细化、实化应急预案。聚焦重大危险源安全风险防控、工贸企业危险作业安全监管等，常态化开展安全检查、定向帮扶，强力推动安全生产治本攻坚三年行动目标任务落地见效。发挥好全国优秀调解委员会优势，最大限度发挥</w:t>
      </w:r>
      <w:r>
        <w:rPr>
          <w:rFonts w:hint="eastAsia" w:ascii="Times New Roman" w:hAnsi="Times New Roman" w:eastAsia="仿宋_GB2312" w:cs="Times New Roman"/>
          <w:sz w:val="34"/>
          <w:szCs w:val="34"/>
          <w:lang w:val="en-US" w:eastAsia="zh-CN"/>
        </w:rPr>
        <w:t>“</w:t>
      </w:r>
      <w:r>
        <w:rPr>
          <w:rFonts w:hint="default" w:ascii="Times New Roman" w:hAnsi="Times New Roman" w:eastAsia="仿宋_GB2312" w:cs="Times New Roman"/>
          <w:sz w:val="34"/>
          <w:szCs w:val="34"/>
          <w:lang w:val="en-US" w:eastAsia="zh-CN"/>
        </w:rPr>
        <w:t>街企警民</w:t>
      </w:r>
      <w:r>
        <w:rPr>
          <w:rFonts w:hint="eastAsia" w:ascii="Times New Roman" w:hAnsi="Times New Roman" w:eastAsia="仿宋_GB2312" w:cs="Times New Roman"/>
          <w:sz w:val="34"/>
          <w:szCs w:val="34"/>
          <w:lang w:val="en-US" w:eastAsia="zh-CN"/>
        </w:rPr>
        <w:t>”</w:t>
      </w:r>
      <w:r>
        <w:rPr>
          <w:rFonts w:hint="default" w:ascii="Times New Roman" w:hAnsi="Times New Roman" w:eastAsia="仿宋_GB2312" w:cs="Times New Roman"/>
          <w:kern w:val="2"/>
          <w:sz w:val="34"/>
          <w:szCs w:val="34"/>
          <w:lang w:val="en-US" w:eastAsia="zh-CN" w:bidi="ar-SA"/>
        </w:rPr>
        <w:t>深度融合优势</w:t>
      </w:r>
      <w:r>
        <w:rPr>
          <w:rFonts w:hint="default" w:ascii="Times New Roman" w:hAnsi="Times New Roman" w:eastAsia="仿宋_GB2312" w:cs="Times New Roman"/>
          <w:sz w:val="34"/>
          <w:szCs w:val="34"/>
          <w:lang w:val="en-US" w:eastAsia="zh-CN"/>
        </w:rPr>
        <w:t>，推动</w:t>
      </w:r>
      <w:r>
        <w:rPr>
          <w:rFonts w:hint="eastAsia" w:ascii="Times New Roman" w:hAnsi="Times New Roman" w:eastAsia="仿宋_GB2312" w:cs="Times New Roman"/>
          <w:sz w:val="34"/>
          <w:szCs w:val="34"/>
          <w:lang w:val="en-US" w:eastAsia="zh-CN"/>
        </w:rPr>
        <w:t>“</w:t>
      </w:r>
      <w:r>
        <w:rPr>
          <w:rFonts w:hint="default" w:ascii="Times New Roman" w:hAnsi="Times New Roman" w:eastAsia="仿宋_GB2312" w:cs="Times New Roman"/>
          <w:sz w:val="34"/>
          <w:szCs w:val="34"/>
          <w:lang w:val="en-US" w:eastAsia="zh-CN"/>
        </w:rPr>
        <w:t>疑难案件</w:t>
      </w:r>
      <w:r>
        <w:rPr>
          <w:rFonts w:hint="eastAsia" w:ascii="Times New Roman" w:hAnsi="Times New Roman" w:eastAsia="仿宋_GB2312" w:cs="Times New Roman"/>
          <w:sz w:val="34"/>
          <w:szCs w:val="34"/>
          <w:lang w:val="en-US" w:eastAsia="zh-CN"/>
        </w:rPr>
        <w:t>”</w:t>
      </w:r>
      <w:r>
        <w:rPr>
          <w:rFonts w:hint="default" w:ascii="Times New Roman" w:hAnsi="Times New Roman" w:eastAsia="仿宋_GB2312" w:cs="Times New Roman"/>
          <w:sz w:val="34"/>
          <w:szCs w:val="34"/>
          <w:lang w:val="en-US" w:eastAsia="zh-CN"/>
        </w:rPr>
        <w:t>化解，维护社会大局稳定。</w:t>
      </w:r>
    </w:p>
    <w:p w14:paraId="0679DF97">
      <w:pPr>
        <w:keepNext w:val="0"/>
        <w:keepLines w:val="0"/>
        <w:pageBreakBefore w:val="0"/>
        <w:widowControl/>
        <w:numPr>
          <w:ilvl w:val="0"/>
          <w:numId w:val="0"/>
        </w:numPr>
        <w:pBdr>
          <w:bottom w:val="single" w:color="FFFFFF" w:sz="4" w:space="31"/>
        </w:pBdr>
        <w:tabs>
          <w:tab w:val="left" w:pos="1980"/>
        </w:tabs>
        <w:kinsoku/>
        <w:wordWrap/>
        <w:overflowPunct/>
        <w:topLinePunct w:val="0"/>
        <w:autoSpaceDE/>
        <w:autoSpaceDN/>
        <w:bidi w:val="0"/>
        <w:adjustRightInd/>
        <w:snapToGrid/>
        <w:spacing w:line="548" w:lineRule="exact"/>
        <w:ind w:firstLine="683" w:firstLineChars="200"/>
        <w:contextualSpacing/>
        <w:jc w:val="both"/>
        <w:textAlignment w:val="auto"/>
        <w:rPr>
          <w:rFonts w:hint="default" w:ascii="Times New Roman" w:hAnsi="Times New Roman" w:eastAsia="仿宋_GB2312" w:cs="Times New Roman"/>
          <w:b w:val="0"/>
          <w:bCs w:val="0"/>
          <w:sz w:val="34"/>
          <w:szCs w:val="34"/>
          <w:lang w:val="zh-CN" w:eastAsia="zh-CN"/>
        </w:rPr>
      </w:pPr>
      <w:r>
        <w:rPr>
          <w:rFonts w:hint="eastAsia" w:ascii="Times New Roman" w:hAnsi="Times New Roman" w:eastAsia="仿宋_GB2312" w:cs="Times New Roman"/>
          <w:b/>
          <w:bCs/>
          <w:sz w:val="34"/>
          <w:szCs w:val="34"/>
          <w:lang w:val="en-US" w:eastAsia="zh-CN"/>
        </w:rPr>
        <w:t>五</w:t>
      </w:r>
      <w:r>
        <w:rPr>
          <w:rFonts w:hint="default" w:ascii="Times New Roman" w:hAnsi="Times New Roman" w:eastAsia="仿宋_GB2312" w:cs="Times New Roman"/>
          <w:b/>
          <w:bCs/>
          <w:sz w:val="34"/>
          <w:szCs w:val="34"/>
          <w:lang w:val="en-US" w:eastAsia="zh-CN"/>
        </w:rPr>
        <w:t>是在坚持党建引领上走深走实。</w:t>
      </w:r>
      <w:r>
        <w:rPr>
          <w:rFonts w:hint="default" w:ascii="Times New Roman" w:hAnsi="Times New Roman" w:eastAsia="仿宋_GB2312" w:cs="Times New Roman"/>
          <w:kern w:val="2"/>
          <w:sz w:val="34"/>
          <w:szCs w:val="34"/>
          <w:lang w:val="en-US" w:eastAsia="zh-CN" w:bidi="ar-SA"/>
        </w:rPr>
        <w:t>牢牢把握习近平新时代中国特色社会主义思想和习近平总书记视察天津的重要讲话精神，坚持把巩固拓展主题教育成果同巩固深化党纪学习教育成果有机结合，建立常态长效学习机制；广泛开展面向基层、面向群众的对象化、分众化、互动化宣讲，做到学深悟透、家喻户晓。以提升城市治理现代化水平为目标，探索多方协同共治体系，打造党建引领基层治理文化品牌，全面推动</w:t>
      </w:r>
      <w:r>
        <w:rPr>
          <w:rFonts w:hint="eastAsia" w:ascii="Times New Roman" w:hAnsi="Times New Roman" w:eastAsia="仿宋_GB2312" w:cs="Times New Roman"/>
          <w:kern w:val="2"/>
          <w:sz w:val="34"/>
          <w:szCs w:val="34"/>
          <w:lang w:val="en-US" w:eastAsia="zh-CN" w:bidi="ar-SA"/>
        </w:rPr>
        <w:t>“</w:t>
      </w:r>
      <w:r>
        <w:rPr>
          <w:rFonts w:hint="default" w:ascii="Times New Roman" w:hAnsi="Times New Roman" w:eastAsia="仿宋_GB2312" w:cs="Times New Roman"/>
          <w:kern w:val="2"/>
          <w:sz w:val="34"/>
          <w:szCs w:val="34"/>
          <w:lang w:val="en-US" w:eastAsia="zh-CN" w:bidi="ar-SA"/>
        </w:rPr>
        <w:t>六治</w:t>
      </w:r>
      <w:r>
        <w:rPr>
          <w:rFonts w:hint="eastAsia" w:ascii="Times New Roman" w:hAnsi="Times New Roman" w:eastAsia="仿宋_GB2312" w:cs="Times New Roman"/>
          <w:kern w:val="2"/>
          <w:sz w:val="34"/>
          <w:szCs w:val="34"/>
          <w:lang w:val="en-US" w:eastAsia="zh-CN" w:bidi="ar-SA"/>
        </w:rPr>
        <w:t>”</w:t>
      </w:r>
      <w:r>
        <w:rPr>
          <w:rFonts w:hint="default" w:ascii="Times New Roman" w:hAnsi="Times New Roman" w:eastAsia="仿宋_GB2312" w:cs="Times New Roman"/>
          <w:kern w:val="2"/>
          <w:sz w:val="34"/>
          <w:szCs w:val="34"/>
          <w:lang w:val="en-US" w:eastAsia="zh-CN" w:bidi="ar-SA"/>
        </w:rPr>
        <w:t>工程落地见效。</w:t>
      </w:r>
      <w:r>
        <w:rPr>
          <w:rFonts w:hint="default" w:ascii="Times New Roman" w:hAnsi="Times New Roman" w:eastAsia="仿宋_GB2312" w:cs="Times New Roman"/>
          <w:b w:val="0"/>
          <w:bCs w:val="0"/>
          <w:sz w:val="34"/>
          <w:szCs w:val="34"/>
          <w:lang w:val="en-US" w:eastAsia="zh-CN"/>
        </w:rPr>
        <w:t>压实全面从严治党主体责任，用好监督执纪</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四种形态</w:t>
      </w:r>
      <w:r>
        <w:rPr>
          <w:rFonts w:hint="eastAsia" w:ascii="Times New Roman" w:hAnsi="Times New Roman" w:eastAsia="仿宋_GB2312" w:cs="Times New Roman"/>
          <w:b w:val="0"/>
          <w:bCs w:val="0"/>
          <w:sz w:val="34"/>
          <w:szCs w:val="34"/>
          <w:lang w:val="en-US" w:eastAsia="zh-CN"/>
        </w:rPr>
        <w:t>”，持续开展</w:t>
      </w:r>
      <w:r>
        <w:rPr>
          <w:rFonts w:hint="default" w:ascii="Times New Roman" w:hAnsi="Times New Roman" w:eastAsia="仿宋_GB2312" w:cs="Times New Roman"/>
          <w:b w:val="0"/>
          <w:bCs w:val="0"/>
          <w:sz w:val="34"/>
          <w:szCs w:val="34"/>
          <w:lang w:val="en-US" w:eastAsia="zh-CN"/>
        </w:rPr>
        <w:t>群众身边不正之风和腐败问题</w:t>
      </w:r>
      <w:r>
        <w:rPr>
          <w:rFonts w:hint="eastAsia" w:ascii="Times New Roman" w:hAnsi="Times New Roman" w:eastAsia="仿宋_GB2312" w:cs="Times New Roman"/>
          <w:b w:val="0"/>
          <w:bCs w:val="0"/>
          <w:sz w:val="34"/>
          <w:szCs w:val="34"/>
          <w:lang w:val="en-US" w:eastAsia="zh-CN"/>
        </w:rPr>
        <w:t>专项整治，</w:t>
      </w:r>
      <w:r>
        <w:rPr>
          <w:rFonts w:hint="default" w:ascii="Times New Roman" w:hAnsi="Times New Roman" w:eastAsia="仿宋_GB2312" w:cs="Times New Roman"/>
          <w:b w:val="0"/>
          <w:bCs w:val="0"/>
          <w:sz w:val="34"/>
          <w:szCs w:val="34"/>
          <w:lang w:val="zh-CN" w:eastAsia="zh-CN"/>
        </w:rPr>
        <w:t>坚决查处有令不行、有</w:t>
      </w:r>
      <w:r>
        <w:rPr>
          <w:rFonts w:hint="default" w:ascii="Times New Roman" w:hAnsi="Times New Roman" w:eastAsia="仿宋_GB2312" w:cs="Times New Roman"/>
          <w:kern w:val="2"/>
          <w:sz w:val="34"/>
          <w:szCs w:val="34"/>
          <w:lang w:val="zh-CN" w:eastAsia="zh-CN" w:bidi="ar-SA"/>
        </w:rPr>
        <w:t>禁不止问题</w:t>
      </w:r>
      <w:r>
        <w:rPr>
          <w:rFonts w:hint="default" w:ascii="Times New Roman" w:hAnsi="Times New Roman" w:eastAsia="仿宋_GB2312" w:cs="Times New Roman"/>
          <w:b w:val="0"/>
          <w:bCs w:val="0"/>
          <w:sz w:val="34"/>
          <w:szCs w:val="34"/>
          <w:lang w:val="en-US" w:eastAsia="zh-CN"/>
        </w:rPr>
        <w:t>，增强全街干部学纪、知纪、明纪、守纪的自觉性，推动政府各项工作在法治轨道上运行</w:t>
      </w:r>
      <w:r>
        <w:rPr>
          <w:rFonts w:hint="default" w:ascii="Times New Roman" w:hAnsi="Times New Roman" w:eastAsia="仿宋_GB2312" w:cs="Times New Roman"/>
          <w:b w:val="0"/>
          <w:bCs w:val="0"/>
          <w:sz w:val="34"/>
          <w:szCs w:val="34"/>
          <w:lang w:val="zh-CN" w:eastAsia="zh-CN"/>
        </w:rPr>
        <w:t>。</w:t>
      </w:r>
    </w:p>
    <w:p w14:paraId="746D1CBB">
      <w:pPr>
        <w:keepNext w:val="0"/>
        <w:keepLines w:val="0"/>
        <w:pageBreakBefore w:val="0"/>
        <w:widowControl/>
        <w:numPr>
          <w:ilvl w:val="0"/>
          <w:numId w:val="0"/>
        </w:numPr>
        <w:pBdr>
          <w:bottom w:val="single" w:color="FFFFFF" w:sz="4" w:space="31"/>
        </w:pBdr>
        <w:tabs>
          <w:tab w:val="left" w:pos="1980"/>
        </w:tabs>
        <w:kinsoku/>
        <w:wordWrap/>
        <w:overflowPunct/>
        <w:topLinePunct w:val="0"/>
        <w:autoSpaceDE/>
        <w:autoSpaceDN/>
        <w:bidi w:val="0"/>
        <w:adjustRightInd/>
        <w:snapToGrid/>
        <w:spacing w:line="548" w:lineRule="exact"/>
        <w:ind w:firstLine="680" w:firstLineChars="200"/>
        <w:contextualSpacing/>
        <w:jc w:val="both"/>
        <w:textAlignment w:val="auto"/>
        <w:rPr>
          <w:rFonts w:hint="default" w:ascii="Times New Roman" w:hAnsi="Times New Roman" w:eastAsia="仿宋_GB2312" w:cs="Times New Roman"/>
          <w:b w:val="0"/>
          <w:bCs w:val="0"/>
          <w:sz w:val="34"/>
          <w:szCs w:val="34"/>
          <w:lang w:val="en-US" w:eastAsia="zh-CN"/>
        </w:rPr>
      </w:pPr>
      <w:r>
        <w:rPr>
          <w:rFonts w:hint="default" w:ascii="Times New Roman" w:hAnsi="Times New Roman" w:eastAsia="仿宋_GB2312" w:cs="Times New Roman"/>
          <w:b w:val="0"/>
          <w:bCs w:val="0"/>
          <w:sz w:val="34"/>
          <w:szCs w:val="34"/>
          <w:lang w:val="en-US" w:eastAsia="zh-CN"/>
        </w:rPr>
        <w:t>新的一年，我们</w:t>
      </w:r>
      <w:r>
        <w:rPr>
          <w:rFonts w:hint="eastAsia" w:ascii="Times New Roman" w:hAnsi="Times New Roman" w:eastAsia="仿宋_GB2312" w:cs="Times New Roman"/>
          <w:b w:val="0"/>
          <w:bCs w:val="0"/>
          <w:sz w:val="34"/>
          <w:szCs w:val="34"/>
          <w:lang w:val="en-US" w:eastAsia="zh-CN"/>
        </w:rPr>
        <w:t>将</w:t>
      </w:r>
      <w:r>
        <w:rPr>
          <w:rFonts w:hint="default" w:ascii="Times New Roman" w:hAnsi="Times New Roman" w:eastAsia="仿宋_GB2312" w:cs="Times New Roman"/>
          <w:b w:val="0"/>
          <w:bCs w:val="0"/>
          <w:sz w:val="34"/>
          <w:szCs w:val="34"/>
          <w:lang w:val="en-US" w:eastAsia="zh-CN"/>
        </w:rPr>
        <w:t>更加紧密</w:t>
      </w:r>
      <w:r>
        <w:rPr>
          <w:rFonts w:hint="eastAsia" w:ascii="Times New Roman" w:hAnsi="Times New Roman" w:eastAsia="仿宋_GB2312" w:cs="Times New Roman"/>
          <w:b w:val="0"/>
          <w:bCs w:val="0"/>
          <w:sz w:val="34"/>
          <w:szCs w:val="34"/>
          <w:lang w:val="en-US" w:eastAsia="zh-CN"/>
        </w:rPr>
        <w:t>地</w:t>
      </w:r>
      <w:r>
        <w:rPr>
          <w:rFonts w:hint="default" w:ascii="Times New Roman" w:hAnsi="Times New Roman" w:eastAsia="仿宋_GB2312" w:cs="Times New Roman"/>
          <w:b w:val="0"/>
          <w:bCs w:val="0"/>
          <w:sz w:val="34"/>
          <w:szCs w:val="34"/>
          <w:lang w:val="en-US" w:eastAsia="zh-CN"/>
        </w:rPr>
        <w:t>团结在以习近平同志为核心的党中央</w:t>
      </w:r>
      <w:bookmarkStart w:id="0" w:name="_GoBack"/>
      <w:bookmarkEnd w:id="0"/>
      <w:r>
        <w:rPr>
          <w:rFonts w:hint="default" w:ascii="Times New Roman" w:hAnsi="Times New Roman" w:eastAsia="仿宋_GB2312" w:cs="Times New Roman"/>
          <w:b w:val="0"/>
          <w:bCs w:val="0"/>
          <w:sz w:val="34"/>
          <w:szCs w:val="34"/>
          <w:lang w:val="en-US" w:eastAsia="zh-CN"/>
        </w:rPr>
        <w:t>周围，提振信心、实干担当，聚焦滨海新区高质量发展支撑引领行动部署要求，打好全年重点任务的攻坚仗主动仗，为加快建设新时代</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四宜</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美丽</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滨城</w:t>
      </w:r>
      <w:r>
        <w:rPr>
          <w:rFonts w:hint="eastAsia" w:ascii="Times New Roman" w:hAnsi="Times New Roman" w:eastAsia="仿宋_GB2312" w:cs="Times New Roman"/>
          <w:b w:val="0"/>
          <w:bCs w:val="0"/>
          <w:sz w:val="34"/>
          <w:szCs w:val="34"/>
          <w:lang w:val="en-US" w:eastAsia="zh-CN"/>
        </w:rPr>
        <w:t>”</w:t>
      </w:r>
      <w:r>
        <w:rPr>
          <w:rFonts w:hint="default" w:ascii="Times New Roman" w:hAnsi="Times New Roman" w:eastAsia="仿宋_GB2312" w:cs="Times New Roman"/>
          <w:b w:val="0"/>
          <w:bCs w:val="0"/>
          <w:sz w:val="34"/>
          <w:szCs w:val="34"/>
          <w:lang w:val="en-US" w:eastAsia="zh-CN"/>
        </w:rPr>
        <w:t>贡献大港街力量。</w:t>
      </w:r>
    </w:p>
    <w:p w14:paraId="3653818A">
      <w:pPr>
        <w:keepNext w:val="0"/>
        <w:keepLines w:val="0"/>
        <w:pageBreakBefore w:val="0"/>
        <w:widowControl/>
        <w:numPr>
          <w:ilvl w:val="0"/>
          <w:numId w:val="0"/>
        </w:numPr>
        <w:pBdr>
          <w:bottom w:val="single" w:color="FFFFFF" w:sz="4" w:space="31"/>
        </w:pBdr>
        <w:tabs>
          <w:tab w:val="left" w:pos="1980"/>
        </w:tabs>
        <w:kinsoku/>
        <w:wordWrap/>
        <w:overflowPunct/>
        <w:topLinePunct w:val="0"/>
        <w:autoSpaceDE/>
        <w:autoSpaceDN/>
        <w:bidi w:val="0"/>
        <w:adjustRightInd/>
        <w:snapToGrid/>
        <w:spacing w:line="580" w:lineRule="exact"/>
        <w:ind w:firstLine="680" w:firstLineChars="200"/>
        <w:contextualSpacing/>
        <w:jc w:val="right"/>
        <w:textAlignment w:val="auto"/>
        <w:rPr>
          <w:rFonts w:hint="eastAsia" w:ascii="Times New Roman" w:hAnsi="Times New Roman" w:eastAsia="仿宋_GB2312" w:cs="Times New Roman"/>
          <w:b w:val="0"/>
          <w:bCs w:val="0"/>
          <w:sz w:val="34"/>
          <w:szCs w:val="34"/>
          <w:lang w:val="en-US" w:eastAsia="zh-CN"/>
        </w:rPr>
      </w:pPr>
    </w:p>
    <w:p w14:paraId="6902B6D0">
      <w:pPr>
        <w:keepNext w:val="0"/>
        <w:keepLines w:val="0"/>
        <w:pageBreakBefore w:val="0"/>
        <w:widowControl/>
        <w:numPr>
          <w:ilvl w:val="0"/>
          <w:numId w:val="0"/>
        </w:numPr>
        <w:pBdr>
          <w:bottom w:val="single" w:color="FFFFFF" w:sz="4" w:space="31"/>
        </w:pBdr>
        <w:tabs>
          <w:tab w:val="left" w:pos="1980"/>
        </w:tabs>
        <w:kinsoku/>
        <w:wordWrap/>
        <w:overflowPunct/>
        <w:topLinePunct w:val="0"/>
        <w:autoSpaceDE/>
        <w:autoSpaceDN/>
        <w:bidi w:val="0"/>
        <w:adjustRightInd/>
        <w:snapToGrid/>
        <w:spacing w:line="540" w:lineRule="exact"/>
        <w:ind w:firstLine="680" w:firstLineChars="200"/>
        <w:contextualSpacing/>
        <w:jc w:val="center"/>
        <w:textAlignment w:val="auto"/>
        <w:rPr>
          <w:rFonts w:hint="eastAsia" w:ascii="Times New Roman" w:hAnsi="Times New Roman" w:eastAsia="仿宋_GB2312" w:cs="Times New Roman"/>
          <w:b w:val="0"/>
          <w:bCs w:val="0"/>
          <w:sz w:val="34"/>
          <w:szCs w:val="34"/>
          <w:lang w:val="en-US" w:eastAsia="zh-CN"/>
        </w:rPr>
      </w:pPr>
      <w:r>
        <w:rPr>
          <w:rFonts w:hint="eastAsia" w:ascii="Times New Roman" w:hAnsi="Times New Roman" w:eastAsia="仿宋_GB2312" w:cs="Times New Roman"/>
          <w:b w:val="0"/>
          <w:bCs w:val="0"/>
          <w:sz w:val="34"/>
          <w:szCs w:val="34"/>
          <w:lang w:val="en-US" w:eastAsia="zh-CN"/>
        </w:rPr>
        <w:t xml:space="preserve">                          大港街道办事处</w:t>
      </w:r>
    </w:p>
    <w:p w14:paraId="177721D8">
      <w:pPr>
        <w:keepNext w:val="0"/>
        <w:keepLines w:val="0"/>
        <w:pageBreakBefore w:val="0"/>
        <w:widowControl/>
        <w:numPr>
          <w:ilvl w:val="0"/>
          <w:numId w:val="0"/>
        </w:numPr>
        <w:pBdr>
          <w:bottom w:val="single" w:color="FFFFFF" w:sz="4" w:space="31"/>
        </w:pBdr>
        <w:tabs>
          <w:tab w:val="left" w:pos="1980"/>
        </w:tabs>
        <w:kinsoku/>
        <w:wordWrap/>
        <w:overflowPunct/>
        <w:topLinePunct w:val="0"/>
        <w:autoSpaceDE/>
        <w:autoSpaceDN/>
        <w:bidi w:val="0"/>
        <w:adjustRightInd/>
        <w:snapToGrid/>
        <w:spacing w:line="540" w:lineRule="exact"/>
        <w:ind w:firstLine="680" w:firstLineChars="200"/>
        <w:contextualSpacing/>
        <w:jc w:val="center"/>
        <w:textAlignment w:val="auto"/>
        <w:rPr>
          <w:rFonts w:hint="default" w:ascii="Times New Roman" w:hAnsi="Times New Roman" w:eastAsia="仿宋_GB2312" w:cs="Times New Roman"/>
          <w:b w:val="0"/>
          <w:bCs w:val="0"/>
          <w:sz w:val="34"/>
          <w:szCs w:val="34"/>
          <w:lang w:val="en-US" w:eastAsia="zh-CN"/>
        </w:rPr>
      </w:pPr>
      <w:r>
        <w:rPr>
          <w:rFonts w:hint="eastAsia" w:ascii="Times New Roman" w:hAnsi="Times New Roman" w:eastAsia="仿宋_GB2312" w:cs="Times New Roman"/>
          <w:b w:val="0"/>
          <w:bCs w:val="0"/>
          <w:sz w:val="34"/>
          <w:szCs w:val="34"/>
          <w:lang w:val="en-US" w:eastAsia="zh-CN"/>
        </w:rPr>
        <w:t xml:space="preserve">                           2024年12月31日</w:t>
      </w:r>
    </w:p>
    <w:p w14:paraId="0D6E3FAE"/>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9D0F07"/>
    <w:rsid w:val="190769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2084</Words>
  <Characters>2107</Characters>
  <Lines>0</Lines>
  <Paragraphs>0</Paragraphs>
  <TotalTime>2</TotalTime>
  <ScaleCrop>false</ScaleCrop>
  <LinksUpToDate>false</LinksUpToDate>
  <CharactersWithSpaces>2160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2025-03-06T06:42:00Z</dcterms:created>
  <dc:creator>Administrator</dc:creator>
  <cp:lastModifiedBy>劉小羽</cp:lastModifiedBy>
  <dcterms:modified xsi:type="dcterms:W3CDTF">2025-03-06T06:55:45Z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eyJoZGlkIjoiOWQwNTNmYzRjZjBlNjU4YzcwZjVjZjExNDM4YTFiNTUiLCJ1c2VySWQiOiIzNDE3MjA5MjEifQ==</vt:lpwstr>
  </property>
  <property fmtid="{D5CDD505-2E9C-101B-9397-08002B2CF9AE}" pid="4" name="ICV">
    <vt:lpwstr>52781D2FED134E0882E269928D1A512C_12</vt:lpwstr>
  </property>
</Properties>
</file>