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2E05B">
      <w:pPr>
        <w:widowControl/>
        <w:shd w:val="clear" w:color="auto" w:fill="FFFFFF"/>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2024年大港街</w:t>
      </w:r>
      <w:r>
        <w:rPr>
          <w:rFonts w:hint="eastAsia" w:ascii="方正小标宋简体" w:hAnsi="方正小标宋简体" w:eastAsia="方正小标宋简体" w:cs="方正小标宋简体"/>
          <w:b w:val="0"/>
          <w:bCs w:val="0"/>
          <w:color w:val="000000"/>
          <w:kern w:val="0"/>
          <w:sz w:val="44"/>
          <w:szCs w:val="44"/>
        </w:rPr>
        <w:t>政府信息公开工作年度报告</w:t>
      </w:r>
    </w:p>
    <w:p w14:paraId="20AEFDFA">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color w:val="000000"/>
          <w:kern w:val="0"/>
          <w:sz w:val="21"/>
          <w:szCs w:val="21"/>
        </w:rPr>
      </w:pPr>
    </w:p>
    <w:p w14:paraId="1A27E4CC">
      <w:pPr>
        <w:pStyle w:val="2"/>
        <w:ind w:left="0" w:leftChars="0" w:firstLine="640" w:firstLineChars="200"/>
        <w:rPr>
          <w:rFonts w:hint="eastAsia"/>
        </w:rPr>
      </w:pPr>
      <w:r>
        <w:rPr>
          <w:rFonts w:hint="eastAsia"/>
        </w:rPr>
        <w:t>根据《中华人民共和国政府信息公开条例》（国务院令第711号）和《国务院办公厅政府信息与政务公开办公室关于政府信息公开工作年度报告有关事项的通知》的有关要求，现提交202</w:t>
      </w:r>
      <w:r>
        <w:rPr>
          <w:rFonts w:hint="eastAsia"/>
          <w:lang w:val="en-US" w:eastAsia="zh-CN"/>
        </w:rPr>
        <w:t>4</w:t>
      </w:r>
      <w:r>
        <w:rPr>
          <w:rFonts w:hint="eastAsia"/>
        </w:rPr>
        <w:t>年度大港街道信息公开年度工作报告。本报告中所列数据的统计期限自202</w:t>
      </w:r>
      <w:r>
        <w:rPr>
          <w:rFonts w:hint="eastAsia"/>
          <w:lang w:val="en-US" w:eastAsia="zh-CN"/>
        </w:rPr>
        <w:t>4</w:t>
      </w:r>
      <w:r>
        <w:rPr>
          <w:rFonts w:hint="eastAsia"/>
        </w:rPr>
        <w:t>年1月1日起至202</w:t>
      </w:r>
      <w:r>
        <w:rPr>
          <w:rFonts w:hint="eastAsia"/>
          <w:lang w:val="en-US" w:eastAsia="zh-CN"/>
        </w:rPr>
        <w:t>4</w:t>
      </w:r>
      <w:r>
        <w:rPr>
          <w:rFonts w:hint="eastAsia"/>
        </w:rPr>
        <w:t>年12月31日止。</w:t>
      </w:r>
    </w:p>
    <w:p w14:paraId="7B762A1F">
      <w:pPr>
        <w:widowControl/>
        <w:shd w:val="clear" w:color="auto" w:fill="FFFFFF"/>
        <w:ind w:firstLine="640" w:firstLineChars="200"/>
        <w:rPr>
          <w:rFonts w:hint="eastAsia"/>
        </w:rPr>
      </w:pPr>
      <w:r>
        <w:rPr>
          <w:rFonts w:hint="eastAsia" w:ascii="黑体" w:hAnsi="黑体" w:eastAsia="黑体" w:cs="黑体"/>
          <w:b w:val="0"/>
          <w:bCs w:val="0"/>
          <w:color w:val="000000"/>
          <w:kern w:val="0"/>
          <w:sz w:val="32"/>
          <w:szCs w:val="32"/>
        </w:rPr>
        <w:t>一、总体情况</w:t>
      </w:r>
    </w:p>
    <w:p w14:paraId="28F2E5C5">
      <w:pPr>
        <w:pStyle w:val="2"/>
        <w:shd w:val="clear" w:color="auto" w:fill="FFFFFF"/>
        <w:ind w:left="0" w:leftChars="0" w:firstLine="640" w:firstLineChars="200"/>
        <w:rPr>
          <w:rFonts w:hint="eastAsia"/>
        </w:rPr>
      </w:pPr>
      <w:r>
        <w:rPr>
          <w:rFonts w:hint="eastAsia"/>
        </w:rPr>
        <w:t>主动公开方面，2024年度，</w:t>
      </w:r>
      <w:r>
        <w:rPr>
          <w:rFonts w:hint="eastAsia"/>
          <w:lang w:val="en-US" w:eastAsia="zh-CN"/>
        </w:rPr>
        <w:t>大港街</w:t>
      </w:r>
      <w:r>
        <w:rPr>
          <w:rFonts w:hint="eastAsia"/>
        </w:rPr>
        <w:t>贯彻落实《中华人民共和国政府信息公开条例》，及时更新机构信息，按规定公开年度法治政府建设情况报告等信息，按时公开</w:t>
      </w:r>
      <w:r>
        <w:rPr>
          <w:rFonts w:hint="eastAsia"/>
          <w:lang w:val="en-US" w:eastAsia="zh-CN"/>
        </w:rPr>
        <w:t>大港街行政执法工作情况</w:t>
      </w:r>
      <w:r>
        <w:rPr>
          <w:rFonts w:hint="eastAsia"/>
        </w:rPr>
        <w:t>、行政处罚情况、</w:t>
      </w:r>
      <w:r>
        <w:rPr>
          <w:rFonts w:hint="eastAsia"/>
          <w:lang w:val="en-US" w:eastAsia="zh-CN"/>
        </w:rPr>
        <w:t>守法普法工作信息、</w:t>
      </w:r>
      <w:r>
        <w:rPr>
          <w:rFonts w:hint="eastAsia"/>
        </w:rPr>
        <w:t>部门决算等财政预决算、</w:t>
      </w:r>
      <w:r>
        <w:rPr>
          <w:rFonts w:hint="eastAsia"/>
          <w:lang w:val="en-US" w:eastAsia="zh-CN"/>
        </w:rPr>
        <w:t>残疾人服务救助</w:t>
      </w:r>
      <w:r>
        <w:rPr>
          <w:rFonts w:hint="eastAsia"/>
        </w:rPr>
        <w:t>等重大民生信息，做到应公开尽公开。截至12月31日，新增主动公开文件</w:t>
      </w:r>
      <w:r>
        <w:rPr>
          <w:rFonts w:hint="eastAsia"/>
          <w:lang w:val="en-US" w:eastAsia="zh-CN"/>
        </w:rPr>
        <w:t>44</w:t>
      </w:r>
      <w:r>
        <w:rPr>
          <w:rFonts w:hint="eastAsia"/>
        </w:rPr>
        <w:t>件，其中普通公告类</w:t>
      </w:r>
      <w:r>
        <w:rPr>
          <w:rFonts w:hint="eastAsia"/>
          <w:lang w:val="en-US" w:eastAsia="zh-CN"/>
        </w:rPr>
        <w:t>30</w:t>
      </w:r>
      <w:r>
        <w:rPr>
          <w:rFonts w:hint="eastAsia"/>
        </w:rPr>
        <w:t>条，街镇动态信息</w:t>
      </w:r>
      <w:r>
        <w:rPr>
          <w:rFonts w:hint="eastAsia"/>
          <w:lang w:val="en-US" w:eastAsia="zh-CN"/>
        </w:rPr>
        <w:t>14</w:t>
      </w:r>
      <w:r>
        <w:rPr>
          <w:rFonts w:hint="eastAsia"/>
        </w:rPr>
        <w:t>条。</w:t>
      </w:r>
    </w:p>
    <w:p w14:paraId="6D7A99D0">
      <w:pPr>
        <w:pStyle w:val="2"/>
        <w:shd w:val="clear" w:color="auto" w:fill="FFFFFF"/>
        <w:ind w:left="0" w:leftChars="0" w:firstLine="640" w:firstLineChars="200"/>
        <w:rPr>
          <w:rFonts w:hint="eastAsia"/>
        </w:rPr>
      </w:pPr>
      <w:r>
        <w:rPr>
          <w:rFonts w:hint="eastAsia"/>
        </w:rPr>
        <w:t>依申请公开方面，2024年度，</w:t>
      </w:r>
      <w:r>
        <w:rPr>
          <w:rFonts w:hint="eastAsia"/>
          <w:lang w:val="en-US" w:eastAsia="zh-CN"/>
        </w:rPr>
        <w:t>大港街</w:t>
      </w:r>
      <w:r>
        <w:rPr>
          <w:rFonts w:hint="eastAsia"/>
        </w:rPr>
        <w:t>收到政府信息公开申请</w:t>
      </w:r>
      <w:r>
        <w:rPr>
          <w:rFonts w:hint="eastAsia"/>
          <w:lang w:val="en-US" w:eastAsia="zh-CN"/>
        </w:rPr>
        <w:t>1件</w:t>
      </w:r>
      <w:r>
        <w:rPr>
          <w:rFonts w:hint="eastAsia"/>
        </w:rPr>
        <w:t>，</w:t>
      </w:r>
      <w:r>
        <w:rPr>
          <w:rFonts w:hint="eastAsia"/>
          <w:lang w:val="en-US" w:eastAsia="zh-CN"/>
        </w:rPr>
        <w:t>按不属于本机关掌握的信息按期如实答复申请人，并告知其向相关单位申请。本年度</w:t>
      </w:r>
      <w:r>
        <w:rPr>
          <w:rFonts w:hint="eastAsia"/>
        </w:rPr>
        <w:t>未发生因政府信息公开工作被申请行政复议、提起行政诉讼情况。</w:t>
      </w:r>
    </w:p>
    <w:p w14:paraId="0FF445AB">
      <w:pPr>
        <w:pStyle w:val="2"/>
        <w:shd w:val="clear" w:color="auto" w:fill="FFFFFF"/>
        <w:ind w:left="0" w:leftChars="0" w:firstLine="640" w:firstLineChars="200"/>
        <w:rPr>
          <w:rFonts w:hint="eastAsia"/>
        </w:rPr>
      </w:pPr>
      <w:r>
        <w:rPr>
          <w:rFonts w:hint="eastAsia"/>
        </w:rPr>
        <w:t>政府信息管理方面，</w:t>
      </w:r>
      <w:r>
        <w:rPr>
          <w:rFonts w:hint="eastAsia"/>
          <w:lang w:val="en-US" w:eastAsia="zh-CN"/>
        </w:rPr>
        <w:t>大港街</w:t>
      </w:r>
      <w:r>
        <w:rPr>
          <w:rFonts w:hint="eastAsia"/>
        </w:rPr>
        <w:t>高度重视政府信息公开工作，在工作过程中坚持以习近平新时代中国特色社会主义思想为指导，不断完善镇政府信息公开工作。严格按照“公开为原则，不公开为例外”的要求进行信息公开，同时做好信息协调，对涉及到跨部门、多部门的信息事先充分</w:t>
      </w:r>
      <w:bookmarkStart w:id="0" w:name="_GoBack"/>
      <w:bookmarkEnd w:id="0"/>
      <w:r>
        <w:rPr>
          <w:rFonts w:hint="eastAsia"/>
        </w:rPr>
        <w:t>沟通，确保发布信息的准确性和一致性。</w:t>
      </w:r>
    </w:p>
    <w:p w14:paraId="6EF76BAA">
      <w:pPr>
        <w:pStyle w:val="2"/>
        <w:shd w:val="clear" w:color="auto" w:fill="FFFFFF"/>
        <w:ind w:left="0" w:leftChars="0" w:firstLine="640" w:firstLineChars="200"/>
        <w:rPr>
          <w:rFonts w:hint="eastAsia"/>
        </w:rPr>
      </w:pPr>
      <w:r>
        <w:rPr>
          <w:rFonts w:hint="eastAsia"/>
        </w:rPr>
        <w:t>政府信息公开平台建设方面，</w:t>
      </w:r>
      <w:r>
        <w:rPr>
          <w:rFonts w:hint="eastAsia"/>
          <w:lang w:val="en-US" w:eastAsia="zh-CN"/>
        </w:rPr>
        <w:t>大港街</w:t>
      </w:r>
      <w:r>
        <w:rPr>
          <w:rFonts w:hint="eastAsia"/>
        </w:rPr>
        <w:t>依托天津市滨海新区政府门户网站群内容管理系统，安排专人对政府信息公开平台后台建设统一管理，政府信息公开统一对外发布。同时，我</w:t>
      </w:r>
      <w:r>
        <w:rPr>
          <w:rFonts w:hint="eastAsia"/>
          <w:lang w:val="en-US" w:eastAsia="zh-CN"/>
        </w:rPr>
        <w:t>街</w:t>
      </w:r>
      <w:r>
        <w:rPr>
          <w:rFonts w:hint="eastAsia"/>
        </w:rPr>
        <w:t>还通过公开栏、宣传横幅、电子屏、微信等媒介，将与群众息息相关的政策法规面向社会公开，切实保障了人民群众的知情权、参与权和监督权。</w:t>
      </w:r>
    </w:p>
    <w:p w14:paraId="36F5AA08">
      <w:pPr>
        <w:pStyle w:val="2"/>
        <w:shd w:val="clear" w:color="auto" w:fill="FFFFFF"/>
        <w:ind w:left="0" w:leftChars="0" w:firstLine="640" w:firstLineChars="200"/>
        <w:rPr>
          <w:rFonts w:hint="eastAsia"/>
        </w:rPr>
      </w:pPr>
      <w:r>
        <w:rPr>
          <w:rFonts w:hint="eastAsia"/>
          <w:lang w:val="en-US" w:eastAsia="zh-CN"/>
        </w:rPr>
        <w:t>在</w:t>
      </w:r>
      <w:r>
        <w:rPr>
          <w:rFonts w:hint="eastAsia"/>
        </w:rPr>
        <w:t>监督保障方面</w:t>
      </w:r>
      <w:r>
        <w:rPr>
          <w:rFonts w:hint="eastAsia"/>
          <w:lang w:eastAsia="zh-CN"/>
        </w:rPr>
        <w:t>。</w:t>
      </w:r>
      <w:r>
        <w:rPr>
          <w:rFonts w:hint="eastAsia"/>
          <w:lang w:val="en-US" w:eastAsia="zh-CN"/>
        </w:rPr>
        <w:t>大港街</w:t>
      </w:r>
      <w:r>
        <w:rPr>
          <w:rFonts w:hint="eastAsia"/>
        </w:rPr>
        <w:t>信息公开的牵头部门为综合办公室，安排专人负责信息公开工作的组织、协调，</w:t>
      </w:r>
      <w:r>
        <w:rPr>
          <w:rFonts w:hint="eastAsia"/>
          <w:lang w:val="en-US" w:eastAsia="zh-CN"/>
        </w:rPr>
        <w:t>向各科室传达</w:t>
      </w:r>
      <w:r>
        <w:rPr>
          <w:rFonts w:hint="eastAsia"/>
        </w:rPr>
        <w:t>学习《政府信息公开条例》新条例，进一步落实工作要求、规范工作流程。积极优化政府网站信息公开形式和内容，对本年度公开的政府信息进行认真梳理和编目，重点公开机构职能、财政、民生、重大项目、执法等重点工作。严格落实保密审查制度规定</w:t>
      </w:r>
      <w:r>
        <w:rPr>
          <w:rFonts w:hint="eastAsia"/>
          <w:lang w:eastAsia="zh-CN"/>
        </w:rPr>
        <w:t>，</w:t>
      </w:r>
      <w:r>
        <w:rPr>
          <w:rFonts w:hint="eastAsia"/>
          <w:lang w:val="en-US" w:eastAsia="zh-CN"/>
        </w:rPr>
        <w:t>对</w:t>
      </w:r>
      <w:r>
        <w:rPr>
          <w:rFonts w:hint="eastAsia"/>
        </w:rPr>
        <w:t>所有发布的信息经过严谨审核、确认无误后方予公开。</w:t>
      </w:r>
      <w:r>
        <w:rPr>
          <w:rFonts w:hint="eastAsia"/>
          <w:lang w:val="en-US" w:eastAsia="zh-CN"/>
        </w:rPr>
        <w:t>确保</w:t>
      </w:r>
      <w:r>
        <w:rPr>
          <w:rFonts w:hint="eastAsia"/>
        </w:rPr>
        <w:t>政府信息公开扎实、规范、高效开展，以实际行动做到让政府放心、让群众满意。</w:t>
      </w:r>
    </w:p>
    <w:p w14:paraId="3F33E072">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二、主动公开政府信息情况</w:t>
      </w:r>
    </w:p>
    <w:p w14:paraId="23A108AC">
      <w:pPr>
        <w:widowControl/>
        <w:shd w:val="clear" w:color="auto" w:fill="FFFFFF"/>
        <w:ind w:firstLine="480"/>
        <w:rPr>
          <w:rFonts w:hint="eastAsia" w:ascii="宋体" w:hAnsi="宋体" w:eastAsia="宋体" w:cs="宋体"/>
          <w:color w:val="000000"/>
          <w:kern w:val="0"/>
          <w:sz w:val="24"/>
          <w:szCs w:val="24"/>
        </w:rPr>
      </w:pPr>
    </w:p>
    <w:tbl>
      <w:tblPr>
        <w:tblStyle w:val="3"/>
        <w:tblW w:w="9740" w:type="dxa"/>
        <w:jc w:val="center"/>
        <w:tblLayout w:type="autofit"/>
        <w:tblCellMar>
          <w:top w:w="0" w:type="dxa"/>
          <w:left w:w="0" w:type="dxa"/>
          <w:bottom w:w="0" w:type="dxa"/>
          <w:right w:w="0" w:type="dxa"/>
        </w:tblCellMar>
      </w:tblPr>
      <w:tblGrid>
        <w:gridCol w:w="2435"/>
        <w:gridCol w:w="2435"/>
        <w:gridCol w:w="2435"/>
        <w:gridCol w:w="2435"/>
      </w:tblGrid>
      <w:tr w14:paraId="27AD544E">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53588BA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第二十条第（一）项</w:t>
            </w:r>
          </w:p>
        </w:tc>
      </w:tr>
      <w:tr w14:paraId="57C9DC1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3D19407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48345D3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w:t>
            </w:r>
            <w:r>
              <w:rPr>
                <w:rFonts w:ascii="宋体" w:hAnsi="宋体" w:eastAsia="宋体" w:cs="宋体"/>
                <w:color w:val="000000"/>
                <w:kern w:val="0"/>
                <w:sz w:val="28"/>
                <w:szCs w:val="28"/>
              </w:rPr>
              <w:t>制</w:t>
            </w:r>
            <w:r>
              <w:rPr>
                <w:rFonts w:hint="eastAsia" w:ascii="宋体" w:hAnsi="宋体" w:eastAsia="宋体" w:cs="宋体"/>
                <w:color w:val="000000"/>
                <w:kern w:val="0"/>
                <w:sz w:val="28"/>
                <w:szCs w:val="28"/>
              </w:rPr>
              <w:t>发件</w:t>
            </w:r>
            <w:r>
              <w:rPr>
                <w:rFonts w:ascii="宋体" w:hAnsi="宋体" w:eastAsia="宋体" w:cs="宋体"/>
                <w:color w:val="000000"/>
                <w:kern w:val="0"/>
                <w:sz w:val="28"/>
                <w:szCs w:val="28"/>
              </w:rPr>
              <w:t>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6381432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0F604C0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现行有效件</w:t>
            </w:r>
            <w:r>
              <w:rPr>
                <w:rFonts w:ascii="宋体" w:hAnsi="宋体" w:eastAsia="宋体" w:cs="宋体"/>
                <w:color w:val="000000"/>
                <w:kern w:val="0"/>
                <w:sz w:val="28"/>
                <w:szCs w:val="28"/>
              </w:rPr>
              <w:t>数</w:t>
            </w:r>
          </w:p>
        </w:tc>
      </w:tr>
      <w:tr w14:paraId="650B48E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65879EE8">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AF6429C">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AF347D2">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4EEB62D">
            <w:pPr>
              <w:widowControl/>
              <w:jc w:val="center"/>
              <w:rPr>
                <w:rFonts w:hint="eastAsia" w:ascii="宋体" w:hAnsi="宋体" w:eastAsia="宋体" w:cs="宋体"/>
                <w:color w:val="000000"/>
                <w:kern w:val="0"/>
                <w:sz w:val="28"/>
                <w:szCs w:val="28"/>
                <w:lang w:val="en-US" w:eastAsia="zh-CN"/>
              </w:rPr>
            </w:pPr>
            <w:r>
              <w:rPr>
                <w:rFonts w:hint="eastAsia" w:ascii="Calibri" w:hAnsi="Calibri" w:cs="宋体"/>
                <w:color w:val="000000"/>
                <w:kern w:val="0"/>
                <w:sz w:val="28"/>
                <w:szCs w:val="28"/>
                <w:lang w:val="en-US" w:eastAsia="zh-CN"/>
              </w:rPr>
              <w:t>0</w:t>
            </w:r>
          </w:p>
        </w:tc>
      </w:tr>
      <w:tr w14:paraId="2ABFE91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6020C152">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3A45374">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C04D62A">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FE5E2E9">
            <w:pPr>
              <w:widowControl/>
              <w:jc w:val="center"/>
              <w:rPr>
                <w:rFonts w:hint="eastAsia" w:ascii="宋体" w:hAnsi="宋体" w:eastAsia="宋体" w:cs="宋体"/>
                <w:color w:val="000000"/>
                <w:kern w:val="0"/>
                <w:sz w:val="28"/>
                <w:szCs w:val="28"/>
                <w:lang w:val="en-US" w:eastAsia="zh-CN"/>
              </w:rPr>
            </w:pPr>
            <w:r>
              <w:rPr>
                <w:rFonts w:hint="eastAsia" w:ascii="Calibri" w:hAnsi="Calibri" w:cs="宋体"/>
                <w:color w:val="000000"/>
                <w:kern w:val="0"/>
                <w:sz w:val="28"/>
                <w:szCs w:val="28"/>
                <w:lang w:val="en-US" w:eastAsia="zh-CN"/>
              </w:rPr>
              <w:t>0</w:t>
            </w:r>
          </w:p>
        </w:tc>
      </w:tr>
      <w:tr w14:paraId="217C9E30">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6C5D20C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第二十条第（五）项</w:t>
            </w:r>
          </w:p>
        </w:tc>
      </w:tr>
      <w:tr w14:paraId="767DEDC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714832F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A11CAE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14:paraId="1B36614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2582F9D9">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8C3AEA8">
            <w:pPr>
              <w:widowControl/>
              <w:jc w:val="center"/>
              <w:rPr>
                <w:rFonts w:hint="eastAsia" w:ascii="宋体" w:hAnsi="宋体" w:eastAsia="宋体" w:cs="宋体"/>
                <w:color w:val="000000"/>
                <w:kern w:val="0"/>
                <w:sz w:val="28"/>
                <w:szCs w:val="28"/>
                <w:lang w:val="en-US" w:eastAsia="zh-CN"/>
              </w:rPr>
            </w:pPr>
            <w:r>
              <w:rPr>
                <w:rFonts w:hint="eastAsia" w:ascii="Calibri" w:hAnsi="Calibri" w:cs="宋体"/>
                <w:color w:val="000000"/>
                <w:kern w:val="0"/>
                <w:sz w:val="28"/>
                <w:szCs w:val="28"/>
                <w:lang w:val="en-US" w:eastAsia="zh-CN"/>
              </w:rPr>
              <w:t>0</w:t>
            </w:r>
          </w:p>
        </w:tc>
      </w:tr>
      <w:tr w14:paraId="3FBB2728">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61DE504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第二十条第（六）项</w:t>
            </w:r>
          </w:p>
        </w:tc>
      </w:tr>
      <w:tr w14:paraId="108B800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63B12FD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491E81C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14:paraId="1DE8016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0F1543B9">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C420813">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15</w:t>
            </w:r>
          </w:p>
        </w:tc>
      </w:tr>
      <w:tr w14:paraId="1E4B24A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49623A24">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45278DD">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r w14:paraId="170F168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4CEC19B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第二十条第（八）项</w:t>
            </w:r>
          </w:p>
        </w:tc>
      </w:tr>
      <w:tr w14:paraId="43C5BA7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3BBFFBD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14:paraId="24A2858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本年收费金额（单位：万元）</w:t>
            </w:r>
          </w:p>
        </w:tc>
      </w:tr>
      <w:tr w14:paraId="1955F84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07D7516F">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14:paraId="71933745">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bl>
    <w:p w14:paraId="4BD8A75C">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三、收到和处理政府信息公开申请情况</w:t>
      </w:r>
    </w:p>
    <w:p w14:paraId="45578A69">
      <w:pPr>
        <w:widowControl/>
        <w:shd w:val="clear" w:color="auto" w:fill="FFFFFF"/>
        <w:ind w:firstLine="480"/>
        <w:rPr>
          <w:rFonts w:hint="eastAsia" w:ascii="宋体" w:hAnsi="宋体" w:eastAsia="宋体" w:cs="宋体"/>
          <w:color w:val="000000"/>
          <w:kern w:val="0"/>
          <w:sz w:val="24"/>
          <w:szCs w:val="24"/>
        </w:rPr>
      </w:pPr>
    </w:p>
    <w:tbl>
      <w:tblPr>
        <w:tblStyle w:val="3"/>
        <w:tblW w:w="9748" w:type="dxa"/>
        <w:jc w:val="cente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47EC8964">
        <w:tblPrEx>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14:paraId="6058ECAC">
            <w:pPr>
              <w:widowControl/>
              <w:jc w:val="left"/>
              <w:rPr>
                <w:rFonts w:ascii="宋体" w:hAnsi="宋体" w:eastAsia="宋体" w:cs="宋体"/>
                <w:color w:val="000000"/>
                <w:kern w:val="0"/>
                <w:sz w:val="24"/>
                <w:szCs w:val="24"/>
              </w:rPr>
            </w:pPr>
            <w:r>
              <w:rPr>
                <w:rFonts w:hint="eastAsia" w:ascii="楷体" w:hAnsi="楷体" w:eastAsia="楷体" w:cs="宋体"/>
                <w:color w:val="000000"/>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280D99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申请人情况</w:t>
            </w:r>
          </w:p>
        </w:tc>
      </w:tr>
      <w:tr w14:paraId="192CFC16">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14:paraId="193C0C0C">
            <w:pPr>
              <w:widowControl/>
              <w:jc w:val="left"/>
              <w:rPr>
                <w:rFonts w:ascii="宋体" w:hAnsi="宋体" w:eastAsia="宋体" w:cs="宋体"/>
                <w:color w:val="000000"/>
                <w:kern w:val="0"/>
                <w:sz w:val="24"/>
                <w:szCs w:val="24"/>
              </w:rPr>
            </w:pPr>
          </w:p>
        </w:tc>
        <w:tc>
          <w:tcPr>
            <w:tcW w:w="688"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C2058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6A78C6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法人或其他组织</w:t>
            </w:r>
          </w:p>
        </w:tc>
        <w:tc>
          <w:tcPr>
            <w:tcW w:w="689" w:type="dxa"/>
            <w:vMerge w:val="restart"/>
            <w:tcBorders>
              <w:top w:val="single" w:color="auto" w:sz="8" w:space="0"/>
              <w:left w:val="nil"/>
              <w:bottom w:val="inset" w:color="auto" w:sz="8" w:space="0"/>
              <w:right w:val="single" w:color="auto" w:sz="8" w:space="0"/>
            </w:tcBorders>
            <w:noWrap w:val="0"/>
            <w:tcMar>
              <w:top w:w="0" w:type="dxa"/>
              <w:left w:w="57" w:type="dxa"/>
              <w:bottom w:w="0" w:type="dxa"/>
              <w:right w:w="57" w:type="dxa"/>
            </w:tcMar>
            <w:vAlign w:val="center"/>
          </w:tcPr>
          <w:p w14:paraId="74A3EB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14:paraId="1BBF30C9">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14:paraId="3482EC5B">
            <w:pPr>
              <w:widowControl/>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noWrap w:val="0"/>
            <w:vAlign w:val="center"/>
          </w:tcPr>
          <w:p w14:paraId="4149E79D">
            <w:pPr>
              <w:widowControl/>
              <w:jc w:val="left"/>
              <w:rPr>
                <w:rFonts w:ascii="宋体" w:hAnsi="宋体" w:eastAsia="宋体" w:cs="宋体"/>
                <w:color w:val="000000"/>
                <w:kern w:val="0"/>
                <w:sz w:val="24"/>
                <w:szCs w:val="24"/>
              </w:rPr>
            </w:pP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9F1F3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商业</w:t>
            </w:r>
          </w:p>
          <w:p w14:paraId="33134A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71881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科研</w:t>
            </w:r>
          </w:p>
          <w:p w14:paraId="5D326B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381B81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4BC41E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1F03CD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0" w:type="auto"/>
            <w:vMerge w:val="continue"/>
            <w:tcBorders>
              <w:top w:val="single" w:color="auto" w:sz="8" w:space="0"/>
              <w:left w:val="nil"/>
              <w:bottom w:val="inset" w:color="auto" w:sz="8" w:space="0"/>
              <w:right w:val="single" w:color="auto" w:sz="8" w:space="0"/>
            </w:tcBorders>
            <w:noWrap w:val="0"/>
            <w:vAlign w:val="center"/>
          </w:tcPr>
          <w:p w14:paraId="48362458">
            <w:pPr>
              <w:widowControl/>
              <w:jc w:val="left"/>
              <w:rPr>
                <w:rFonts w:ascii="宋体" w:hAnsi="宋体" w:eastAsia="宋体" w:cs="宋体"/>
                <w:color w:val="000000"/>
                <w:kern w:val="0"/>
                <w:sz w:val="24"/>
                <w:szCs w:val="24"/>
              </w:rPr>
            </w:pPr>
          </w:p>
        </w:tc>
      </w:tr>
      <w:tr w14:paraId="2A1CA867">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24AFD70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DBE54DC">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1</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70C8CA8">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E993513">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474304C">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BF37D9B">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0048D4C">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5248ABD">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1</w:t>
            </w:r>
          </w:p>
        </w:tc>
      </w:tr>
      <w:tr w14:paraId="6B286061">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720483F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C2DA648">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FA29DBA">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6C85876">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45E7588">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9ED4071">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B08387A">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743134A">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r>
      <w:tr w14:paraId="2796AE44">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noWrap w:val="0"/>
            <w:tcMar>
              <w:top w:w="0" w:type="dxa"/>
              <w:left w:w="57" w:type="dxa"/>
              <w:bottom w:w="0" w:type="dxa"/>
              <w:right w:w="57" w:type="dxa"/>
            </w:tcMar>
            <w:vAlign w:val="center"/>
          </w:tcPr>
          <w:p w14:paraId="724511D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三、本年度办理结果</w:t>
            </w: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A0F922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05A87F3">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C485F29">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42DF42D">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5AB29CA">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5A4418F">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D4B3071">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2E706B0F">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r>
      <w:tr w14:paraId="4F789D88">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23D5A919">
            <w:pPr>
              <w:widowControl/>
              <w:jc w:val="left"/>
              <w:rPr>
                <w:rFonts w:ascii="宋体" w:hAnsi="宋体" w:eastAsia="宋体" w:cs="宋体"/>
                <w:color w:val="000000"/>
                <w:kern w:val="0"/>
                <w:sz w:val="24"/>
                <w:szCs w:val="24"/>
              </w:rPr>
            </w:pP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F6D1DB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（二）部分公开</w:t>
            </w:r>
            <w:r>
              <w:rPr>
                <w:rFonts w:hint="eastAsia" w:ascii="楷体" w:hAnsi="楷体" w:eastAsia="楷体" w:cs="宋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08B888C">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F9C2776">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CAE5937">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098DB80">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2FE8158">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9339E05">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4CDCB83">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4DBD412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7AC9C049">
            <w:pPr>
              <w:widowControl/>
              <w:jc w:val="left"/>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14:paraId="4254EAE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（三）不予公开</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E9D44F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47B539C">
            <w:pPr>
              <w:widowControl/>
              <w:jc w:val="center"/>
              <w:rPr>
                <w:rFonts w:hint="eastAsia" w:ascii="Calibri" w:hAnsi="Calibri" w:cs="宋体"/>
                <w:color w:val="000000"/>
                <w:kern w:val="0"/>
                <w:sz w:val="20"/>
                <w:szCs w:val="20"/>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11D959A">
            <w:pPr>
              <w:widowControl/>
              <w:jc w:val="center"/>
              <w:rPr>
                <w:rFonts w:hint="eastAsia" w:ascii="Calibri" w:hAnsi="Calibri" w:cs="宋体"/>
                <w:color w:val="000000"/>
                <w:kern w:val="0"/>
                <w:sz w:val="20"/>
                <w:szCs w:val="20"/>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79D74D5">
            <w:pPr>
              <w:widowControl/>
              <w:jc w:val="center"/>
              <w:rPr>
                <w:rFonts w:hint="eastAsia" w:ascii="Calibri" w:hAnsi="Calibri" w:cs="宋体"/>
                <w:color w:val="000000"/>
                <w:kern w:val="0"/>
                <w:sz w:val="20"/>
                <w:szCs w:val="20"/>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551514C">
            <w:pPr>
              <w:widowControl/>
              <w:jc w:val="center"/>
              <w:rPr>
                <w:rFonts w:hint="eastAsia" w:ascii="Calibri" w:hAnsi="Calibri" w:cs="宋体"/>
                <w:color w:val="000000"/>
                <w:kern w:val="0"/>
                <w:sz w:val="20"/>
                <w:szCs w:val="20"/>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9ED999C">
            <w:pPr>
              <w:widowControl/>
              <w:jc w:val="center"/>
              <w:rPr>
                <w:rFonts w:hint="eastAsia" w:ascii="Calibri" w:hAnsi="Calibri" w:cs="宋体"/>
                <w:color w:val="000000"/>
                <w:kern w:val="0"/>
                <w:sz w:val="20"/>
                <w:szCs w:val="20"/>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55F4FD1">
            <w:pPr>
              <w:widowControl/>
              <w:jc w:val="center"/>
              <w:rPr>
                <w:rFonts w:hint="eastAsia" w:ascii="Calibri" w:hAnsi="Calibri" w:cs="宋体"/>
                <w:color w:val="000000"/>
                <w:kern w:val="0"/>
                <w:sz w:val="20"/>
                <w:szCs w:val="20"/>
                <w:lang w:val="en-US" w:eastAsia="zh-CN"/>
              </w:rPr>
            </w:pPr>
            <w:r>
              <w:rPr>
                <w:rFonts w:hint="eastAsia" w:ascii="Calibri" w:hAnsi="Calibri" w:cs="宋体"/>
                <w:color w:val="000000"/>
                <w:kern w:val="0"/>
                <w:sz w:val="20"/>
                <w:szCs w:val="20"/>
                <w:lang w:val="en-US" w:eastAsia="zh-CN"/>
              </w:rPr>
              <w:t>0</w:t>
            </w:r>
          </w:p>
        </w:tc>
        <w:tc>
          <w:tcPr>
            <w:tcW w:w="689"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7A09A168">
            <w:pPr>
              <w:widowControl/>
              <w:jc w:val="center"/>
              <w:rPr>
                <w:rFonts w:hint="eastAsia" w:ascii="Calibri" w:hAnsi="Calibri" w:cs="宋体"/>
                <w:color w:val="000000"/>
                <w:kern w:val="0"/>
                <w:sz w:val="20"/>
                <w:szCs w:val="20"/>
                <w:lang w:val="en-US" w:eastAsia="zh-CN"/>
              </w:rPr>
            </w:pPr>
            <w:r>
              <w:rPr>
                <w:rFonts w:hint="eastAsia" w:ascii="Calibri" w:hAnsi="Calibri" w:cs="宋体"/>
                <w:color w:val="000000"/>
                <w:kern w:val="0"/>
                <w:sz w:val="20"/>
                <w:szCs w:val="20"/>
                <w:lang w:val="en-US" w:eastAsia="zh-CN"/>
              </w:rPr>
              <w:t>0</w:t>
            </w:r>
          </w:p>
        </w:tc>
      </w:tr>
      <w:tr w14:paraId="7BEC7588">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5F4F41B5">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3F82DA45">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1D52C5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377EBBB">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DE73622">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7AC4A67">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D7E957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FAB97D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41741E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D470ECB">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0DC07B66">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7D91E085">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6DC6D519">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54B241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E1C2A71">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A05BB35">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68ABDF3">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FED892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220F64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89F43CD">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4B76D4A">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5241EAE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31F6D077">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2135F2FA">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EF36FF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4AABEC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3460955">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416148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1212026">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3B01E9A">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CC915B7">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883D0A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1570D54F">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1ABF06BB">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74851C49">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E6237C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A20C193">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66A7FA7">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EE92ED7">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A6BD836">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9C545C0">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B7746F3">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4778816">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066A07CE">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1437E5BC">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57EB7013">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862043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BDBDC2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1612099">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CECF150">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238AB3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BBEFBA5">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99B608D">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49109D1">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491C4028">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39A96158">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0029A04C">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16A9B5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C82F1D6">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994D036">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70A64EA">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B6A8DB2">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8B20CE6">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3C9E207">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D2F29F2">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1263AAA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1092262B">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02E531F8">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700B20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929DFB9">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DB38AB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2BCA8EB">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A704E90">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469E9C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CB79A6A">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914CB7B">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6A073C5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6DAF752C">
            <w:pPr>
              <w:widowControl/>
              <w:jc w:val="left"/>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14:paraId="6E31B3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（四）无法提供</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06C1E8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4E9F036">
            <w:pPr>
              <w:widowControl/>
              <w:jc w:val="center"/>
              <w:rPr>
                <w:rFonts w:hint="eastAsia" w:ascii="Calibri" w:hAnsi="Calibri" w:cs="宋体"/>
                <w:color w:val="000000"/>
                <w:kern w:val="0"/>
                <w:sz w:val="20"/>
                <w:szCs w:val="20"/>
                <w:lang w:val="en-US" w:eastAsia="zh-CN"/>
              </w:rPr>
            </w:pPr>
            <w:r>
              <w:rPr>
                <w:rFonts w:hint="eastAsia" w:ascii="Calibri" w:hAnsi="Calibri" w:cs="宋体"/>
                <w:color w:val="000000"/>
                <w:kern w:val="0"/>
                <w:sz w:val="20"/>
                <w:szCs w:val="20"/>
                <w:lang w:val="en-US" w:eastAsia="zh-CN"/>
              </w:rPr>
              <w:t>1</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ABE1BFE">
            <w:pPr>
              <w:widowControl/>
              <w:jc w:val="center"/>
              <w:rPr>
                <w:rFonts w:hint="eastAsia" w:ascii="Calibri" w:hAnsi="Calibri" w:cs="宋体"/>
                <w:color w:val="000000"/>
                <w:kern w:val="0"/>
                <w:sz w:val="20"/>
                <w:szCs w:val="20"/>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647CF67">
            <w:pPr>
              <w:widowControl/>
              <w:jc w:val="center"/>
              <w:rPr>
                <w:rFonts w:hint="eastAsia" w:ascii="Calibri" w:hAnsi="Calibri" w:cs="宋体"/>
                <w:color w:val="000000"/>
                <w:kern w:val="0"/>
                <w:sz w:val="20"/>
                <w:szCs w:val="20"/>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B5846B1">
            <w:pPr>
              <w:widowControl/>
              <w:jc w:val="center"/>
              <w:rPr>
                <w:rFonts w:hint="eastAsia" w:ascii="Calibri" w:hAnsi="Calibri" w:cs="宋体"/>
                <w:color w:val="000000"/>
                <w:kern w:val="0"/>
                <w:sz w:val="20"/>
                <w:szCs w:val="20"/>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462F9AC">
            <w:pPr>
              <w:widowControl/>
              <w:jc w:val="center"/>
              <w:rPr>
                <w:rFonts w:hint="eastAsia" w:ascii="Calibri" w:hAnsi="Calibri" w:cs="宋体"/>
                <w:color w:val="000000"/>
                <w:kern w:val="0"/>
                <w:sz w:val="20"/>
                <w:szCs w:val="20"/>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4C104EA">
            <w:pPr>
              <w:widowControl/>
              <w:jc w:val="center"/>
              <w:rPr>
                <w:rFonts w:hint="eastAsia" w:ascii="Calibri" w:hAnsi="Calibri" w:cs="宋体"/>
                <w:color w:val="000000"/>
                <w:kern w:val="0"/>
                <w:sz w:val="20"/>
                <w:szCs w:val="20"/>
                <w:lang w:val="en-US" w:eastAsia="zh-CN"/>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575C809">
            <w:pPr>
              <w:widowControl/>
              <w:jc w:val="center"/>
              <w:rPr>
                <w:rFonts w:hint="eastAsia" w:ascii="Calibri" w:hAnsi="Calibri" w:cs="宋体"/>
                <w:color w:val="000000"/>
                <w:kern w:val="0"/>
                <w:sz w:val="20"/>
                <w:szCs w:val="20"/>
                <w:lang w:val="en-US" w:eastAsia="zh-CN"/>
              </w:rPr>
            </w:pPr>
            <w:r>
              <w:rPr>
                <w:rFonts w:hint="eastAsia" w:ascii="Calibri" w:hAnsi="Calibri" w:cs="宋体"/>
                <w:color w:val="000000"/>
                <w:kern w:val="0"/>
                <w:sz w:val="20"/>
                <w:szCs w:val="20"/>
                <w:lang w:val="en-US" w:eastAsia="zh-CN"/>
              </w:rPr>
              <w:t>1</w:t>
            </w:r>
          </w:p>
        </w:tc>
      </w:tr>
      <w:tr w14:paraId="71B1BDB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67E6195F">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17182E18">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857661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6C361B2">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7273612">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4DF161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A80BDF6">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2E7F73D">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FCDCABB">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DCD1C4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4682E91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5F7CA218">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54710745">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9B9969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D15DBC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704451D">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E5F254B">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1B7E66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CC7A4E1">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B9B77B2">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0E35ED2">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2D0C012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5EF2ACD9">
            <w:pPr>
              <w:widowControl/>
              <w:jc w:val="left"/>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14:paraId="15573CD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（五）不予处理</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A18F1E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2912627">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ADCFDE2">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B13DD56">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6426ADB">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60983E5">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2825BE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5B08A0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54E1FC9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14EC27EB">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6B74C1C8">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2B679F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444EDB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033085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89EA5BA">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FD4BCB5">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14A5B5B">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60BCCCA">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B75F8B1">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197C8CA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31EC6AC4">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56400201">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FA9B5B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BDF5499">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CC9A0B9">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E1DB16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C4264A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6C0E780">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E13258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1176C46">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641862D9">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135FD30F">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06118D1D">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F8382F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C5E9C2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A0CFF1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B0BCE40">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B8B0FF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8473BD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8F05B7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04DBB7C">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7801FC00">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429B2A0F">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4FCA0D3D">
            <w:pPr>
              <w:widowControl/>
              <w:jc w:val="left"/>
              <w:rPr>
                <w:rFonts w:ascii="宋体" w:hAnsi="宋体" w:eastAsia="宋体" w:cs="宋体"/>
                <w:color w:val="000000"/>
                <w:kern w:val="0"/>
                <w:sz w:val="24"/>
                <w:szCs w:val="24"/>
              </w:rPr>
            </w:pPr>
          </w:p>
        </w:tc>
        <w:tc>
          <w:tcPr>
            <w:tcW w:w="3220"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14:paraId="599C0BA1">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14:paraId="1CE17AD1">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14:paraId="0742AD66">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14:paraId="171F321D">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14:paraId="240FA584">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14:paraId="7D288B7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14:paraId="77BB8D7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14:paraId="7ABB2C03">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67133DD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39CD11CC">
            <w:pPr>
              <w:widowControl/>
              <w:jc w:val="left"/>
              <w:rPr>
                <w:rFonts w:ascii="宋体" w:hAnsi="宋体" w:eastAsia="宋体" w:cs="宋体"/>
                <w:color w:val="000000"/>
                <w:kern w:val="0"/>
                <w:sz w:val="24"/>
                <w:szCs w:val="24"/>
              </w:rPr>
            </w:pPr>
          </w:p>
        </w:tc>
        <w:tc>
          <w:tcPr>
            <w:tcW w:w="943" w:type="dxa"/>
            <w:vMerge w:val="restart"/>
            <w:tcBorders>
              <w:top w:val="inset" w:color="auto" w:sz="8" w:space="0"/>
              <w:left w:val="nil"/>
              <w:bottom w:val="inset" w:color="auto" w:sz="8" w:space="0"/>
              <w:right w:val="single" w:color="auto" w:sz="8" w:space="0"/>
            </w:tcBorders>
            <w:noWrap w:val="0"/>
            <w:tcMar>
              <w:top w:w="0" w:type="dxa"/>
              <w:left w:w="57" w:type="dxa"/>
              <w:bottom w:w="0" w:type="dxa"/>
              <w:right w:w="57" w:type="dxa"/>
            </w:tcMar>
            <w:vAlign w:val="center"/>
          </w:tcPr>
          <w:p w14:paraId="0907CB8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（六）其他处理</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4A3D183">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B82C80C">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2AE243D">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7185DC3">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3A91C3D">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065A08C">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10F1FE0">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B7E0D72">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0A54D19E">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68F72323">
            <w:pPr>
              <w:widowControl/>
              <w:jc w:val="left"/>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14:paraId="697D3D8D">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11E5DE7">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DE1A1E4">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C1AC10D">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E1D0E90">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B258D34">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94EEC4B">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94EAAF9">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08ABEB0">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46C20ED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09BE322E">
            <w:pPr>
              <w:widowControl/>
              <w:jc w:val="left"/>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14:paraId="1D1A6811">
            <w:pPr>
              <w:widowControl/>
              <w:jc w:val="left"/>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293548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FE6F695">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47CFE8A">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584B587">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307F049">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576EDB9">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5E5465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856FF1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1CE61DC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78122E63">
            <w:pPr>
              <w:widowControl/>
              <w:jc w:val="left"/>
              <w:rPr>
                <w:rFonts w:ascii="宋体" w:hAnsi="宋体" w:eastAsia="宋体" w:cs="宋体"/>
                <w:color w:val="000000"/>
                <w:kern w:val="0"/>
                <w:sz w:val="24"/>
                <w:szCs w:val="24"/>
              </w:rPr>
            </w:pP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EA133E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14:paraId="11A7777F">
            <w:pPr>
              <w:widowControl/>
              <w:jc w:val="center"/>
              <w:rPr>
                <w:rFonts w:hint="eastAsia" w:ascii="Calibri" w:hAnsi="Calibri" w:eastAsia="宋体" w:cs="宋体"/>
                <w:color w:val="000000"/>
                <w:kern w:val="0"/>
                <w:sz w:val="20"/>
                <w:szCs w:val="20"/>
                <w:lang w:val="en-US" w:eastAsia="zh-CN" w:bidi="ar-SA"/>
              </w:rPr>
            </w:pPr>
            <w:r>
              <w:rPr>
                <w:rFonts w:hint="eastAsia" w:ascii="Calibri" w:hAnsi="Calibri" w:cs="宋体"/>
                <w:color w:val="000000"/>
                <w:kern w:val="0"/>
                <w:sz w:val="20"/>
                <w:szCs w:val="20"/>
                <w:lang w:val="en-US" w:eastAsia="zh-CN"/>
              </w:rPr>
              <w:t>1</w:t>
            </w:r>
          </w:p>
        </w:tc>
        <w:tc>
          <w:tcPr>
            <w:tcW w:w="688" w:type="dxa"/>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14:paraId="38464387">
            <w:pPr>
              <w:widowControl/>
              <w:jc w:val="center"/>
              <w:rPr>
                <w:rFonts w:hint="eastAsia" w:ascii="Calibri" w:hAnsi="Calibri" w:eastAsia="宋体" w:cs="宋体"/>
                <w:color w:val="000000"/>
                <w:kern w:val="0"/>
                <w:sz w:val="20"/>
                <w:szCs w:val="20"/>
                <w:lang w:val="en-US" w:eastAsia="zh-CN" w:bidi="ar-SA"/>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14:paraId="1D55A284">
            <w:pPr>
              <w:widowControl/>
              <w:jc w:val="center"/>
              <w:rPr>
                <w:rFonts w:hint="eastAsia" w:ascii="Calibri" w:hAnsi="Calibri" w:eastAsia="宋体" w:cs="宋体"/>
                <w:color w:val="000000"/>
                <w:kern w:val="0"/>
                <w:sz w:val="20"/>
                <w:szCs w:val="20"/>
                <w:lang w:val="en-US" w:eastAsia="zh-CN" w:bidi="ar-SA"/>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14:paraId="0A673C49">
            <w:pPr>
              <w:widowControl/>
              <w:jc w:val="center"/>
              <w:rPr>
                <w:rFonts w:hint="eastAsia" w:ascii="Calibri" w:hAnsi="Calibri" w:eastAsia="宋体" w:cs="宋体"/>
                <w:color w:val="000000"/>
                <w:kern w:val="0"/>
                <w:sz w:val="20"/>
                <w:szCs w:val="20"/>
                <w:lang w:val="en-US" w:eastAsia="zh-CN" w:bidi="ar-SA"/>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14:paraId="3A53727D">
            <w:pPr>
              <w:widowControl/>
              <w:jc w:val="center"/>
              <w:rPr>
                <w:rFonts w:hint="eastAsia" w:ascii="Calibri" w:hAnsi="Calibri" w:eastAsia="宋体" w:cs="宋体"/>
                <w:color w:val="000000"/>
                <w:kern w:val="0"/>
                <w:sz w:val="20"/>
                <w:szCs w:val="20"/>
                <w:lang w:val="en-US" w:eastAsia="zh-CN" w:bidi="ar-SA"/>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14:paraId="55D90101">
            <w:pPr>
              <w:widowControl/>
              <w:jc w:val="center"/>
              <w:rPr>
                <w:rFonts w:hint="eastAsia" w:ascii="Calibri" w:hAnsi="Calibri" w:eastAsia="宋体" w:cs="宋体"/>
                <w:color w:val="000000"/>
                <w:kern w:val="0"/>
                <w:sz w:val="20"/>
                <w:szCs w:val="20"/>
                <w:lang w:val="en-US" w:eastAsia="zh-CN" w:bidi="ar-SA"/>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14:paraId="1A991B2E">
            <w:pPr>
              <w:widowControl/>
              <w:jc w:val="center"/>
              <w:rPr>
                <w:rFonts w:hint="eastAsia" w:ascii="Calibri" w:hAnsi="Calibri" w:eastAsia="宋体" w:cs="宋体"/>
                <w:color w:val="000000"/>
                <w:kern w:val="0"/>
                <w:sz w:val="20"/>
                <w:szCs w:val="20"/>
                <w:lang w:val="en-US" w:eastAsia="zh-CN" w:bidi="ar-SA"/>
              </w:rPr>
            </w:pPr>
            <w:r>
              <w:rPr>
                <w:rFonts w:hint="eastAsia" w:ascii="Calibri" w:hAnsi="Calibri" w:cs="宋体"/>
                <w:color w:val="000000"/>
                <w:kern w:val="0"/>
                <w:sz w:val="20"/>
                <w:szCs w:val="20"/>
                <w:lang w:val="en-US" w:eastAsia="zh-CN"/>
              </w:rPr>
              <w:t>1</w:t>
            </w:r>
          </w:p>
        </w:tc>
      </w:tr>
      <w:tr w14:paraId="32025615">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2AE902A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14:paraId="4B527B47">
            <w:pPr>
              <w:widowControl/>
              <w:jc w:val="center"/>
              <w:rPr>
                <w:rFonts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14:paraId="00A61A0C">
            <w:pPr>
              <w:widowControl/>
              <w:jc w:val="center"/>
              <w:rPr>
                <w:rFonts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14:paraId="3EC87FA0">
            <w:pPr>
              <w:widowControl/>
              <w:jc w:val="center"/>
              <w:rPr>
                <w:rFonts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14:paraId="30D4DA0A">
            <w:pPr>
              <w:widowControl/>
              <w:jc w:val="center"/>
              <w:rPr>
                <w:rFonts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14:paraId="5784A1FF">
            <w:pPr>
              <w:widowControl/>
              <w:jc w:val="center"/>
              <w:rPr>
                <w:rFonts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14:paraId="2CDD02A7">
            <w:pPr>
              <w:widowControl/>
              <w:jc w:val="center"/>
              <w:rPr>
                <w:rFonts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14:paraId="15C3197A">
            <w:pPr>
              <w:widowControl/>
              <w:jc w:val="center"/>
              <w:rPr>
                <w:rFonts w:ascii="宋体" w:hAnsi="宋体" w:eastAsia="宋体" w:cs="宋体"/>
                <w:color w:val="000000"/>
                <w:kern w:val="0"/>
                <w:sz w:val="24"/>
                <w:szCs w:val="24"/>
                <w:lang w:val="en-US" w:eastAsia="zh-CN" w:bidi="ar-SA"/>
              </w:rPr>
            </w:pPr>
            <w:r>
              <w:rPr>
                <w:rFonts w:hint="eastAsia" w:ascii="Calibri" w:hAnsi="Calibri" w:cs="宋体"/>
                <w:color w:val="000000"/>
                <w:kern w:val="0"/>
                <w:sz w:val="20"/>
                <w:szCs w:val="20"/>
                <w:lang w:val="en-US" w:eastAsia="zh-CN"/>
              </w:rPr>
              <w:t>0</w:t>
            </w:r>
          </w:p>
        </w:tc>
      </w:tr>
    </w:tbl>
    <w:p w14:paraId="05B678B7">
      <w:pPr>
        <w:widowControl/>
        <w:shd w:val="clear" w:color="auto" w:fill="FFFFFF"/>
        <w:jc w:val="center"/>
        <w:rPr>
          <w:rFonts w:hint="eastAsia" w:ascii="宋体" w:hAnsi="宋体" w:eastAsia="宋体" w:cs="宋体"/>
          <w:color w:val="000000"/>
          <w:kern w:val="0"/>
          <w:sz w:val="24"/>
          <w:szCs w:val="24"/>
        </w:rPr>
      </w:pPr>
    </w:p>
    <w:p w14:paraId="462F65D8">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四、政府信息公开行政复议、行政诉讼情况</w:t>
      </w:r>
    </w:p>
    <w:p w14:paraId="1A64D250">
      <w:pPr>
        <w:widowControl/>
        <w:shd w:val="clear" w:color="auto" w:fill="FFFFFF"/>
        <w:jc w:val="center"/>
        <w:rPr>
          <w:rFonts w:hint="eastAsia" w:ascii="宋体" w:hAnsi="宋体" w:eastAsia="宋体" w:cs="宋体"/>
          <w:color w:val="000000"/>
          <w:kern w:val="0"/>
          <w:sz w:val="24"/>
          <w:szCs w:val="24"/>
        </w:rPr>
      </w:pPr>
    </w:p>
    <w:tbl>
      <w:tblPr>
        <w:tblStyle w:val="3"/>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2929782F">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E8C151A">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8EF002A">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行政诉讼</w:t>
            </w:r>
          </w:p>
        </w:tc>
      </w:tr>
      <w:tr w14:paraId="431F607D">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BFE5C8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结果维持</w:t>
            </w:r>
          </w:p>
        </w:tc>
        <w:tc>
          <w:tcPr>
            <w:tcW w:w="64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7AE4EC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091474A">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F9B6C4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88A5B4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F1EE2C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230ABA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复议后起诉</w:t>
            </w:r>
          </w:p>
        </w:tc>
      </w:tr>
      <w:tr w14:paraId="2C1D0AEE">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vAlign w:val="center"/>
          </w:tcPr>
          <w:p w14:paraId="504B104C">
            <w:pPr>
              <w:widowControl/>
              <w:jc w:val="left"/>
              <w:rPr>
                <w:rFonts w:ascii="宋体" w:hAnsi="宋体" w:eastAsia="宋体" w:cs="宋体"/>
                <w:color w:val="000000"/>
                <w:kern w:val="0"/>
                <w:sz w:val="21"/>
                <w:szCs w:val="21"/>
              </w:rPr>
            </w:pPr>
          </w:p>
        </w:tc>
        <w:tc>
          <w:tcPr>
            <w:tcW w:w="649" w:type="dxa"/>
            <w:vMerge w:val="continue"/>
            <w:tcBorders>
              <w:top w:val="nil"/>
              <w:left w:val="single" w:color="auto" w:sz="8" w:space="0"/>
              <w:bottom w:val="single" w:color="auto" w:sz="8" w:space="0"/>
              <w:right w:val="single" w:color="auto" w:sz="8" w:space="0"/>
            </w:tcBorders>
            <w:noWrap w:val="0"/>
            <w:vAlign w:val="center"/>
          </w:tcPr>
          <w:p w14:paraId="7F6808B7">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604B73E6">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7B04786C">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23478930">
            <w:pPr>
              <w:widowControl/>
              <w:jc w:val="left"/>
              <w:rPr>
                <w:rFonts w:ascii="宋体" w:hAnsi="宋体" w:eastAsia="宋体" w:cs="宋体"/>
                <w:color w:val="000000"/>
                <w:kern w:val="0"/>
                <w:sz w:val="21"/>
                <w:szCs w:val="21"/>
              </w:rPr>
            </w:pP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96F93A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维持</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5D7337D">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B91662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B788DFD">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8FA17D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3565CC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维持</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82F5F7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F632CBE">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BABBE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F7353A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r>
      <w:tr w14:paraId="494C6EE5">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B57CA4">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76AEB89">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43CC290">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517E45B">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F5C1D87">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1E40D07">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913C12B">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32911C6">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C0AD259">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FD9967A">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D0FE7CB">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8872894">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835E205">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7DDDC5D">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19F5E4B">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r>
    </w:tbl>
    <w:p w14:paraId="4F3B64FA">
      <w:pPr>
        <w:widowControl/>
        <w:jc w:val="left"/>
        <w:rPr>
          <w:rFonts w:hint="eastAsia" w:ascii="宋体" w:hAnsi="宋体" w:eastAsia="宋体" w:cs="宋体"/>
          <w:color w:val="000000"/>
          <w:kern w:val="0"/>
          <w:sz w:val="24"/>
          <w:szCs w:val="24"/>
        </w:rPr>
      </w:pPr>
    </w:p>
    <w:p w14:paraId="383133E7">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五、存在的主要问题及改进情况</w:t>
      </w:r>
    </w:p>
    <w:p w14:paraId="67E55E28">
      <w:pPr>
        <w:pStyle w:val="2"/>
        <w:keepNext w:val="0"/>
        <w:keepLines w:val="0"/>
        <w:widowControl/>
        <w:suppressLineNumbers w:val="0"/>
        <w:shd w:val="clear" w:fill="FFFFFF"/>
        <w:ind w:right="0"/>
        <w:rPr>
          <w:rFonts w:hint="eastAsia"/>
        </w:rPr>
      </w:pPr>
      <w:r>
        <w:rPr>
          <w:rFonts w:hint="eastAsia" w:ascii="宋体" w:eastAsia="宋体"/>
        </w:rPr>
        <w:t> </w:t>
      </w:r>
      <w:r>
        <w:rPr>
          <w:rFonts w:hint="eastAsia"/>
        </w:rPr>
        <w:t>202</w:t>
      </w:r>
      <w:r>
        <w:rPr>
          <w:rFonts w:hint="eastAsia"/>
          <w:lang w:val="en-US" w:eastAsia="zh-CN"/>
        </w:rPr>
        <w:t>4</w:t>
      </w:r>
      <w:r>
        <w:rPr>
          <w:rFonts w:hint="eastAsia"/>
        </w:rPr>
        <w:t>年度不存在</w:t>
      </w:r>
      <w:r>
        <w:rPr>
          <w:rFonts w:hint="eastAsia"/>
          <w:lang w:eastAsia="zh-CN"/>
        </w:rPr>
        <w:t>针对信息公开发生的行政</w:t>
      </w:r>
      <w:r>
        <w:rPr>
          <w:rFonts w:hint="eastAsia"/>
        </w:rPr>
        <w:t>复议和行政诉讼案件</w:t>
      </w:r>
      <w:r>
        <w:rPr>
          <w:rFonts w:hint="eastAsia"/>
          <w:lang w:eastAsia="zh-CN"/>
        </w:rPr>
        <w:t>。我街将</w:t>
      </w:r>
      <w:r>
        <w:rPr>
          <w:rFonts w:hint="eastAsia"/>
        </w:rPr>
        <w:t>进一步拓展信息公开的知晓度、覆盖面，</w:t>
      </w:r>
      <w:r>
        <w:rPr>
          <w:rFonts w:hint="eastAsia" w:ascii="仿宋" w:hAnsi="仿宋" w:eastAsia="仿宋" w:cs="仿宋"/>
          <w:color w:val="000000"/>
          <w:spacing w:val="0"/>
          <w:sz w:val="32"/>
          <w:szCs w:val="32"/>
          <w:shd w:val="clear" w:fill="FFFFFF"/>
        </w:rPr>
        <w:t>但仍然存在许多不足</w:t>
      </w:r>
      <w:r>
        <w:rPr>
          <w:rFonts w:hint="eastAsia" w:ascii="仿宋" w:hAnsi="仿宋" w:eastAsia="仿宋" w:cs="仿宋"/>
          <w:color w:val="000000"/>
          <w:spacing w:val="0"/>
          <w:sz w:val="32"/>
          <w:szCs w:val="32"/>
          <w:shd w:val="clear" w:fill="FFFFFF"/>
          <w:lang w:eastAsia="zh-CN"/>
        </w:rPr>
        <w:t>之处。</w:t>
      </w:r>
      <w:r>
        <w:rPr>
          <w:rFonts w:hint="eastAsia" w:ascii="仿宋" w:hAnsi="仿宋" w:eastAsia="仿宋" w:cs="仿宋"/>
          <w:color w:val="000000"/>
          <w:spacing w:val="0"/>
          <w:sz w:val="32"/>
          <w:szCs w:val="32"/>
          <w:shd w:val="clear" w:fill="FFFFFF"/>
        </w:rPr>
        <w:t>一是政务信息公开途径还不够多，公开形式需进一步拓展。二是有的公开内容还不规范、不具体，部分内容更新不及时。三是政务信息系统整合共享还不够深入。</w:t>
      </w:r>
    </w:p>
    <w:p w14:paraId="33A84B1A">
      <w:pPr>
        <w:pStyle w:val="2"/>
        <w:keepNext w:val="0"/>
        <w:keepLines w:val="0"/>
        <w:widowControl/>
        <w:suppressLineNumbers w:val="0"/>
        <w:shd w:val="clear" w:fill="FFFFFF"/>
        <w:ind w:left="0" w:leftChars="0" w:right="0" w:firstLine="640" w:firstLineChars="200"/>
        <w:rPr>
          <w:rFonts w:hint="eastAsia"/>
        </w:rPr>
      </w:pPr>
      <w:r>
        <w:rPr>
          <w:rFonts w:hint="eastAsia" w:ascii="仿宋" w:hAnsi="仿宋" w:eastAsia="仿宋" w:cs="仿宋"/>
          <w:color w:val="000000"/>
          <w:spacing w:val="0"/>
          <w:sz w:val="32"/>
          <w:szCs w:val="32"/>
          <w:shd w:val="clear" w:fill="FFFFFF"/>
          <w:lang w:eastAsia="zh-CN"/>
        </w:rPr>
        <w:t>后续</w:t>
      </w:r>
      <w:r>
        <w:rPr>
          <w:rFonts w:hint="eastAsia" w:ascii="仿宋" w:hAnsi="仿宋" w:eastAsia="仿宋" w:cs="仿宋"/>
          <w:color w:val="000000"/>
          <w:spacing w:val="0"/>
          <w:sz w:val="32"/>
          <w:szCs w:val="32"/>
          <w:shd w:val="clear" w:fill="FFFFFF"/>
        </w:rPr>
        <w:t>我</w:t>
      </w:r>
      <w:r>
        <w:rPr>
          <w:rFonts w:hint="eastAsia" w:ascii="仿宋" w:hAnsi="仿宋" w:eastAsia="仿宋" w:cs="仿宋"/>
          <w:color w:val="000000"/>
          <w:spacing w:val="0"/>
          <w:sz w:val="32"/>
          <w:szCs w:val="32"/>
          <w:shd w:val="clear" w:fill="FFFFFF"/>
          <w:lang w:eastAsia="zh-CN"/>
        </w:rPr>
        <w:t>街</w:t>
      </w:r>
      <w:r>
        <w:rPr>
          <w:rFonts w:hint="eastAsia" w:ascii="仿宋" w:hAnsi="仿宋" w:eastAsia="仿宋" w:cs="仿宋"/>
          <w:color w:val="000000"/>
          <w:spacing w:val="0"/>
          <w:sz w:val="32"/>
          <w:szCs w:val="32"/>
          <w:shd w:val="clear" w:fill="FFFFFF"/>
        </w:rPr>
        <w:t>将以党的二十大精神为指导，按照</w:t>
      </w:r>
      <w:r>
        <w:rPr>
          <w:rFonts w:hint="eastAsia" w:ascii="仿宋" w:hAnsi="仿宋" w:eastAsia="仿宋" w:cs="仿宋"/>
          <w:color w:val="000000"/>
          <w:spacing w:val="0"/>
          <w:sz w:val="32"/>
          <w:szCs w:val="32"/>
          <w:shd w:val="clear" w:fill="FFFFFF"/>
          <w:lang w:eastAsia="zh-CN"/>
        </w:rPr>
        <w:t>区委区政府</w:t>
      </w:r>
      <w:r>
        <w:rPr>
          <w:rFonts w:hint="eastAsia" w:ascii="仿宋" w:hAnsi="仿宋" w:eastAsia="仿宋" w:cs="仿宋"/>
          <w:color w:val="000000"/>
          <w:spacing w:val="0"/>
          <w:sz w:val="32"/>
          <w:szCs w:val="32"/>
          <w:shd w:val="clear" w:fill="FFFFFF"/>
        </w:rPr>
        <w:t>工作部署持续深化政务公开工作。一是加强政策解读。凡是涉及群众切身利益的重大政策措施、重点工程项目，在决策前广泛征求群众意见，出台后及时做好政策解读;二是编制公开事项标准目录。在全面梳理、细化、分类的基础上，逐项确定每个公开事项的标准，编制政务公开事项标准目录，确定公开事项的名称、依据、内容、主体、时限、方式、要求等要素，并实施动态调整；三是进一步规范政务公开工作流程。按照转变政府职能和推进“五公开”的要求，全面梳理和优化政务公开工作流程，健全工作机制，推动发布、解读、回应、互动有序衔接，实现决策、执行、管理、服务、结果全过程、各环节公开。</w:t>
      </w:r>
    </w:p>
    <w:p w14:paraId="3AF1F845">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六、其他需要报告的事项</w:t>
      </w:r>
    </w:p>
    <w:p w14:paraId="2FDB51F1">
      <w:pPr>
        <w:pStyle w:val="2"/>
      </w:pPr>
      <w:r>
        <w:rPr>
          <w:rFonts w:hint="eastAsia"/>
        </w:rPr>
        <w:t>20</w:t>
      </w:r>
      <w:r>
        <w:rPr>
          <w:rFonts w:hint="eastAsia"/>
          <w:lang w:val="en-US" w:eastAsia="zh-CN"/>
        </w:rPr>
        <w:t>24</w:t>
      </w:r>
      <w:r>
        <w:rPr>
          <w:rFonts w:hint="eastAsia"/>
        </w:rPr>
        <w:t>年全年收取信息处理费为0。其中发出收费通知的件数和总金额为0，实际收取的总金额为0。</w:t>
      </w:r>
    </w:p>
    <w:p w14:paraId="44BD43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E6F49F0-F4C6-485B-ADA8-6562423990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6DC2902-C9C6-419B-BA58-6CCB10A9DF9E}"/>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3" w:fontKey="{E747D9C9-F866-484F-97E2-F477D1085EDA}"/>
  </w:font>
  <w:font w:name="楷体">
    <w:panose1 w:val="02010609060101010101"/>
    <w:charset w:val="86"/>
    <w:family w:val="modern"/>
    <w:pitch w:val="default"/>
    <w:sig w:usb0="800002BF" w:usb1="38CF7CFA" w:usb2="00000016" w:usb3="00000000" w:csb0="00040001" w:csb1="00000000"/>
    <w:embedRegular r:id="rId4" w:fontKey="{A263BACD-3E8A-4616-AA68-1A7974A2A754}"/>
  </w:font>
  <w:font w:name="仿宋">
    <w:panose1 w:val="02010609060101010101"/>
    <w:charset w:val="86"/>
    <w:family w:val="auto"/>
    <w:pitch w:val="default"/>
    <w:sig w:usb0="800002BF" w:usb1="38CF7CFA" w:usb2="00000016" w:usb3="00000000" w:csb0="00040001" w:csb1="00000000"/>
    <w:embedRegular r:id="rId5" w:fontKey="{6BE4FC6E-6C8F-4A8F-B180-88ACFB25A379}"/>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B2205"/>
    <w:rsid w:val="19441605"/>
    <w:rsid w:val="54FB2205"/>
    <w:rsid w:val="5E9345EC"/>
    <w:rsid w:val="744A6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hd w:val="clear" w:color="auto" w:fill="FFFFFF"/>
      <w:spacing w:before="68" w:after="68" w:line="530" w:lineRule="atLeast"/>
      <w:ind w:firstLine="435"/>
      <w:jc w:val="left"/>
    </w:pPr>
    <w:rPr>
      <w:rFonts w:ascii="仿宋_GB2312" w:hAnsi="宋体" w:eastAsia="仿宋_GB2312" w:cs="宋体"/>
      <w:color w:val="000000"/>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2034</Words>
  <Characters>2084</Characters>
  <Lines>0</Lines>
  <Paragraphs>0</Paragraphs>
  <TotalTime>22</TotalTime>
  <ScaleCrop>false</ScaleCrop>
  <LinksUpToDate>false</LinksUpToDate>
  <CharactersWithSpaces>2086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2024-12-30T01:16:00Z</dcterms:created>
  <dc:creator>劉小羽</dc:creator>
  <cp:lastModifiedBy>劉小羽</cp:lastModifiedBy>
  <dcterms:modified xsi:type="dcterms:W3CDTF">2025-01-23T02:03:12Z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ABB982DF6CD6418EB5D270A4EC511516_11</vt:lpwstr>
  </property>
  <property fmtid="{D5CDD505-2E9C-101B-9397-08002B2CF9AE}" pid="4" name="KSOTemplateDocerSaveRecord">
    <vt:lpwstr>eyJoZGlkIjoiYTZiYWEyZjVmNjI4OTg5YWRjNDQ5Y2VjMjlkZTg3N2UiLCJ1c2VySWQiOiIzNDE3MjA5MjEifQ==</vt:lpwstr>
  </property>
</Properties>
</file>