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C5ED">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073508E">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D08E172">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E8692C4">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21919D1">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2A4AF2A6">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B9C4600">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46605979">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4DE484B9">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天津市滨海新区人民政府</w:t>
      </w:r>
    </w:p>
    <w:p w14:paraId="22BDBE9B">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茶淀街道办事处2023年度部门决算</w:t>
      </w:r>
    </w:p>
    <w:p w14:paraId="0117FD48">
      <w:pPr>
        <w:autoSpaceDE w:val="0"/>
        <w:autoSpaceDN w:val="0"/>
        <w:adjustRightInd w:val="0"/>
        <w:spacing w:line="580" w:lineRule="exact"/>
        <w:jc w:val="center"/>
        <w:rPr>
          <w:rFonts w:ascii="Times New Roman" w:hAnsi="Times New Roman" w:eastAsia="黑体" w:cs="黑体"/>
          <w:sz w:val="30"/>
          <w:szCs w:val="30"/>
          <w:highlight w:val="none"/>
        </w:rPr>
      </w:pPr>
    </w:p>
    <w:p w14:paraId="52FDA3D9">
      <w:pPr>
        <w:autoSpaceDE w:val="0"/>
        <w:autoSpaceDN w:val="0"/>
        <w:adjustRightInd w:val="0"/>
        <w:spacing w:line="580" w:lineRule="exact"/>
        <w:jc w:val="center"/>
        <w:rPr>
          <w:rFonts w:ascii="Times New Roman" w:hAnsi="Times New Roman" w:eastAsia="黑体" w:cs="黑体"/>
          <w:sz w:val="30"/>
          <w:szCs w:val="30"/>
          <w:highlight w:val="none"/>
        </w:rPr>
      </w:pPr>
    </w:p>
    <w:p w14:paraId="5DFD33BC">
      <w:pPr>
        <w:autoSpaceDE w:val="0"/>
        <w:autoSpaceDN w:val="0"/>
        <w:adjustRightInd w:val="0"/>
        <w:spacing w:line="580" w:lineRule="exact"/>
        <w:jc w:val="center"/>
        <w:rPr>
          <w:rFonts w:ascii="Times New Roman" w:hAnsi="Times New Roman" w:eastAsia="黑体" w:cs="黑体"/>
          <w:sz w:val="30"/>
          <w:szCs w:val="30"/>
          <w:highlight w:val="none"/>
        </w:rPr>
      </w:pPr>
    </w:p>
    <w:p w14:paraId="4C3DD344">
      <w:pPr>
        <w:autoSpaceDE w:val="0"/>
        <w:autoSpaceDN w:val="0"/>
        <w:adjustRightInd w:val="0"/>
        <w:spacing w:line="580" w:lineRule="exact"/>
        <w:jc w:val="center"/>
        <w:rPr>
          <w:rFonts w:ascii="Times New Roman" w:hAnsi="Times New Roman" w:eastAsia="黑体" w:cs="黑体"/>
          <w:sz w:val="30"/>
          <w:szCs w:val="30"/>
          <w:highlight w:val="none"/>
        </w:rPr>
      </w:pPr>
    </w:p>
    <w:p w14:paraId="718518A4">
      <w:pPr>
        <w:autoSpaceDE w:val="0"/>
        <w:autoSpaceDN w:val="0"/>
        <w:adjustRightInd w:val="0"/>
        <w:spacing w:line="580" w:lineRule="exact"/>
        <w:jc w:val="center"/>
        <w:rPr>
          <w:rFonts w:ascii="Times New Roman" w:hAnsi="Times New Roman" w:eastAsia="黑体" w:cs="黑体"/>
          <w:sz w:val="30"/>
          <w:szCs w:val="30"/>
          <w:highlight w:val="none"/>
        </w:rPr>
      </w:pPr>
    </w:p>
    <w:p w14:paraId="226C59C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6D8BCBF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   录</w:t>
      </w:r>
    </w:p>
    <w:p w14:paraId="429F4BE3">
      <w:pPr>
        <w:autoSpaceDE w:val="0"/>
        <w:autoSpaceDN w:val="0"/>
        <w:adjustRightInd w:val="0"/>
        <w:spacing w:line="600" w:lineRule="exact"/>
        <w:jc w:val="left"/>
        <w:rPr>
          <w:rFonts w:ascii="Times New Roman" w:hAnsi="Times New Roman" w:eastAsia="黑体" w:cs="黑体"/>
          <w:kern w:val="0"/>
          <w:sz w:val="30"/>
          <w:szCs w:val="30"/>
          <w:highlight w:val="none"/>
        </w:rPr>
      </w:pPr>
    </w:p>
    <w:p w14:paraId="40CB7E6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  概 况</w:t>
      </w:r>
    </w:p>
    <w:p w14:paraId="2882DA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714EB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1EFCB0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  2023年度部门决算表</w:t>
      </w:r>
    </w:p>
    <w:p w14:paraId="0181C6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AA2E8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39CE7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684808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3909C23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EABF3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E1DAD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58B50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66B260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32D76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6DDD9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47CA3C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C7A8E3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  2023年度部门决算情况说明</w:t>
      </w:r>
    </w:p>
    <w:p w14:paraId="2281E2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B99696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F7BB3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11926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2DE52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0C1044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w:t>
      </w:r>
      <w:bookmarkStart w:id="0" w:name="_GoBack"/>
      <w:bookmarkEnd w:id="0"/>
      <w:r>
        <w:rPr>
          <w:rFonts w:hint="eastAsia" w:ascii="Times New Roman" w:hAnsi="Times New Roman" w:eastAsia="仿宋_GB2312" w:cs="仿宋_GB2312"/>
          <w:kern w:val="0"/>
          <w:sz w:val="30"/>
          <w:szCs w:val="30"/>
          <w:highlight w:val="none"/>
        </w:rPr>
        <w:t>算财政拨款基本支出决算情况说明</w:t>
      </w:r>
    </w:p>
    <w:p w14:paraId="630B427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45838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2D519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58246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9D20A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BB7F4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4B8EA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8EC4F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4645BE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rPr>
        <w:t xml:space="preserve">  </w:t>
      </w:r>
      <w:r>
        <w:rPr>
          <w:rFonts w:hint="eastAsia" w:ascii="Times New Roman" w:hAnsi="Times New Roman" w:eastAsia="方正小标宋简体" w:cs="方正小标宋简体"/>
          <w:kern w:val="0"/>
          <w:sz w:val="30"/>
          <w:szCs w:val="30"/>
          <w:highlight w:val="none"/>
          <w:lang w:val="en"/>
        </w:rPr>
        <w:t>名词解释</w:t>
      </w:r>
    </w:p>
    <w:p w14:paraId="1A99AEFB">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27667A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  概 况</w:t>
      </w:r>
    </w:p>
    <w:p w14:paraId="1CDEDEA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ACFBE93">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贯彻执行党和国家的路线方针、政策以及市、区关于街道工作方面的指示，制订具体的管理办法并组织实施。</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指导、搞好辖区内居委会的工作，支持、帮助居民委员会加强思想、组织、制度建设，向上级人民政府和有关部门及时反映居民的意见、建议和要求。</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开展文明街道、文明单位，文明小区建设活动，组织居民开展经常性的文化、娱乐、体育活动。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协助有关部门做好辖区拥军优属、优抚安置、社会救济、残疾人就业等工作；积极开展便民利民的社区服务和社区教育工作。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负责本辖区的综合执法工作，维护辖区的良好秩序。</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负责研究辖区经济发展的规划，协助有关部门抓好安全生产工作。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承办区委、区政府交办的其他工作。</w:t>
      </w:r>
    </w:p>
    <w:p w14:paraId="615E32B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3EA1D0D7">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天津市滨海新区人民政府茶淀街道办事处内设7个职能科室。纳入天津市滨海新区人民政府茶淀街道办事处2023年度部门决算编制范围的单位包括：</w:t>
      </w:r>
    </w:p>
    <w:p w14:paraId="6B5FC29A">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1.天津市滨海新区人民政府茶淀街道办事处（本级）</w:t>
      </w:r>
    </w:p>
    <w:p w14:paraId="1BDFE76E">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99A6C8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  2023年度部门决算表</w:t>
      </w:r>
    </w:p>
    <w:p w14:paraId="12BBBF0C">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130716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30FAD84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A1512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F522DD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A0B8F2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045BA8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2B0B9F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0F378D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27B871D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84C8CE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D59996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38EDA59">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14:paraId="5823F564">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1.天津市滨海新区人民政府茶淀街道办事处2023年度政府性基金预算财政拨款收入支出决算表为空表；</w:t>
      </w:r>
    </w:p>
    <w:p w14:paraId="397ED749">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2.天津市滨海新区人民政府茶淀街道办事处2023年度国有资本经营预算财政拨款收入支出决算表为空表。</w:t>
      </w:r>
    </w:p>
    <w:p w14:paraId="2E84E866">
      <w:pPr>
        <w:widowControl/>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br w:type="page"/>
      </w:r>
    </w:p>
    <w:p w14:paraId="649179C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  2023年度部门决算情况说明</w:t>
      </w:r>
    </w:p>
    <w:p w14:paraId="025C6E0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FA8803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68F1ED71">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天津市滨海新区人民政府茶淀街道办事处2023年度收入、支出决算总计</w:t>
      </w:r>
      <w:r>
        <w:rPr>
          <w:rFonts w:hint="eastAsia" w:ascii="Times New Roman" w:hAnsi="Times New Roman" w:eastAsia="仿宋_GB2312" w:cs="仿宋_GB2312"/>
          <w:sz w:val="30"/>
          <w:szCs w:val="30"/>
          <w:highlight w:val="none"/>
        </w:rPr>
        <w:t>81,804,589.10元，与2022年度相比，收、支总计各减少40,371,083.49元，下降33.04%，</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：预算收入降低，减少项目</w:t>
      </w:r>
      <w:r>
        <w:rPr>
          <w:rFonts w:hint="eastAsia" w:ascii="Times New Roman" w:hAnsi="Times New Roman" w:eastAsia="仿宋_GB2312" w:cs="仿宋_GB2312"/>
          <w:kern w:val="0"/>
          <w:sz w:val="30"/>
          <w:szCs w:val="30"/>
          <w:highlight w:val="none"/>
        </w:rPr>
        <w:t>支出</w:t>
      </w:r>
      <w:r>
        <w:rPr>
          <w:rFonts w:hint="eastAsia" w:ascii="Times New Roman" w:hAnsi="Times New Roman" w:eastAsia="仿宋_GB2312" w:cs="仿宋_GB2312"/>
          <w:sz w:val="30"/>
          <w:szCs w:val="30"/>
          <w:highlight w:val="none"/>
        </w:rPr>
        <w:t>。</w:t>
      </w:r>
    </w:p>
    <w:p w14:paraId="4A702B3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911967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天津市滨海新区人民政府茶淀街道办事处</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81,804,589.10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年度相比减少40,371,083.49元，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：预算收入降低，减少项目开展。</w:t>
      </w:r>
    </w:p>
    <w:p w14:paraId="79D2ACA1">
      <w:pPr>
        <w:autoSpaceDE w:val="0"/>
        <w:autoSpaceDN w:val="0"/>
        <w:adjustRightInd w:val="0"/>
        <w:spacing w:line="600" w:lineRule="exact"/>
        <w:ind w:firstLine="600"/>
        <w:jc w:val="left"/>
        <w:rPr>
          <w:rFonts w:ascii="Times New Roman" w:hAnsi="Times New Roman" w:eastAsia="宋体" w:cs="Times New Roman"/>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81,804,589.10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100.00</w:t>
      </w:r>
      <w:r>
        <w:rPr>
          <w:rFonts w:hint="eastAsia" w:ascii="Times New Roman" w:hAnsi="Times New Roman" w:eastAsia="宋体" w:cs="Times New Roman"/>
          <w:sz w:val="30"/>
          <w:szCs w:val="30"/>
          <w:highlight w:val="none"/>
        </w:rPr>
        <w:t>%</w:t>
      </w:r>
      <w:r>
        <w:rPr>
          <w:rFonts w:hint="eastAsia" w:ascii="Times New Roman" w:hAnsi="Times New Roman" w:eastAsia="仿宋_GB2312" w:cs="仿宋_GB2312"/>
          <w:sz w:val="30"/>
          <w:szCs w:val="30"/>
          <w:highlight w:val="none"/>
          <w:lang w:val="zh-CN"/>
        </w:rPr>
        <w:t>。</w:t>
      </w:r>
    </w:p>
    <w:p w14:paraId="7F91E57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067D9D4">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天津市滨海新区人民政府茶淀街道办事处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年度本年支出合计81,804,589.10元，与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年度相比减少40,371,083.49元，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预算收入降低，减少项目支出。</w:t>
      </w:r>
    </w:p>
    <w:p w14:paraId="234B4F0C">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46,817,668.17元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占57.23%；</w:t>
      </w:r>
    </w:p>
    <w:p w14:paraId="672DA1C9">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34,986,920.93元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占42.77%。</w:t>
      </w:r>
    </w:p>
    <w:p w14:paraId="465A8F9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4891620">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天津市滨海新区人民政府茶淀街道办事处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81,804,589.10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年度相比，财政拨款收、支总计各减少40,371,083.49元，下降33.04</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预算收入降低，减少项目支出。</w:t>
      </w:r>
    </w:p>
    <w:p w14:paraId="1CFB8CB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A75D4E3">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91D7369">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天津市滨海新区人民政府茶淀街道办事处2023年度部门决算一般公共预算财政拨款支出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计81,804,589.10元，占本年支出合计的100.00%，与2022年度相比，一般公共预算财政拨款支出减少40,371,083.49元，下降33.04%，</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：预算收入降低，减少项目支出。</w:t>
      </w:r>
    </w:p>
    <w:p w14:paraId="160F7FD7">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7C08161D">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81,804,589.10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一般公共服务支出44,064,572.88元，占53.86%；公共安全支出45,000.00元，占0.05%；社会保障和就业支出1,045,066.06元，占1.27%；卫生健康支出846,477.78元，占1.03%；城乡社区支出16,412,093.94元，占20.06%；农林水支出17,989,997.28元，占21.99%；灾害防治及应急管理支出1,401,381.16元，占1.71%。</w:t>
      </w:r>
    </w:p>
    <w:p w14:paraId="41A2D1FB">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A6FC2C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94,784,525.21</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81,804,589.10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86.31%</w:t>
      </w:r>
      <w:r>
        <w:rPr>
          <w:rFonts w:hint="eastAsia" w:ascii="Times New Roman" w:hAnsi="Times New Roman" w:eastAsia="仿宋_GB2312" w:cs="仿宋_GB2312"/>
          <w:kern w:val="0"/>
          <w:sz w:val="30"/>
          <w:szCs w:val="30"/>
          <w:highlight w:val="none"/>
        </w:rPr>
        <w:t>。其中：</w:t>
      </w:r>
    </w:p>
    <w:p w14:paraId="2E8F1B7C">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一般公共服务支出（类）政府办公厅（室）及相关机构事务（款）行政运行（项）年初预算为40,854,900.00元，支出决算为36,045,377.26元，完成年初预算的88.20%，决算数小于年初预算数的主要原因是：根据日常机关运行事项据实支出，</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t>。</w:t>
      </w:r>
    </w:p>
    <w:p w14:paraId="72D283AA">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仿宋_GB2312" w:hAnsi="仿宋_GB2312" w:eastAsia="仿宋_GB2312"/>
          <w:sz w:val="30"/>
          <w:highlight w:val="none"/>
        </w:rPr>
        <w:t>2</w:t>
      </w:r>
      <w:r>
        <w:rPr>
          <w:rFonts w:hint="eastAsia" w:ascii="Times New Roman" w:hAnsi="Times New Roman" w:eastAsia="仿宋_GB2312" w:cs="仿宋_GB2312"/>
          <w:sz w:val="30"/>
          <w:szCs w:val="30"/>
          <w:highlight w:val="none"/>
        </w:rPr>
        <w:t>.</w:t>
      </w:r>
      <w:r>
        <w:rPr>
          <w:rFonts w:hint="eastAsia" w:ascii="仿宋_GB2312" w:hAnsi="仿宋_GB2312" w:eastAsia="仿宋_GB2312"/>
          <w:sz w:val="30"/>
          <w:highlight w:val="none"/>
        </w:rPr>
        <w:t>一般公共服务支出（类）政府办公厅（室）及相关机构事务（款）事业运行（项）</w:t>
      </w:r>
      <w:r>
        <w:rPr>
          <w:rFonts w:hint="eastAsia" w:ascii="Times New Roman" w:hAnsi="Times New Roman" w:eastAsia="仿宋_GB2312" w:cs="仿宋_GB2312"/>
          <w:sz w:val="30"/>
          <w:szCs w:val="30"/>
          <w:highlight w:val="none"/>
        </w:rPr>
        <w:t>年初预算为2,332,700.00元，支出决算为1,887,503.58元，完成年初预算的80.91%，决算数小于年初预算数的主要原因是：根据日常事业运行事项据实支出。</w:t>
      </w:r>
    </w:p>
    <w:p w14:paraId="3A4B300F">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3</w:t>
      </w:r>
      <w:r>
        <w:rPr>
          <w:rFonts w:hint="eastAsia" w:ascii="Times New Roman" w:hAnsi="Times New Roman" w:eastAsia="仿宋_GB2312" w:cs="仿宋_GB2312"/>
          <w:sz w:val="30"/>
          <w:szCs w:val="30"/>
          <w:highlight w:val="none"/>
        </w:rPr>
        <w:t>.</w:t>
      </w:r>
      <w:r>
        <w:rPr>
          <w:rFonts w:hint="eastAsia" w:ascii="仿宋_GB2312" w:hAnsi="仿宋_GB2312" w:eastAsia="仿宋_GB2312"/>
          <w:sz w:val="30"/>
          <w:szCs w:val="24"/>
          <w:highlight w:val="none"/>
        </w:rPr>
        <w:t>一般公共服务支出（类）党委办公厅（室）及相关机构事务（款）事业运行（项）</w:t>
      </w:r>
      <w:r>
        <w:rPr>
          <w:rFonts w:hint="eastAsia" w:ascii="Times New Roman" w:hAnsi="Times New Roman" w:eastAsia="仿宋_GB2312" w:cs="仿宋_GB2312"/>
          <w:sz w:val="30"/>
          <w:szCs w:val="30"/>
          <w:highlight w:val="none"/>
        </w:rPr>
        <w:t>年初预算为6,233,200.00元，支出决算为6,131,692.04元，完成年初预算的98.37%，决算数小于年初预算数的主要原因是：根据综治和党群服务中心日常事业运行事项据实支出。</w:t>
      </w:r>
    </w:p>
    <w:p w14:paraId="04845303">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4.公共安全支出（类）公安（款） 一般行政管理事务（项）年初预算为0.00元，追加决算45,000.00元，支出决算为45,000.00元，决算数</w:t>
      </w:r>
      <w:r>
        <w:rPr>
          <w:rFonts w:hint="eastAsia" w:ascii="仿宋_GB2312" w:hAnsi="仿宋_GB2312" w:eastAsia="仿宋_GB2312"/>
          <w:sz w:val="30"/>
          <w:highlight w:val="none"/>
          <w:lang w:val="en-US" w:eastAsia="zh-CN"/>
        </w:rPr>
        <w:t>大于年初</w:t>
      </w:r>
      <w:r>
        <w:rPr>
          <w:rFonts w:hint="eastAsia" w:ascii="仿宋_GB2312" w:hAnsi="仿宋_GB2312" w:eastAsia="仿宋_GB2312"/>
          <w:sz w:val="30"/>
          <w:highlight w:val="none"/>
        </w:rPr>
        <w:t>预算数的主要原因是：</w:t>
      </w:r>
      <w:r>
        <w:rPr>
          <w:rFonts w:hint="eastAsia" w:ascii="仿宋_GB2312" w:hAnsi="仿宋_GB2312" w:eastAsia="仿宋_GB2312"/>
          <w:sz w:val="30"/>
          <w:highlight w:val="none"/>
        </w:rPr>
        <w:t>追加</w:t>
      </w:r>
      <w:r>
        <w:rPr>
          <w:rFonts w:hint="eastAsia" w:ascii="仿宋_GB2312" w:hAnsi="仿宋_GB2312" w:eastAsia="仿宋_GB2312"/>
          <w:sz w:val="30"/>
          <w:highlight w:val="none"/>
          <w:lang w:val="en-US" w:eastAsia="zh-CN"/>
        </w:rPr>
        <w:t>预算用于</w:t>
      </w:r>
      <w:r>
        <w:rPr>
          <w:rFonts w:hint="eastAsia" w:ascii="仿宋_GB2312" w:hAnsi="仿宋_GB2312" w:eastAsia="仿宋_GB2312"/>
          <w:sz w:val="30"/>
          <w:highlight w:val="none"/>
        </w:rPr>
        <w:t>铁路护路监控视频专项支出。</w:t>
      </w:r>
    </w:p>
    <w:p w14:paraId="783FEC96">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5.社会保障和就业支出（类）退役军人管理事务（款）  事业运行（项）年初预算为1,041,400.00元，支出决算为1,045,066.06元，完成年初预算的100.30%，决算数大于年初预算数的主要原因是：</w:t>
      </w:r>
      <w:r>
        <w:rPr>
          <w:rFonts w:hint="eastAsia" w:ascii="仿宋_GB2312" w:hAnsi="仿宋_GB2312" w:eastAsia="仿宋_GB2312"/>
          <w:sz w:val="30"/>
          <w:highlight w:val="none"/>
        </w:rPr>
        <w:t>使用调剂预算用于</w:t>
      </w:r>
      <w:r>
        <w:rPr>
          <w:rFonts w:hint="eastAsia" w:ascii="仿宋_GB2312" w:hAnsi="仿宋_GB2312" w:eastAsia="仿宋_GB2312"/>
          <w:sz w:val="30"/>
          <w:highlight w:val="none"/>
        </w:rPr>
        <w:t>退役军人服务站日常事务支出。</w:t>
      </w:r>
      <w:r>
        <w:rPr>
          <w:rFonts w:hint="eastAsia" w:ascii="仿宋_GB2312" w:hAnsi="仿宋_GB2312" w:eastAsia="仿宋_GB2312"/>
          <w:sz w:val="30"/>
          <w:highlight w:val="none"/>
        </w:rPr>
        <w:br w:type="textWrapping"/>
      </w:r>
      <w:r>
        <w:rPr>
          <w:rFonts w:hint="eastAsia" w:ascii="仿宋_GB2312" w:hAnsi="仿宋_GB2312" w:eastAsia="仿宋_GB2312"/>
          <w:sz w:val="30"/>
          <w:highlight w:val="none"/>
        </w:rPr>
        <w:t xml:space="preserve">    6.卫生健康支出（类）公共卫生（款）重大公共卫生服务（项）年初预算为900,000.00元，支出决算为846,477.78元，完成年初预算的94.05%，决算数小于年初预算数的主要原因是：根据公共卫生类相关项目需要，据实支出。</w:t>
      </w:r>
    </w:p>
    <w:p w14:paraId="518595C9">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7.城乡社区支出（类）城乡社区管理事务（款）城管执法（项）年初预算为9,148,100.00元，支出决算为7,764,604.62元，完成年初预算的84.87%，决算数小于年初预算数的主要原因是：根据城管执法日常需要据实支出。</w:t>
      </w:r>
      <w:r>
        <w:rPr>
          <w:rFonts w:hint="eastAsia" w:ascii="仿宋_GB2312" w:hAnsi="仿宋_GB2312" w:eastAsia="仿宋_GB2312"/>
          <w:sz w:val="30"/>
          <w:highlight w:val="none"/>
        </w:rPr>
        <w:br w:type="textWrapping"/>
      </w:r>
      <w:r>
        <w:rPr>
          <w:rFonts w:hint="eastAsia" w:ascii="仿宋_GB2312" w:hAnsi="仿宋_GB2312" w:eastAsia="仿宋_GB2312"/>
          <w:sz w:val="30"/>
          <w:highlight w:val="none"/>
        </w:rPr>
        <w:t xml:space="preserve">    8.城乡社区支出（类）城乡社区管理事务（款）其他城乡社区管理事务支出（项）年初预算为1,200,000.00元，支出决算为1,971,648.72元，完成年初预算的164.30%，决算数大于年初预算数的主要原因是：</w:t>
      </w:r>
      <w:r>
        <w:rPr>
          <w:rFonts w:hint="eastAsia" w:ascii="仿宋_GB2312" w:hAnsi="仿宋_GB2312" w:eastAsia="仿宋_GB2312"/>
          <w:sz w:val="30"/>
          <w:highlight w:val="none"/>
        </w:rPr>
        <w:t>使用调剂预算用于</w:t>
      </w:r>
      <w:r>
        <w:rPr>
          <w:rFonts w:hint="eastAsia" w:ascii="仿宋_GB2312" w:hAnsi="仿宋_GB2312" w:eastAsia="仿宋_GB2312"/>
          <w:sz w:val="30"/>
          <w:highlight w:val="none"/>
        </w:rPr>
        <w:t>社区及老城区物业费支出。</w:t>
      </w:r>
    </w:p>
    <w:p w14:paraId="77124EED">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9.城乡社区支出（类）城乡社区规划与管理（款）城乡社区规划与管理（项）年初预算为0.00元，支出决算为264666元，决算数大于年初预算数的主要原因是：</w:t>
      </w:r>
      <w:r>
        <w:rPr>
          <w:rFonts w:hint="eastAsia" w:ascii="仿宋_GB2312" w:hAnsi="仿宋_GB2312" w:eastAsia="仿宋_GB2312"/>
          <w:sz w:val="30"/>
          <w:highlight w:val="none"/>
        </w:rPr>
        <w:t>使用调剂预算用于</w:t>
      </w:r>
      <w:r>
        <w:rPr>
          <w:rFonts w:hint="eastAsia" w:ascii="仿宋_GB2312" w:hAnsi="仿宋_GB2312" w:eastAsia="仿宋_GB2312"/>
          <w:sz w:val="30"/>
          <w:highlight w:val="none"/>
        </w:rPr>
        <w:t>拆违相关支出。</w:t>
      </w:r>
    </w:p>
    <w:p w14:paraId="52F43F1E">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10.城乡社区支出（类）城乡社区环境卫生（款）城乡社区环境卫生（项）年初预算为3,960,000.00元，支出决算为3,262,099.90元，完成年初预算的82.30%，决算数小于年初预算数的主要原因是：根据城乡垃圾清运及环境清整日常需要据实支出。</w:t>
      </w:r>
    </w:p>
    <w:p w14:paraId="5A9652FF">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11.城乡社区支出（类）其他城乡社区支出（款）其他城乡社区支出（项）年初预算为7,840,000.00元，支出决算为3,149,074.70元，完成年初预算的40.17%，决算数小于年初预算数的主要原因是：</w:t>
      </w:r>
      <w:r>
        <w:rPr>
          <w:rFonts w:hint="eastAsia" w:ascii="仿宋_GB2312" w:hAnsi="仿宋_GB2312" w:eastAsia="仿宋_GB2312"/>
          <w:sz w:val="30"/>
          <w:highlight w:val="none"/>
          <w:lang w:val="en-US" w:eastAsia="zh-CN"/>
        </w:rPr>
        <w:t>本年度部分</w:t>
      </w:r>
      <w:r>
        <w:rPr>
          <w:rFonts w:hint="eastAsia" w:ascii="仿宋_GB2312" w:hAnsi="仿宋_GB2312" w:eastAsia="仿宋_GB2312"/>
          <w:sz w:val="30"/>
          <w:highlight w:val="none"/>
        </w:rPr>
        <w:t>城乡社区项目</w:t>
      </w:r>
      <w:r>
        <w:rPr>
          <w:rFonts w:hint="eastAsia" w:ascii="仿宋_GB2312" w:hAnsi="仿宋_GB2312" w:eastAsia="仿宋_GB2312"/>
          <w:sz w:val="30"/>
          <w:highlight w:val="none"/>
          <w:lang w:val="en-US" w:eastAsia="zh-CN"/>
        </w:rPr>
        <w:t>未开展，根据资金实际需求</w:t>
      </w:r>
      <w:r>
        <w:rPr>
          <w:rFonts w:hint="eastAsia" w:ascii="仿宋_GB2312" w:hAnsi="仿宋_GB2312" w:eastAsia="仿宋_GB2312"/>
          <w:sz w:val="30"/>
          <w:highlight w:val="none"/>
        </w:rPr>
        <w:t>支出。</w:t>
      </w:r>
    </w:p>
    <w:p w14:paraId="66B5E407">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12.农林水支出（类）农业农村（款）事业运行（项）年初预算为3,965,500.00元，支出决算为4,164,111.31元，完成年初预算的105.01%，决算数大于年初预算数的主要原因是：</w:t>
      </w:r>
      <w:r>
        <w:rPr>
          <w:rFonts w:hint="eastAsia" w:ascii="仿宋_GB2312" w:hAnsi="仿宋_GB2312" w:eastAsia="仿宋_GB2312"/>
          <w:sz w:val="30"/>
          <w:highlight w:val="none"/>
        </w:rPr>
        <w:t>使用调剂预算用于</w:t>
      </w:r>
      <w:r>
        <w:rPr>
          <w:rFonts w:hint="eastAsia" w:ascii="仿宋_GB2312" w:hAnsi="仿宋_GB2312" w:eastAsia="仿宋_GB2312"/>
          <w:sz w:val="30"/>
          <w:highlight w:val="none"/>
        </w:rPr>
        <w:t>农业服务中心人员经费支出。</w:t>
      </w:r>
    </w:p>
    <w:p w14:paraId="355A539F">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13.农林水支出（类）农业农村（款）其他农业农村支出（项）年初预算为8,940,000.00元，支出决算为10,672,054.02元，完成年初预算的119.37%，决算数大于年初预算数的主要原因是</w:t>
      </w:r>
      <w:r>
        <w:rPr>
          <w:rFonts w:hint="eastAsia" w:ascii="仿宋_GB2312" w:hAnsi="仿宋_GB2312" w:eastAsia="仿宋_GB2312"/>
          <w:sz w:val="30"/>
          <w:highlight w:val="none"/>
        </w:rPr>
        <w:t>使用调剂预算用于</w:t>
      </w:r>
      <w:r>
        <w:rPr>
          <w:rFonts w:hint="eastAsia" w:ascii="仿宋_GB2312" w:hAnsi="仿宋_GB2312" w:eastAsia="仿宋_GB2312"/>
          <w:sz w:val="30"/>
          <w:highlight w:val="none"/>
        </w:rPr>
        <w:t>农村发展项目、乡村振兴工作及茶淀葡萄品牌保护等方面支出。</w:t>
      </w:r>
    </w:p>
    <w:p w14:paraId="20EA6867">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14.农林水支出（类）水利（款）水土保持（项）年初预算为3,370,000.00元，支出决算为3,153,831.95元，完成年初预算的93.50%，决算数小于年初预算数的主要原因是：根据水环境治理及河长制项目日常需求据实支出。</w:t>
      </w:r>
    </w:p>
    <w:p w14:paraId="276FA3BE">
      <w:pPr>
        <w:autoSpaceDE w:val="0"/>
        <w:autoSpaceDN w:val="0"/>
        <w:adjustRightInd w:val="0"/>
        <w:spacing w:line="600" w:lineRule="exact"/>
        <w:ind w:firstLine="720"/>
        <w:jc w:val="left"/>
        <w:rPr>
          <w:rFonts w:ascii="仿宋_GB2312" w:hAnsi="仿宋_GB2312" w:eastAsia="仿宋_GB2312"/>
          <w:sz w:val="30"/>
          <w:highlight w:val="none"/>
        </w:rPr>
      </w:pPr>
      <w:r>
        <w:rPr>
          <w:rFonts w:hint="eastAsia" w:ascii="仿宋_GB2312" w:hAnsi="仿宋_GB2312" w:eastAsia="仿宋_GB2312"/>
          <w:sz w:val="30"/>
          <w:highlight w:val="none"/>
        </w:rPr>
        <w:t>15.灾害防治及应急管理支出（类）应急管理事务（款）行政运行（项）年初预算为2,800,000.00元，支出决算751,193.16元，完成年初预算的26.82%，决算数小于年初预算数的主要原因是：街安全生产监察中队整体调入滨海新区应急管理局，人员变动，支出减少。</w:t>
      </w:r>
      <w:r>
        <w:rPr>
          <w:rFonts w:hint="eastAsia" w:ascii="仿宋_GB2312" w:hAnsi="仿宋_GB2312" w:eastAsia="仿宋_GB2312"/>
          <w:sz w:val="30"/>
          <w:highlight w:val="none"/>
        </w:rPr>
        <w:br w:type="textWrapping"/>
      </w:r>
      <w:r>
        <w:rPr>
          <w:rFonts w:hint="eastAsia" w:ascii="仿宋_GB2312" w:hAnsi="仿宋_GB2312" w:eastAsia="仿宋_GB2312"/>
          <w:sz w:val="30"/>
          <w:highlight w:val="none"/>
        </w:rPr>
        <w:t xml:space="preserve">    16.灾害防治及应急管理支出（类）应急管理事务（款）应急管理（项）年初预算为1,790,000.00元，支出决算为650,188.00元，完成年初预算的36.30%，决算数小于年初预算数的主要原因是：街安全生产监察中队整体调入滨海新区应急管理局，相关事项支出减少。</w:t>
      </w:r>
    </w:p>
    <w:p w14:paraId="6FDB57A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80DD380">
      <w:pPr>
        <w:autoSpaceDE w:val="0"/>
        <w:autoSpaceDN w:val="0"/>
        <w:adjustRightInd w:val="0"/>
        <w:spacing w:line="600" w:lineRule="exact"/>
        <w:ind w:firstLine="72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天津市滨海新区人民政府茶淀街道办事处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46,817,668.17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年度相比增加2,769,825.44元，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仿宋_GB2312" w:hAnsi="Times New Roman" w:eastAsia="仿宋_GB2312" w:cs="仿宋_GB2312"/>
          <w:sz w:val="30"/>
          <w:szCs w:val="30"/>
          <w:highlight w:val="none"/>
        </w:rPr>
        <w:t>人员支出增加</w:t>
      </w:r>
      <w:r>
        <w:rPr>
          <w:rFonts w:hint="eastAsia" w:ascii="仿宋_GB2312"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14:paraId="5041E156">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42,312,334.81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津贴补贴、奖金、绩效工资、机关事业单位基本养老保险缴费、职业年金缴费、其他社会保障缴费、住房公积金、其他工资福利支出、退休费、抚恤金、生活补助、医疗费补助、奖励金、其他对个人和家庭的补助</w:t>
      </w:r>
    </w:p>
    <w:p w14:paraId="2CC7DAD8">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4,505,333.36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办公费、印刷费、手续费、水费、电费、邮电费、取暖费、物业管理费、差旅费、维修(护)费、租赁费、劳务费、委托业务费、工会经费、福利费、公务用车运行维护费、其他交通费用、其他商品和服务支出。</w:t>
      </w:r>
    </w:p>
    <w:p w14:paraId="56D20FB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387465F">
      <w:pPr>
        <w:autoSpaceDE w:val="0"/>
        <w:autoSpaceDN w:val="0"/>
        <w:adjustRightInd w:val="0"/>
        <w:spacing w:line="600" w:lineRule="exact"/>
        <w:ind w:firstLine="600"/>
        <w:jc w:val="left"/>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天津市滨海新区人民政府茶淀街道办事处2023年度无政府性基金预算财政拨款收入、支出和结转结余。</w:t>
      </w:r>
      <w:r>
        <w:rPr>
          <w:rFonts w:hint="eastAsia" w:ascii="Times New Roman" w:hAnsi="Times New Roman" w:eastAsia="仿宋_GB2312" w:cs="仿宋_GB2312"/>
          <w:sz w:val="30"/>
          <w:szCs w:val="30"/>
          <w:highlight w:val="none"/>
        </w:rPr>
        <w:tab/>
      </w:r>
    </w:p>
    <w:p w14:paraId="3CFE213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4F78E5A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天津市滨海新区人民政府茶淀街道办事处2023年度无国有资本经营预算财政拨款收入、支出和结转结余。</w:t>
      </w:r>
    </w:p>
    <w:p w14:paraId="2164CB6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14B17A4">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68861B3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87,400.00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87,340.61</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59.39</w:t>
      </w:r>
      <w:r>
        <w:rPr>
          <w:rFonts w:hint="eastAsia" w:ascii="Times New Roman" w:hAnsi="Times New Roman" w:eastAsia="仿宋_GB2312" w:cs="仿宋_GB2312"/>
          <w:kern w:val="0"/>
          <w:sz w:val="30"/>
          <w:szCs w:val="30"/>
          <w:highlight w:val="none"/>
        </w:rPr>
        <w:t>元，完成预算的99.93</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100,283.07元，</w:t>
      </w:r>
      <w:r>
        <w:rPr>
          <w:rFonts w:hint="eastAsia" w:ascii="Times New Roman" w:hAnsi="Times New Roman" w:eastAsia="仿宋_GB2312" w:cs="仿宋_GB2312"/>
          <w:sz w:val="30"/>
          <w:szCs w:val="30"/>
          <w:highlight w:val="none"/>
        </w:rPr>
        <w:t>下降</w:t>
      </w:r>
      <w:r>
        <w:rPr>
          <w:rFonts w:hint="eastAsia" w:ascii="Times New Roman" w:hAnsi="Times New Roman" w:eastAsia="仿宋_GB2312" w:cs="仿宋_GB2312"/>
          <w:kern w:val="0"/>
          <w:sz w:val="30"/>
          <w:szCs w:val="30"/>
          <w:highlight w:val="none"/>
        </w:rPr>
        <w:t>53.45</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严格按照预算执行</w:t>
      </w:r>
      <w:r>
        <w:rPr>
          <w:rFonts w:hint="eastAsia" w:ascii="Times New Roman" w:hAnsi="Times New Roman" w:eastAsia="仿宋_GB2312" w:cs="仿宋_GB2312"/>
          <w:kern w:val="0"/>
          <w:sz w:val="30"/>
          <w:szCs w:val="30"/>
          <w:highlight w:val="none"/>
        </w:rPr>
        <w:t>据实支出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严格落实真过紧日子要求，控制公车运行维护费支出</w:t>
      </w:r>
      <w:r>
        <w:rPr>
          <w:rFonts w:hint="eastAsia" w:ascii="Times New Roman" w:hAnsi="Times New Roman" w:eastAsia="仿宋_GB2312" w:cs="仿宋_GB2312"/>
          <w:kern w:val="0"/>
          <w:sz w:val="30"/>
          <w:szCs w:val="30"/>
          <w:highlight w:val="none"/>
        </w:rPr>
        <w:t>。</w:t>
      </w:r>
      <w:r>
        <w:rPr>
          <w:rFonts w:hint="eastAsia" w:ascii="仿宋_GB2312" w:hAnsi="Times New Roman" w:eastAsia="仿宋_GB2312" w:cs="仿宋_GB2312"/>
          <w:sz w:val="30"/>
          <w:szCs w:val="30"/>
          <w:highlight w:val="none"/>
        </w:rPr>
        <w:t>。</w:t>
      </w:r>
    </w:p>
    <w:p w14:paraId="6435304B">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0596A7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。决算数等于预算数且较上年持平的主要原因是：本年度未用财政拨款经费列支因公出国（境）费。</w:t>
      </w:r>
    </w:p>
    <w:p w14:paraId="0496E6E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029AD8A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87,400.00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87,340.61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59.39</w:t>
      </w:r>
      <w:r>
        <w:rPr>
          <w:rFonts w:hint="eastAsia" w:ascii="Times New Roman" w:hAnsi="Times New Roman" w:eastAsia="仿宋_GB2312" w:cs="仿宋_GB2312"/>
          <w:kern w:val="0"/>
          <w:sz w:val="30"/>
          <w:szCs w:val="30"/>
          <w:highlight w:val="none"/>
        </w:rPr>
        <w:t>元，完成预算的99.93</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100,283.07元，</w:t>
      </w:r>
      <w:r>
        <w:rPr>
          <w:rFonts w:hint="eastAsia" w:ascii="Times New Roman" w:hAnsi="Times New Roman" w:eastAsia="仿宋_GB2312" w:cs="仿宋_GB2312"/>
          <w:sz w:val="30"/>
          <w:szCs w:val="30"/>
          <w:highlight w:val="none"/>
        </w:rPr>
        <w:t>下降</w:t>
      </w:r>
      <w:r>
        <w:rPr>
          <w:rFonts w:hint="eastAsia" w:ascii="Times New Roman" w:hAnsi="Times New Roman" w:eastAsia="仿宋_GB2312" w:cs="仿宋_GB2312"/>
          <w:kern w:val="0"/>
          <w:sz w:val="30"/>
          <w:szCs w:val="30"/>
          <w:highlight w:val="none"/>
        </w:rPr>
        <w:t>53.45</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严格按照预算执行</w:t>
      </w:r>
      <w:r>
        <w:rPr>
          <w:rFonts w:hint="eastAsia" w:ascii="Times New Roman" w:hAnsi="Times New Roman" w:eastAsia="仿宋_GB2312" w:cs="仿宋_GB2312"/>
          <w:kern w:val="0"/>
          <w:sz w:val="30"/>
          <w:szCs w:val="30"/>
          <w:highlight w:val="none"/>
        </w:rPr>
        <w:t>据实支出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严格落实真过紧日子要求，控制公车运行维护费支出</w:t>
      </w:r>
      <w:r>
        <w:rPr>
          <w:rFonts w:hint="eastAsia" w:ascii="Times New Roman" w:hAnsi="Times New Roman" w:eastAsia="仿宋_GB2312" w:cs="仿宋_GB2312"/>
          <w:kern w:val="0"/>
          <w:sz w:val="30"/>
          <w:szCs w:val="30"/>
          <w:highlight w:val="none"/>
        </w:rPr>
        <w:t>。</w:t>
      </w:r>
      <w:r>
        <w:rPr>
          <w:rFonts w:hint="eastAsia" w:ascii="仿宋_GB2312"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其中：</w:t>
      </w:r>
    </w:p>
    <w:p w14:paraId="602847B1">
      <w:pPr>
        <w:autoSpaceDE w:val="0"/>
        <w:autoSpaceDN w:val="0"/>
        <w:adjustRightInd w:val="0"/>
        <w:spacing w:line="600" w:lineRule="exact"/>
        <w:ind w:firstLine="600"/>
        <w:jc w:val="left"/>
        <w:rPr>
          <w:rFonts w:ascii="仿宋_GB2312" w:hAnsi="Times New Roman" w:eastAsia="仿宋_GB2312" w:cs="仿宋_GB2312"/>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87,400.00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87,340.61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59.39</w:t>
      </w:r>
      <w:r>
        <w:rPr>
          <w:rFonts w:hint="eastAsia" w:ascii="Times New Roman" w:hAnsi="Times New Roman" w:eastAsia="仿宋_GB2312" w:cs="仿宋_GB2312"/>
          <w:kern w:val="0"/>
          <w:sz w:val="30"/>
          <w:szCs w:val="30"/>
          <w:highlight w:val="none"/>
        </w:rPr>
        <w:t>元，完成预算的99.93</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100,283.07元，</w:t>
      </w:r>
      <w:r>
        <w:rPr>
          <w:rFonts w:hint="eastAsia" w:ascii="Times New Roman" w:hAnsi="Times New Roman" w:eastAsia="仿宋_GB2312" w:cs="仿宋_GB2312"/>
          <w:sz w:val="30"/>
          <w:szCs w:val="30"/>
          <w:highlight w:val="none"/>
        </w:rPr>
        <w:t>下降</w:t>
      </w:r>
      <w:r>
        <w:rPr>
          <w:rFonts w:hint="eastAsia" w:ascii="Times New Roman" w:hAnsi="Times New Roman" w:eastAsia="仿宋_GB2312" w:cs="仿宋_GB2312"/>
          <w:kern w:val="0"/>
          <w:sz w:val="30"/>
          <w:szCs w:val="30"/>
          <w:highlight w:val="none"/>
        </w:rPr>
        <w:t>53.45</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严格按照预算执行</w:t>
      </w:r>
      <w:r>
        <w:rPr>
          <w:rFonts w:hint="eastAsia" w:ascii="Times New Roman" w:hAnsi="Times New Roman" w:eastAsia="仿宋_GB2312" w:cs="仿宋_GB2312"/>
          <w:kern w:val="0"/>
          <w:sz w:val="30"/>
          <w:szCs w:val="30"/>
          <w:highlight w:val="none"/>
        </w:rPr>
        <w:t>据实支出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严格落实真过紧日子要求，控制公车运行维护费支出</w:t>
      </w:r>
      <w:r>
        <w:rPr>
          <w:rFonts w:hint="eastAsia" w:ascii="Times New Roman" w:hAnsi="Times New Roman" w:eastAsia="仿宋_GB2312" w:cs="仿宋_GB2312"/>
          <w:kern w:val="0"/>
          <w:sz w:val="30"/>
          <w:szCs w:val="30"/>
          <w:highlight w:val="none"/>
        </w:rPr>
        <w:t>。</w:t>
      </w:r>
      <w:r>
        <w:rPr>
          <w:rFonts w:hint="eastAsia" w:ascii="仿宋_GB2312" w:hAnsi="Times New Roman" w:eastAsia="仿宋_GB2312" w:cs="仿宋_GB2312"/>
          <w:sz w:val="30"/>
          <w:szCs w:val="30"/>
          <w:highlight w:val="none"/>
        </w:rPr>
        <w:t>。</w:t>
      </w:r>
    </w:p>
    <w:p w14:paraId="6B77115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6</w:t>
      </w:r>
      <w:r>
        <w:rPr>
          <w:rFonts w:hint="eastAsia" w:ascii="Times New Roman" w:hAnsi="Times New Roman" w:eastAsia="仿宋_GB2312" w:cs="仿宋_GB2312"/>
          <w:kern w:val="0"/>
          <w:sz w:val="30"/>
          <w:szCs w:val="30"/>
          <w:highlight w:val="none"/>
        </w:rPr>
        <w:t>辆。</w:t>
      </w:r>
    </w:p>
    <w:p w14:paraId="6112EBB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100,283.07元，</w:t>
      </w:r>
      <w:r>
        <w:rPr>
          <w:rFonts w:hint="eastAsia" w:ascii="Times New Roman" w:hAnsi="Times New Roman" w:eastAsia="仿宋_GB2312" w:cs="仿宋_GB2312"/>
          <w:sz w:val="30"/>
          <w:szCs w:val="30"/>
          <w:highlight w:val="none"/>
        </w:rPr>
        <w:t>下降</w:t>
      </w:r>
      <w:r>
        <w:rPr>
          <w:rFonts w:hint="eastAsia" w:ascii="Times New Roman" w:hAnsi="Times New Roman" w:eastAsia="仿宋_GB2312" w:cs="仿宋_GB2312"/>
          <w:kern w:val="0"/>
          <w:sz w:val="30"/>
          <w:szCs w:val="30"/>
          <w:highlight w:val="none"/>
        </w:rPr>
        <w:t>53.45</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。决算数等于预算数且较上年减少的主要原因是：本年度未用财政拨款经费列支公务用车购置费。</w:t>
      </w:r>
    </w:p>
    <w:p w14:paraId="03FED17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00CC200E">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。决算数等于预算数且较上年持平的主要原因是：本年度未用财政拨款经费列支公务接待费。</w:t>
      </w:r>
    </w:p>
    <w:p w14:paraId="2FD2C51B">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2149FC3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697E796B">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rPr>
        <w:t>天津市滨海新区人民政府茶淀街道办事处</w:t>
      </w:r>
      <w:r>
        <w:rPr>
          <w:rFonts w:hint="eastAsia" w:ascii="Times New Roman" w:hAnsi="Times New Roman" w:eastAsia="宋体" w:cs="宋体"/>
          <w:kern w:val="0"/>
          <w:sz w:val="30"/>
          <w:szCs w:val="30"/>
          <w:highlight w:val="none"/>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rPr>
        <w:t>4,505,333.36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rPr>
        <w:t>2022</w:t>
      </w:r>
      <w:r>
        <w:rPr>
          <w:rFonts w:hint="eastAsia" w:ascii="Times New Roman" w:hAnsi="Times New Roman" w:eastAsia="仿宋_GB2312" w:cs="仿宋_GB2312"/>
          <w:kern w:val="0"/>
          <w:sz w:val="30"/>
          <w:szCs w:val="30"/>
          <w:highlight w:val="none"/>
        </w:rPr>
        <w:t>年减少219,596.64元，降低4.65</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rPr>
        <w:t>缩减机关运行经费。</w:t>
      </w:r>
    </w:p>
    <w:p w14:paraId="2CD77B36">
      <w:pPr>
        <w:keepNext/>
        <w:keepLines/>
        <w:autoSpaceDE w:val="0"/>
        <w:autoSpaceDN w:val="0"/>
        <w:adjustRightInd w:val="0"/>
        <w:spacing w:line="600" w:lineRule="exact"/>
        <w:ind w:firstLine="602" w:firstLineChars="200"/>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0329737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rPr>
        <w:t>天津市滨海新区人民政府茶淀街道办事处</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7,668,647.99</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446,212.00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7,222,435.99</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7,668,647.99</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100.00%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7,668,647.99</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100.00%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货物采购授予中小企业合同金额占货物支出金额的10</w:t>
      </w:r>
      <w:r>
        <w:rPr>
          <w:rFonts w:hint="eastAsia" w:ascii="Times New Roman" w:hAnsi="Times New Roman" w:eastAsia="仿宋_GB2312" w:cs="仿宋_GB2312"/>
          <w:sz w:val="30"/>
          <w:szCs w:val="30"/>
          <w:highlight w:val="none"/>
        </w:rPr>
        <w:t>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，服务采购授予中小企业合同金额占服务支出金额的10</w:t>
      </w:r>
      <w:r>
        <w:rPr>
          <w:rFonts w:hint="eastAsia" w:ascii="Times New Roman" w:hAnsi="Times New Roman" w:eastAsia="仿宋_GB2312" w:cs="仿宋_GB2312"/>
          <w:sz w:val="30"/>
          <w:szCs w:val="30"/>
          <w:highlight w:val="none"/>
        </w:rPr>
        <w:t>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B637E4A">
      <w:pPr>
        <w:keepNext/>
        <w:keepLines/>
        <w:autoSpaceDE w:val="0"/>
        <w:autoSpaceDN w:val="0"/>
        <w:adjustRightInd w:val="0"/>
        <w:spacing w:line="600" w:lineRule="exact"/>
        <w:ind w:firstLine="602" w:firstLineChars="200"/>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6E8CE9D1">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日，天津市滨海新区人民政府茶淀街道办事处共有车辆</w:t>
      </w:r>
      <w:r>
        <w:rPr>
          <w:rFonts w:hint="eastAsia" w:ascii="Times New Roman" w:hAnsi="Times New Roman" w:eastAsia="仿宋_GB2312" w:cs="Times New Roman"/>
          <w:kern w:val="0"/>
          <w:sz w:val="30"/>
          <w:szCs w:val="30"/>
          <w:highlight w:val="none"/>
        </w:rPr>
        <w:t>14</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rPr>
        <w:t>14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台（套）。</w:t>
      </w:r>
    </w:p>
    <w:p w14:paraId="3C9006E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6B028F6C">
      <w:pPr>
        <w:autoSpaceDE w:val="0"/>
        <w:autoSpaceDN w:val="0"/>
        <w:adjustRightInd w:val="0"/>
        <w:spacing w:line="600" w:lineRule="exact"/>
        <w:ind w:firstLine="600"/>
        <w:jc w:val="left"/>
        <w:rPr>
          <w:rFonts w:ascii="Times New Roman" w:hAnsi="Times New Roman" w:eastAsia="仿宋_GB2312" w:cs="仿宋_GB2312"/>
          <w:color w:val="000000" w:themeColor="text1"/>
          <w:kern w:val="0"/>
          <w:sz w:val="30"/>
          <w:szCs w:val="30"/>
          <w:highlight w:val="none"/>
          <w14:textFill>
            <w14:solidFill>
              <w14:schemeClr w14:val="tx1"/>
            </w14:solidFill>
          </w14:textFill>
        </w:rPr>
      </w:pP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根据预算绩效管理要求，</w:t>
      </w:r>
      <w:r>
        <w:rPr>
          <w:rFonts w:hint="eastAsia" w:ascii="Times New Roman" w:hAnsi="Times New Roman" w:eastAsia="仿宋_GB2312" w:cs="仿宋_GB2312"/>
          <w:color w:val="000000" w:themeColor="text1"/>
          <w:sz w:val="30"/>
          <w:szCs w:val="30"/>
          <w:highlight w:val="none"/>
          <w14:textFill>
            <w14:solidFill>
              <w14:schemeClr w14:val="tx1"/>
            </w14:solidFill>
          </w14:textFill>
        </w:rPr>
        <w:t>天津市滨海新区人民政府茶淀街道办事处</w:t>
      </w:r>
      <w:r>
        <w:rPr>
          <w:rFonts w:ascii="Times New Roman" w:hAnsi="Times New Roman" w:eastAsia="仿宋_GB2312" w:cs="仿宋_GB2312"/>
          <w:color w:val="000000" w:themeColor="text1"/>
          <w:kern w:val="0"/>
          <w:sz w:val="30"/>
          <w:szCs w:val="30"/>
          <w:highlight w:val="none"/>
          <w14:textFill>
            <w14:solidFill>
              <w14:schemeClr w14:val="tx1"/>
            </w14:solidFill>
          </w14:textFill>
        </w:rPr>
        <w:t>2023年度已对</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17</w:t>
      </w:r>
      <w:r>
        <w:rPr>
          <w:rFonts w:ascii="Times New Roman" w:hAnsi="Times New Roman" w:eastAsia="仿宋_GB2312" w:cs="仿宋_GB2312"/>
          <w:color w:val="000000" w:themeColor="text1"/>
          <w:kern w:val="0"/>
          <w:sz w:val="30"/>
          <w:szCs w:val="30"/>
          <w:highlight w:val="none"/>
          <w14:textFill>
            <w14:solidFill>
              <w14:schemeClr w14:val="tx1"/>
            </w14:solidFill>
          </w14:textFill>
        </w:rPr>
        <w:t>个区级项目开展绩效自评，涉及金额</w:t>
      </w:r>
      <w:r>
        <w:rPr>
          <w:rFonts w:hint="eastAsia" w:ascii="Times New Roman" w:hAnsi="Times New Roman" w:eastAsia="仿宋_GB2312" w:cs="仿宋_GB2312"/>
          <w:color w:val="000000" w:themeColor="text1"/>
          <w:sz w:val="30"/>
          <w:szCs w:val="30"/>
          <w:highlight w:val="none"/>
          <w14:textFill>
            <w14:solidFill>
              <w14:schemeClr w14:val="tx1"/>
            </w14:solidFill>
          </w14:textFill>
        </w:rPr>
        <w:t>34,986,921.10</w:t>
      </w:r>
      <w:r>
        <w:rPr>
          <w:rFonts w:ascii="Times New Roman" w:hAnsi="Times New Roman" w:eastAsia="仿宋_GB2312" w:cs="仿宋_GB2312"/>
          <w:color w:val="000000" w:themeColor="text1"/>
          <w:kern w:val="0"/>
          <w:sz w:val="30"/>
          <w:szCs w:val="30"/>
          <w:highlight w:val="none"/>
          <w14:textFill>
            <w14:solidFill>
              <w14:schemeClr w14:val="tx1"/>
            </w14:solidFill>
          </w14:textFill>
        </w:rPr>
        <w:t>元，自评结果已随部门决算一并公开。</w:t>
      </w:r>
    </w:p>
    <w:p w14:paraId="12E2054A">
      <w:pPr>
        <w:autoSpaceDE w:val="0"/>
        <w:autoSpaceDN w:val="0"/>
        <w:adjustRightInd w:val="0"/>
        <w:spacing w:line="600" w:lineRule="exact"/>
        <w:ind w:firstLine="600"/>
        <w:jc w:val="left"/>
        <w:rPr>
          <w:rFonts w:ascii="Times New Roman" w:hAnsi="Times New Roman" w:eastAsia="仿宋_GB2312" w:cs="仿宋_GB2312"/>
          <w:color w:val="000000" w:themeColor="text1"/>
          <w:kern w:val="0"/>
          <w:sz w:val="30"/>
          <w:szCs w:val="30"/>
          <w:highlight w:val="none"/>
          <w14:textFill>
            <w14:solidFill>
              <w14:schemeClr w14:val="tx1"/>
            </w14:solidFill>
          </w14:textFill>
        </w:rPr>
      </w:pP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本部门</w:t>
      </w:r>
      <w:r>
        <w:rPr>
          <w:rFonts w:ascii="Times New Roman" w:hAnsi="Times New Roman" w:eastAsia="仿宋_GB2312" w:cs="仿宋_GB2312"/>
          <w:color w:val="000000" w:themeColor="text1"/>
          <w:kern w:val="0"/>
          <w:sz w:val="30"/>
          <w:szCs w:val="30"/>
          <w:highlight w:val="none"/>
          <w14:textFill>
            <w14:solidFill>
              <w14:schemeClr w14:val="tx1"/>
            </w14:solidFill>
          </w14:textFill>
        </w:rPr>
        <w:t>2023年度未开展部门评价。</w:t>
      </w:r>
    </w:p>
    <w:p w14:paraId="175FC8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129C41B">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2023年度，天津市滨海新区人民政府茶淀街道办事处卫生健康支出，其中：“重大公共卫生服务”846,477.78元，主要用于：疫情防控项目结算。</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社会保障和就业支出，其中：“退役军人管理事务”1,045,066.06元，主要用于：退役军人服务站事务支出。</w:t>
      </w:r>
    </w:p>
    <w:p w14:paraId="1D428CE7">
      <w:pPr>
        <w:spacing w:line="600" w:lineRule="exact"/>
        <w:ind w:firstLine="600"/>
        <w:rPr>
          <w:rFonts w:ascii="仿宋_GB2312" w:hAnsi="仿宋_GB2312" w:eastAsia="仿宋_GB2312"/>
          <w:sz w:val="30"/>
          <w:szCs w:val="24"/>
          <w:highlight w:val="none"/>
        </w:rPr>
      </w:pPr>
      <w:r>
        <w:rPr>
          <w:rFonts w:hint="eastAsia" w:ascii="Times New Roman" w:hAnsi="Times New Roman" w:eastAsia="仿宋_GB2312" w:cs="仿宋_GB2312"/>
          <w:sz w:val="30"/>
          <w:szCs w:val="30"/>
          <w:highlight w:val="none"/>
        </w:rPr>
        <w:t>农林水支出，其中：“其他农业农村支出”10,672,054.02元，主要用于：</w:t>
      </w:r>
      <w:r>
        <w:rPr>
          <w:rFonts w:hint="eastAsia" w:ascii="仿宋_GB2312" w:hAnsi="仿宋_GB2312" w:eastAsia="仿宋_GB2312"/>
          <w:sz w:val="30"/>
          <w:szCs w:val="24"/>
          <w:highlight w:val="none"/>
        </w:rPr>
        <w:t>农村发展项目、乡村振兴工作及茶淀葡萄品牌保护等方面支出。</w:t>
      </w:r>
      <w:r>
        <w:rPr>
          <w:rFonts w:hint="eastAsia" w:ascii="Times New Roman" w:hAnsi="Times New Roman" w:eastAsia="仿宋_GB2312" w:cs="仿宋_GB2312"/>
          <w:sz w:val="30"/>
          <w:szCs w:val="30"/>
          <w:highlight w:val="none"/>
        </w:rPr>
        <w:t>“水土保持”</w:t>
      </w:r>
      <w:r>
        <w:rPr>
          <w:rFonts w:ascii="Times New Roman" w:hAnsi="Times New Roman" w:eastAsia="仿宋_GB2312" w:cs="仿宋_GB2312"/>
          <w:sz w:val="30"/>
          <w:szCs w:val="30"/>
          <w:highlight w:val="none"/>
        </w:rPr>
        <w:t>3</w:t>
      </w:r>
      <w:r>
        <w:rPr>
          <w:rFonts w:hint="eastAsia" w:ascii="Times New Roman" w:hAnsi="Times New Roman" w:eastAsia="仿宋_GB2312" w:cs="仿宋_GB2312"/>
          <w:sz w:val="30"/>
          <w:szCs w:val="30"/>
          <w:highlight w:val="none"/>
        </w:rPr>
        <w:t>,</w:t>
      </w:r>
      <w:r>
        <w:rPr>
          <w:rFonts w:ascii="Times New Roman" w:hAnsi="Times New Roman" w:eastAsia="仿宋_GB2312" w:cs="仿宋_GB2312"/>
          <w:sz w:val="30"/>
          <w:szCs w:val="30"/>
          <w:highlight w:val="none"/>
        </w:rPr>
        <w:t>153</w:t>
      </w:r>
      <w:r>
        <w:rPr>
          <w:rFonts w:hint="eastAsia" w:ascii="Times New Roman" w:hAnsi="Times New Roman" w:eastAsia="仿宋_GB2312" w:cs="仿宋_GB2312"/>
          <w:sz w:val="30"/>
          <w:szCs w:val="30"/>
          <w:highlight w:val="none"/>
        </w:rPr>
        <w:t>,</w:t>
      </w:r>
      <w:r>
        <w:rPr>
          <w:rFonts w:ascii="Times New Roman" w:hAnsi="Times New Roman" w:eastAsia="仿宋_GB2312" w:cs="仿宋_GB2312"/>
          <w:sz w:val="30"/>
          <w:szCs w:val="30"/>
          <w:highlight w:val="none"/>
        </w:rPr>
        <w:t>831.95</w:t>
      </w:r>
      <w:r>
        <w:rPr>
          <w:rFonts w:hint="eastAsia" w:ascii="Times New Roman" w:hAnsi="Times New Roman" w:eastAsia="仿宋_GB2312" w:cs="仿宋_GB2312"/>
          <w:sz w:val="30"/>
          <w:szCs w:val="30"/>
          <w:highlight w:val="none"/>
        </w:rPr>
        <w:t>元，主要用于：茶淀街水环境治理、河长制等项目</w:t>
      </w:r>
      <w:r>
        <w:rPr>
          <w:rFonts w:hint="eastAsia" w:ascii="仿宋_GB2312" w:hAnsi="仿宋_GB2312" w:eastAsia="仿宋_GB2312"/>
          <w:sz w:val="30"/>
          <w:szCs w:val="24"/>
          <w:highlight w:val="none"/>
        </w:rPr>
        <w:t>支出。</w:t>
      </w:r>
    </w:p>
    <w:p w14:paraId="0BE9DDE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56A2F175">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15C17AD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25F268B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BD619D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A6A960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EF32BD9">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GIzODFmNGZmOTJiZjllMDc5ZWFkYWUwZDI4MzYifQ=="/>
  </w:docVars>
  <w:rsids>
    <w:rsidRoot w:val="006A094D"/>
    <w:rsid w:val="00013A12"/>
    <w:rsid w:val="0002687D"/>
    <w:rsid w:val="000434FB"/>
    <w:rsid w:val="00047C6F"/>
    <w:rsid w:val="000528EE"/>
    <w:rsid w:val="000719FD"/>
    <w:rsid w:val="000B5C71"/>
    <w:rsid w:val="000D4B98"/>
    <w:rsid w:val="00127EFA"/>
    <w:rsid w:val="00142888"/>
    <w:rsid w:val="001428B8"/>
    <w:rsid w:val="00152EEB"/>
    <w:rsid w:val="00153077"/>
    <w:rsid w:val="00167CB7"/>
    <w:rsid w:val="001A0E4F"/>
    <w:rsid w:val="001B5C3C"/>
    <w:rsid w:val="001C0399"/>
    <w:rsid w:val="001D587E"/>
    <w:rsid w:val="002124F6"/>
    <w:rsid w:val="00264B59"/>
    <w:rsid w:val="002A141B"/>
    <w:rsid w:val="002A4997"/>
    <w:rsid w:val="002E6086"/>
    <w:rsid w:val="00302490"/>
    <w:rsid w:val="003227B2"/>
    <w:rsid w:val="003536BE"/>
    <w:rsid w:val="003B25FB"/>
    <w:rsid w:val="00493FA0"/>
    <w:rsid w:val="004A482F"/>
    <w:rsid w:val="004F39BF"/>
    <w:rsid w:val="005062D7"/>
    <w:rsid w:val="005175E6"/>
    <w:rsid w:val="00525157"/>
    <w:rsid w:val="005349A2"/>
    <w:rsid w:val="00575537"/>
    <w:rsid w:val="005D1367"/>
    <w:rsid w:val="005D3F56"/>
    <w:rsid w:val="00604516"/>
    <w:rsid w:val="00654D17"/>
    <w:rsid w:val="006623EC"/>
    <w:rsid w:val="006A094D"/>
    <w:rsid w:val="006D2409"/>
    <w:rsid w:val="006E65DB"/>
    <w:rsid w:val="00776FF3"/>
    <w:rsid w:val="0078156E"/>
    <w:rsid w:val="00782C9F"/>
    <w:rsid w:val="00786E74"/>
    <w:rsid w:val="007D1285"/>
    <w:rsid w:val="007E49E1"/>
    <w:rsid w:val="007F6DA7"/>
    <w:rsid w:val="008174D5"/>
    <w:rsid w:val="00841623"/>
    <w:rsid w:val="00885126"/>
    <w:rsid w:val="0089698B"/>
    <w:rsid w:val="008D48A9"/>
    <w:rsid w:val="008F0C93"/>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306B6"/>
    <w:rsid w:val="00C36484"/>
    <w:rsid w:val="00C365C8"/>
    <w:rsid w:val="00C52E77"/>
    <w:rsid w:val="00C5682C"/>
    <w:rsid w:val="00C65A44"/>
    <w:rsid w:val="00C76AC3"/>
    <w:rsid w:val="00C83EB4"/>
    <w:rsid w:val="00D4505A"/>
    <w:rsid w:val="00D65B41"/>
    <w:rsid w:val="00DC1D9F"/>
    <w:rsid w:val="00DC3234"/>
    <w:rsid w:val="00DC3CD0"/>
    <w:rsid w:val="00DD60B5"/>
    <w:rsid w:val="00E7602B"/>
    <w:rsid w:val="00E964B2"/>
    <w:rsid w:val="00EA6549"/>
    <w:rsid w:val="00F007FE"/>
    <w:rsid w:val="017D4A3B"/>
    <w:rsid w:val="01A10E80"/>
    <w:rsid w:val="029D518A"/>
    <w:rsid w:val="02B0594E"/>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687AF5"/>
    <w:rsid w:val="17C84C4C"/>
    <w:rsid w:val="1949378C"/>
    <w:rsid w:val="199A3054"/>
    <w:rsid w:val="1A1104E0"/>
    <w:rsid w:val="1A404E9F"/>
    <w:rsid w:val="1AA54268"/>
    <w:rsid w:val="1B173F14"/>
    <w:rsid w:val="1B4641B9"/>
    <w:rsid w:val="1B520DB0"/>
    <w:rsid w:val="1B5D5A1E"/>
    <w:rsid w:val="1B7A68EC"/>
    <w:rsid w:val="1BBD0FF8"/>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287440"/>
    <w:rsid w:val="3D600CB3"/>
    <w:rsid w:val="3E426F14"/>
    <w:rsid w:val="3EB42189"/>
    <w:rsid w:val="3EC62D97"/>
    <w:rsid w:val="3EEF0B4C"/>
    <w:rsid w:val="3EF16375"/>
    <w:rsid w:val="3F2006FA"/>
    <w:rsid w:val="3FFC6A5B"/>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321544"/>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875E11"/>
    <w:rsid w:val="5A964C59"/>
    <w:rsid w:val="5C170425"/>
    <w:rsid w:val="5C9C683D"/>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C47C17"/>
    <w:rsid w:val="779B0132"/>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5712</Words>
  <Characters>6967</Characters>
  <Lines>51</Lines>
  <Paragraphs>14</Paragraphs>
  <TotalTime>6</TotalTime>
  <ScaleCrop>false</ScaleCrop>
  <LinksUpToDate>false</LinksUpToDate>
  <CharactersWithSpaces>7034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2024-09-06T10:45:00Z</dcterms:created>
  <dc:creator>office</dc:creator>
  <cp:lastModifiedBy>lenovo</cp:lastModifiedBy>
  <dcterms:modified xsi:type="dcterms:W3CDTF">2024-09-10T10:52:13Z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